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75D79" w14:textId="1C1E9272" w:rsidR="000D6119" w:rsidRPr="00383567" w:rsidRDefault="000D6119" w:rsidP="000D6119">
      <w:pPr>
        <w:spacing w:after="600"/>
        <w:jc w:val="center"/>
        <w:rPr>
          <w:b/>
          <w:bCs/>
          <w:szCs w:val="24"/>
          <w:rFonts w:ascii="Times New Roman" w:hAnsi="Times New Roman"/>
        </w:rPr>
      </w:pPr>
      <w:bookmarkStart w:id="0" w:name="AICriminalLaw"/>
      <w:r>
        <w:rPr>
          <w:b/>
          <w:rFonts w:ascii="Times New Roman" w:hAnsi="Times New Roman"/>
        </w:rPr>
        <w:t xml:space="preserve">Suite donnée à la résolution non législative du Parlement européen sur</w:t>
      </w:r>
      <w:r>
        <w:t xml:space="preserve"> </w:t>
      </w:r>
      <w:r>
        <w:rPr>
          <w:b/>
          <w:rFonts w:ascii="Times New Roman" w:hAnsi="Times New Roman"/>
        </w:rPr>
        <w:t xml:space="preserve">les négociations en vue d'un accord de coopération entre l'UE et Interpol</w:t>
      </w:r>
    </w:p>
    <w:bookmarkEnd w:id="0"/>
    <w:p w14:paraId="6B69AA7E" w14:textId="77777777" w:rsidR="000D6119" w:rsidRPr="00353FB2" w:rsidRDefault="000D6119" w:rsidP="000D6119">
      <w:pPr>
        <w:rPr>
          <w:i/>
          <w:szCs w:val="24"/>
          <w:rFonts w:ascii="Times New Roman" w:hAnsi="Times New Roman"/>
        </w:rPr>
      </w:pPr>
      <w:r>
        <w:rPr>
          <w:b/>
          <w:rFonts w:ascii="Times New Roman" w:hAnsi="Times New Roman"/>
        </w:rPr>
        <w:t xml:space="preserve">1.</w:t>
      </w:r>
      <w:r>
        <w:tab/>
      </w:r>
      <w:r>
        <w:rPr>
          <w:b/>
          <w:rFonts w:ascii="Times New Roman" w:hAnsi="Times New Roman"/>
        </w:rPr>
        <w:t xml:space="preserve">Rapporteure:</w:t>
      </w:r>
      <w:r>
        <w:rPr>
          <w:rFonts w:ascii="Times New Roman" w:hAnsi="Times New Roman"/>
        </w:rPr>
        <w:t xml:space="preserve"> </w:t>
      </w:r>
      <w:r>
        <w:rPr>
          <w:rFonts w:ascii="Times New Roman" w:hAnsi="Times New Roman"/>
        </w:rPr>
        <w:t xml:space="preserve">WIŚNIEWSKA Jadwiga (ECR / PL)</w:t>
      </w:r>
    </w:p>
    <w:p w14:paraId="4FBEA52D" w14:textId="0D59A5CB" w:rsidR="000D6119" w:rsidRPr="00383567" w:rsidRDefault="000D6119" w:rsidP="000D6119">
      <w:pPr>
        <w:rPr>
          <w:i/>
          <w:szCs w:val="24"/>
          <w:rFonts w:ascii="Times New Roman" w:hAnsi="Times New Roman"/>
        </w:rPr>
      </w:pPr>
      <w:r>
        <w:rPr>
          <w:b/>
          <w:rFonts w:ascii="Times New Roman" w:hAnsi="Times New Roman"/>
        </w:rPr>
        <w:t xml:space="preserve">2.</w:t>
      </w:r>
      <w:r>
        <w:tab/>
      </w:r>
      <w:r>
        <w:rPr>
          <w:b/>
          <w:rFonts w:ascii="Times New Roman" w:hAnsi="Times New Roman"/>
        </w:rPr>
        <w:t xml:space="preserve">Numéro de référence:</w:t>
      </w:r>
      <w:r>
        <w:rPr>
          <w:b/>
          <w:rFonts w:ascii="Times New Roman" w:hAnsi="Times New Roman"/>
        </w:rPr>
        <w:t xml:space="preserve"> </w:t>
      </w:r>
      <w:r>
        <w:rPr>
          <w:rFonts w:ascii="Times New Roman" w:hAnsi="Times New Roman"/>
        </w:rPr>
        <w:t xml:space="preserve">2022/2025 (INI) / A9-0200/2022 / P9_TA(2022)0275</w:t>
      </w:r>
    </w:p>
    <w:p w14:paraId="5FD37D7F" w14:textId="77777777" w:rsidR="000D6119" w:rsidRPr="00383567" w:rsidRDefault="000D6119" w:rsidP="000D6119">
      <w:pPr>
        <w:rPr>
          <w:szCs w:val="24"/>
          <w:rFonts w:ascii="Times New Roman" w:hAnsi="Times New Roman"/>
        </w:rPr>
      </w:pPr>
      <w:r>
        <w:rPr>
          <w:b/>
          <w:rFonts w:ascii="Times New Roman" w:hAnsi="Times New Roman"/>
        </w:rPr>
        <w:t xml:space="preserve">3.</w:t>
      </w:r>
      <w:r>
        <w:tab/>
      </w:r>
      <w:r>
        <w:rPr>
          <w:b/>
          <w:rFonts w:ascii="Times New Roman" w:hAnsi="Times New Roman"/>
        </w:rPr>
        <w:t xml:space="preserve">Date d'adoption de la résolution:</w:t>
      </w:r>
      <w:r>
        <w:rPr>
          <w:rFonts w:ascii="Times New Roman" w:hAnsi="Times New Roman"/>
        </w:rPr>
        <w:t xml:space="preserve"> </w:t>
      </w:r>
      <w:r>
        <w:rPr>
          <w:rFonts w:ascii="Times New Roman" w:hAnsi="Times New Roman"/>
        </w:rPr>
        <w:t xml:space="preserve">5 juillet 2022</w:t>
      </w:r>
    </w:p>
    <w:p w14:paraId="4F825C49" w14:textId="77777777" w:rsidR="000D6119" w:rsidRPr="00383567" w:rsidRDefault="000D6119" w:rsidP="000D6119">
      <w:pPr>
        <w:ind w:left="720" w:hanging="720"/>
        <w:rPr>
          <w:i/>
          <w:szCs w:val="24"/>
          <w:rFonts w:ascii="Times New Roman" w:hAnsi="Times New Roman"/>
        </w:rPr>
      </w:pPr>
      <w:r>
        <w:rPr>
          <w:b/>
          <w:rFonts w:ascii="Times New Roman" w:hAnsi="Times New Roman"/>
        </w:rPr>
        <w:t xml:space="preserve">4.</w:t>
      </w:r>
      <w:r>
        <w:tab/>
      </w:r>
      <w:r>
        <w:rPr>
          <w:b/>
          <w:rFonts w:ascii="Times New Roman" w:hAnsi="Times New Roman"/>
        </w:rPr>
        <w:t xml:space="preserve">Commission parlementaire compétente:</w:t>
      </w:r>
      <w:r>
        <w:rPr>
          <w:b/>
          <w:rFonts w:ascii="Times New Roman" w:hAnsi="Times New Roman"/>
        </w:rPr>
        <w:t xml:space="preserve"> </w:t>
      </w:r>
      <w:r>
        <w:rPr>
          <w:rFonts w:ascii="Times New Roman" w:hAnsi="Times New Roman"/>
        </w:rPr>
        <w:t xml:space="preserve">commission des libertés civiles, de la justice et des affaires intérieures (LIBE)</w:t>
      </w:r>
    </w:p>
    <w:p w14:paraId="571B2C9E" w14:textId="24520040" w:rsidR="000D6119" w:rsidRPr="00383567" w:rsidRDefault="000D6119" w:rsidP="000D6119">
      <w:pPr>
        <w:widowControl w:val="0"/>
        <w:rPr>
          <w:b/>
          <w:szCs w:val="24"/>
          <w:rFonts w:ascii="Times New Roman" w:hAnsi="Times New Roman"/>
        </w:rPr>
      </w:pPr>
      <w:r>
        <w:rPr>
          <w:b/>
          <w:rFonts w:ascii="Times New Roman" w:hAnsi="Times New Roman"/>
        </w:rPr>
        <w:t xml:space="preserve">5.</w:t>
      </w:r>
      <w:r>
        <w:tab/>
      </w:r>
      <w:r>
        <w:rPr>
          <w:b/>
          <w:rFonts w:ascii="Times New Roman" w:hAnsi="Times New Roman"/>
        </w:rPr>
        <w:t xml:space="preserve">Analyse/évaluation succincte de la résolution et des demandes qu’elle contient:</w:t>
      </w:r>
    </w:p>
    <w:p w14:paraId="488B89E8" w14:textId="19233C57" w:rsidR="00F771D3" w:rsidRPr="00383567" w:rsidRDefault="009678F8" w:rsidP="0095178F">
      <w:pPr>
        <w:widowControl w:val="0"/>
        <w:spacing w:after="120"/>
        <w:rPr>
          <w:szCs w:val="24"/>
          <w:rFonts w:ascii="Times New Roman" w:hAnsi="Times New Roman"/>
        </w:rPr>
      </w:pPr>
      <w:r>
        <w:rPr>
          <w:rFonts w:ascii="Times New Roman" w:hAnsi="Times New Roman"/>
        </w:rPr>
        <w:t xml:space="preserve">La résolution expose la position du Parlement européen sur un nouvel accord de coopération entre l’Union européenne et l’Organisation internationale de police criminelle (Interpol).</w:t>
      </w:r>
      <w:r>
        <w:rPr>
          <w:rFonts w:ascii="Times New Roman" w:hAnsi="Times New Roman"/>
        </w:rPr>
        <w:t xml:space="preserve"> </w:t>
      </w:r>
      <w:r>
        <w:rPr>
          <w:rFonts w:ascii="Times New Roman" w:hAnsi="Times New Roman"/>
        </w:rPr>
        <w:t xml:space="preserve">Il y est souligné que l’accord devrait accorder aux agences compétentes de l’Union l’accès aux bases de données d’Interpol, étant donné qu’à l’heure actuelle, seuls les États membres de l’UE ont accès aux 19 bases de données d’Interpol.</w:t>
      </w:r>
    </w:p>
    <w:p w14:paraId="2C366153" w14:textId="6F25D94D" w:rsidR="007A7242" w:rsidRPr="00383567" w:rsidRDefault="009678F8" w:rsidP="0095178F">
      <w:pPr>
        <w:widowControl w:val="0"/>
        <w:spacing w:after="120"/>
        <w:rPr>
          <w:szCs w:val="24"/>
          <w:rFonts w:ascii="Times New Roman" w:hAnsi="Times New Roman"/>
        </w:rPr>
      </w:pPr>
      <w:r>
        <w:rPr>
          <w:rFonts w:ascii="Times New Roman" w:hAnsi="Times New Roman"/>
        </w:rPr>
        <w:t xml:space="preserve">La Commission est invitée à garantir, dans le cadre de l’accord, que les règles européennes en matière de protection des données sont respectées lors du transfert de données entre l’Union et Interpol, les finalités des transferts de données devant être clairement </w:t>
      </w:r>
      <w:r>
        <w:rPr>
          <w:rFonts w:ascii="Times New Roman" w:hAnsi="Times New Roman"/>
        </w:rPr>
        <w:t xml:space="preserve">précisées</w:t>
      </w:r>
      <w:r>
        <w:rPr>
          <w:rFonts w:ascii="Times New Roman" w:hAnsi="Times New Roman"/>
        </w:rPr>
        <w:t xml:space="preserve">, et les données ne pouvant être conservées pendant une durée supérieure à ce qui est nécessaire.</w:t>
      </w:r>
    </w:p>
    <w:p w14:paraId="3D40710A" w14:textId="4F2FBE08" w:rsidR="007A7242" w:rsidRPr="00383567" w:rsidRDefault="007A7242" w:rsidP="0095178F">
      <w:pPr>
        <w:widowControl w:val="0"/>
        <w:spacing w:after="120"/>
        <w:rPr>
          <w:szCs w:val="24"/>
          <w:rFonts w:ascii="Times New Roman" w:hAnsi="Times New Roman"/>
        </w:rPr>
      </w:pPr>
      <w:r>
        <w:rPr>
          <w:rFonts w:ascii="Times New Roman" w:hAnsi="Times New Roman"/>
        </w:rPr>
        <w:t xml:space="preserve">Le Parlement européen fait observer que l’</w:t>
      </w:r>
      <w:r>
        <w:rPr>
          <w:rFonts w:ascii="Times New Roman" w:hAnsi="Times New Roman"/>
        </w:rPr>
        <w:t xml:space="preserve">utilisation </w:t>
      </w:r>
      <w:r>
        <w:rPr>
          <w:rFonts w:ascii="Times New Roman" w:hAnsi="Times New Roman"/>
        </w:rPr>
        <w:t xml:space="preserve">de certaines notices rouges d’Interpol a été motivée par des considérations politiques et que le traitement actuel des notices rouges par Interpol n’est pas suffisamment transparent.</w:t>
      </w:r>
      <w:r>
        <w:rPr>
          <w:rFonts w:ascii="Times New Roman" w:hAnsi="Times New Roman"/>
        </w:rPr>
        <w:t xml:space="preserve"> </w:t>
      </w:r>
      <w:r>
        <w:rPr>
          <w:rFonts w:ascii="Times New Roman" w:hAnsi="Times New Roman"/>
        </w:rPr>
        <w:t xml:space="preserve">Le Parlement recommande que les données relatives à ces notices soient publiées chaque année et ventilées par pays, afin de créer des profils de risque pour les notices abusives et leur diffusion, des régimes autoritaires pouvant tenter d’abuser des outils mis à disposition par Interpol.</w:t>
      </w:r>
    </w:p>
    <w:p w14:paraId="6C3D55D6" w14:textId="52B3BE2B" w:rsidR="007A7242" w:rsidRPr="00383567" w:rsidRDefault="007A7242" w:rsidP="0095178F">
      <w:pPr>
        <w:widowControl w:val="0"/>
        <w:spacing w:after="120"/>
        <w:rPr>
          <w:szCs w:val="24"/>
          <w:rFonts w:ascii="Times New Roman" w:hAnsi="Times New Roman"/>
        </w:rPr>
      </w:pPr>
      <w:r>
        <w:rPr>
          <w:rFonts w:ascii="Times New Roman" w:hAnsi="Times New Roman"/>
        </w:rPr>
        <w:t xml:space="preserve">En </w:t>
      </w:r>
      <w:r>
        <w:rPr>
          <w:rFonts w:ascii="Times New Roman" w:hAnsi="Times New Roman"/>
        </w:rPr>
        <w:t xml:space="preserve">outre</w:t>
      </w:r>
      <w:r>
        <w:rPr>
          <w:rFonts w:ascii="Times New Roman" w:hAnsi="Times New Roman"/>
        </w:rPr>
        <w:t xml:space="preserve">, le Parlement européen se dit préoccupé par l’accès permanent de la Russie aux données d’Interpol, qui constitue une menace pour l’intégrité de la coopération entre l’UE et l’Organisation de police.</w:t>
      </w:r>
      <w:r>
        <w:rPr>
          <w:rFonts w:ascii="Times New Roman" w:hAnsi="Times New Roman"/>
        </w:rPr>
        <w:t xml:space="preserve"> </w:t>
      </w:r>
      <w:r>
        <w:rPr>
          <w:rFonts w:ascii="Times New Roman" w:hAnsi="Times New Roman"/>
        </w:rPr>
        <w:t xml:space="preserve">Par conséquent, le Parlement est favorable à la suppression des droits d’accès aux données d’Interpol depuis la Russie et la Biélorussie et, à terme, à la suspension totale de ces dernières de l’Organisation.</w:t>
      </w:r>
    </w:p>
    <w:p w14:paraId="56E88326" w14:textId="77777777" w:rsidR="000D6119" w:rsidRPr="00383567" w:rsidRDefault="000D6119" w:rsidP="0095178F">
      <w:pPr>
        <w:widowControl w:val="0"/>
        <w:ind w:left="720" w:hanging="720"/>
        <w:rPr>
          <w:b/>
          <w:szCs w:val="24"/>
          <w:rFonts w:ascii="Times New Roman" w:hAnsi="Times New Roman"/>
        </w:rPr>
      </w:pPr>
      <w:r>
        <w:rPr>
          <w:b/>
          <w:rFonts w:ascii="Times New Roman" w:hAnsi="Times New Roman"/>
        </w:rPr>
        <w:t xml:space="preserve">6.</w:t>
      </w:r>
      <w:r>
        <w:tab/>
      </w:r>
      <w:r>
        <w:rPr>
          <w:b/>
          <w:rFonts w:ascii="Times New Roman" w:hAnsi="Times New Roman"/>
        </w:rPr>
        <w:t xml:space="preserve">Réponse à ces demandes et aperçu des mesures que la Commission a prises ou envisage de prendre:</w:t>
      </w:r>
    </w:p>
    <w:p w14:paraId="30FC36F3" w14:textId="55267800" w:rsidR="00D137A1" w:rsidRPr="005E016E" w:rsidRDefault="00D137A1" w:rsidP="0095178F">
      <w:pPr>
        <w:widowControl w:val="0"/>
        <w:spacing w:after="120"/>
        <w:rPr>
          <w:bCs/>
          <w:szCs w:val="24"/>
          <w:rFonts w:ascii="Times New Roman" w:hAnsi="Times New Roman"/>
        </w:rPr>
      </w:pPr>
      <w:r>
        <w:rPr>
          <w:rFonts w:ascii="Times New Roman" w:hAnsi="Times New Roman"/>
        </w:rPr>
        <w:t xml:space="preserve">La Commission salue la résolution non législative du Parlement européen sur les négociations en vue d’un accord de coopération entre l’UE et Interpol.</w:t>
      </w:r>
    </w:p>
    <w:p w14:paraId="56D4E291" w14:textId="2DD02F64" w:rsidR="000304D5" w:rsidRDefault="000304D5" w:rsidP="0095178F">
      <w:pPr>
        <w:spacing w:after="120"/>
        <w:rPr>
          <w:szCs w:val="24"/>
          <w:rFonts w:ascii="Times New Roman" w:hAnsi="Times New Roman"/>
        </w:rPr>
      </w:pPr>
      <w:r>
        <w:rPr>
          <w:rFonts w:ascii="Times New Roman" w:hAnsi="Times New Roman"/>
        </w:rPr>
        <w:t xml:space="preserve">En avril 2021, la Commission a recommandé au Conseil l’ouverture de négociations avec Interpol en vue de la conclusion d’un accord de coopération et, peu après, en juillet 2021, le Conseil a mandaté la Commission pour négocier avec Interpol l’accord de coopération UE-Interpol.</w:t>
      </w:r>
      <w:r>
        <w:rPr>
          <w:rFonts w:ascii="Times New Roman" w:hAnsi="Times New Roman"/>
        </w:rPr>
        <w:t xml:space="preserve"> </w:t>
      </w:r>
      <w:r>
        <w:rPr>
          <w:rFonts w:ascii="Times New Roman" w:hAnsi="Times New Roman"/>
        </w:rPr>
        <w:t xml:space="preserve">Depuis décembre 2021, les négociations se déroulent dans une atmosphère constructive, des réunions régulières sont organisées entre la Commission et Interpol, et un premier projet de parties de l’accord envisagé fait l’objet d’un examen conjoint.</w:t>
      </w:r>
      <w:r>
        <w:rPr>
          <w:rFonts w:ascii="Times New Roman" w:hAnsi="Times New Roman"/>
        </w:rPr>
        <w:t xml:space="preserve"> </w:t>
      </w:r>
      <w:r>
        <w:rPr>
          <w:rFonts w:ascii="Times New Roman" w:hAnsi="Times New Roman"/>
        </w:rPr>
        <w:t xml:space="preserve">À ce stade, la Commission a pour ambition de parvenir à la conclusion de l’accord pour l’assemblée générale d’Interpol, en octobre 2023.</w:t>
      </w:r>
    </w:p>
    <w:p w14:paraId="4004A9CB" w14:textId="68DB3064" w:rsidR="009C6399" w:rsidRPr="00383567" w:rsidRDefault="009C6399" w:rsidP="0095178F">
      <w:pPr>
        <w:spacing w:after="120"/>
        <w:rPr>
          <w:szCs w:val="24"/>
          <w:rFonts w:ascii="Times New Roman" w:hAnsi="Times New Roman"/>
        </w:rPr>
      </w:pPr>
      <w:r>
        <w:rPr>
          <w:rFonts w:ascii="Times New Roman" w:hAnsi="Times New Roman"/>
        </w:rPr>
        <w:t xml:space="preserve">Au cours des négociations avec Interpol, la Commission étudiera les moyens d’intégrer les recommandations du Parlement européen et s’efforcera de répondre aux attentes du Parlement et à ses préoccupations, tout en remplissant le mandat de négociation qui lui a été conféré par le Conseil et en trouvant des solutions convenant aux deux parties à l’accord.</w:t>
      </w:r>
    </w:p>
    <w:p w14:paraId="0DF2B7C7" w14:textId="3335EFB4" w:rsidR="00D137A1" w:rsidRDefault="00D137A1" w:rsidP="0095178F">
      <w:pPr>
        <w:spacing w:after="120"/>
        <w:rPr>
          <w:szCs w:val="24"/>
          <w:rFonts w:ascii="Times New Roman" w:hAnsi="Times New Roman"/>
        </w:rPr>
      </w:pPr>
      <w:r>
        <w:rPr>
          <w:rFonts w:ascii="Times New Roman" w:hAnsi="Times New Roman"/>
        </w:rPr>
        <w:t xml:space="preserve">La Commission présente ci-après ses avis préliminaires sur un certain nombre de recommandations formulées par le Parlement européen, en les regroupant.</w:t>
      </w:r>
    </w:p>
    <w:p w14:paraId="1748E438" w14:textId="77777777" w:rsidR="00D137A1" w:rsidRPr="00E408FC" w:rsidRDefault="00D137A1" w:rsidP="0095178F">
      <w:pPr>
        <w:pStyle w:val="NormalHanging12a"/>
        <w:widowControl/>
        <w:spacing w:after="120"/>
        <w:ind w:left="357" w:hanging="357"/>
        <w:rPr>
          <w:b/>
          <w:szCs w:val="24"/>
        </w:rPr>
      </w:pPr>
      <w:r>
        <w:rPr>
          <w:b/>
          <w:i/>
        </w:rPr>
        <w:t xml:space="preserve">Objectifs que l’accord de coopération vise à atteindre</w:t>
      </w:r>
    </w:p>
    <w:p w14:paraId="6267FE1A" w14:textId="6A094DD9" w:rsidR="007C21B6" w:rsidRPr="00316E6A" w:rsidRDefault="000304D5" w:rsidP="0095178F">
      <w:pPr>
        <w:spacing w:after="120"/>
        <w:rPr>
          <w:szCs w:val="24"/>
          <w:rFonts w:ascii="Times New Roman" w:hAnsi="Times New Roman"/>
        </w:rPr>
      </w:pPr>
      <w:r>
        <w:rPr>
          <w:rFonts w:ascii="Times New Roman" w:hAnsi="Times New Roman"/>
        </w:rPr>
        <w:t xml:space="preserve">L’accord de coopération UE-Interpol prévoit de donner accès aux bases de données d’Interpol en fonction des besoins opérationnels et dans le respect de l’étendue des compétences définies dans les mandats respectifs des différents organes et agences de l’Union couverts par l’accord, et conformément aux conditions, mesures de sauvegarde et garanties prévues par le droit de l’Union en la matière </w:t>
      </w:r>
      <w:r>
        <w:rPr>
          <w:b/>
          <w:bCs/>
          <w:rFonts w:ascii="Times New Roman" w:hAnsi="Times New Roman"/>
        </w:rPr>
        <w:t xml:space="preserve">(paragraphe 5)</w:t>
      </w:r>
      <w:r>
        <w:rPr>
          <w:rFonts w:ascii="Times New Roman" w:hAnsi="Times New Roman"/>
        </w:rPr>
        <w:t xml:space="preserve">.</w:t>
      </w:r>
    </w:p>
    <w:p w14:paraId="4A8C0968" w14:textId="77777777" w:rsidR="00F36287" w:rsidRPr="00E408FC" w:rsidRDefault="00F36287" w:rsidP="0095178F">
      <w:pPr>
        <w:pStyle w:val="NormalHanging12a"/>
        <w:widowControl/>
        <w:spacing w:after="120"/>
        <w:ind w:left="357" w:hanging="357"/>
        <w:rPr>
          <w:b/>
          <w:szCs w:val="24"/>
        </w:rPr>
      </w:pPr>
      <w:r>
        <w:rPr>
          <w:b/>
          <w:i/>
        </w:rPr>
        <w:t xml:space="preserve">Protection des données, traitement et conservation des données à caractère personnel, recours juridictionnel</w:t>
      </w:r>
    </w:p>
    <w:p w14:paraId="7951AC13" w14:textId="7F391E00" w:rsidR="007C21B6" w:rsidRPr="002A73B9" w:rsidRDefault="00F23CA1" w:rsidP="000304D5">
      <w:pPr>
        <w:rPr>
          <w:szCs w:val="24"/>
          <w:rFonts w:ascii="Times New Roman" w:hAnsi="Times New Roman"/>
        </w:rPr>
      </w:pPr>
      <w:r>
        <w:rPr>
          <w:rFonts w:ascii="Times New Roman" w:hAnsi="Times New Roman"/>
        </w:rPr>
        <w:t xml:space="preserve">L’accord de coopération UE-Interpol vise à fournir les sauvegardes et garanties nécessaires pour autoriser l’accès à la base de données sur les documents de voyage volés ou perdus (SLTD) et à la base de données sur les documents de voyage associés aux notices (TDAWN) par l’intermédiaire du portail de recherche européen (ESP) aux fins de la bonne mise en œuvre du système européen d’information et d’autorisation concernant les voyages (ETIAS) et du système d’information sur les visas (VIS), dans le plein respect de la législation de l’Union en la matière </w:t>
      </w:r>
      <w:r>
        <w:rPr>
          <w:b/>
          <w:bCs/>
          <w:rFonts w:ascii="Times New Roman" w:hAnsi="Times New Roman"/>
        </w:rPr>
        <w:t xml:space="preserve">(paragraphe 9)</w:t>
      </w:r>
      <w:r>
        <w:rPr>
          <w:rFonts w:ascii="Times New Roman" w:hAnsi="Times New Roman"/>
        </w:rPr>
        <w:t xml:space="preserve">.</w:t>
      </w:r>
    </w:p>
    <w:p w14:paraId="4D43582D" w14:textId="173B80D5" w:rsidR="00BF5B72" w:rsidRPr="00316E6A" w:rsidRDefault="00BF5B72" w:rsidP="0095178F">
      <w:pPr>
        <w:spacing w:after="120"/>
        <w:rPr>
          <w:szCs w:val="24"/>
          <w:rFonts w:ascii="Times New Roman" w:hAnsi="Times New Roman"/>
        </w:rPr>
      </w:pPr>
      <w:r>
        <w:rPr>
          <w:rFonts w:ascii="Times New Roman" w:hAnsi="Times New Roman"/>
        </w:rPr>
        <w:t xml:space="preserve">La Commission européenne entend négocier avec Interpol un accord qui respectera les exigences de l’UE en matière de protection des données et protégera les libertés et les droits fondamentaux des personnes </w:t>
      </w:r>
      <w:r>
        <w:rPr>
          <w:b/>
          <w:bCs/>
          <w:rFonts w:ascii="Times New Roman" w:hAnsi="Times New Roman"/>
        </w:rPr>
        <w:t xml:space="preserve">(paragraphe 11)</w:t>
      </w:r>
      <w:r>
        <w:rPr>
          <w:rFonts w:ascii="Times New Roman" w:hAnsi="Times New Roman"/>
        </w:rPr>
        <w:t xml:space="preserve">.</w:t>
      </w:r>
    </w:p>
    <w:p w14:paraId="2B9A992E" w14:textId="77777777" w:rsidR="009678F8" w:rsidRPr="00383567" w:rsidRDefault="009678F8" w:rsidP="0095178F">
      <w:pPr>
        <w:pStyle w:val="NormalHanging12a"/>
        <w:widowControl/>
        <w:spacing w:after="120"/>
        <w:ind w:left="357" w:hanging="357"/>
        <w:rPr>
          <w:b/>
          <w:i/>
          <w:szCs w:val="24"/>
        </w:rPr>
      </w:pPr>
      <w:r>
        <w:rPr>
          <w:b/>
          <w:i/>
        </w:rPr>
        <w:t xml:space="preserve">Notices rouges et diffusions</w:t>
      </w:r>
    </w:p>
    <w:p w14:paraId="64F34397" w14:textId="670A489E" w:rsidR="001510EF" w:rsidRDefault="001510EF" w:rsidP="000D4E75">
      <w:pPr>
        <w:spacing w:after="120" w:line="252" w:lineRule="auto"/>
        <w:rPr>
          <w:b/>
          <w:bCs/>
          <w:szCs w:val="24"/>
          <w:u w:val="single"/>
          <w:rFonts w:ascii="Times New Roman" w:hAnsi="Times New Roman"/>
        </w:rPr>
      </w:pPr>
      <w:r>
        <w:rPr>
          <w:rFonts w:ascii="Times New Roman" w:hAnsi="Times New Roman"/>
        </w:rPr>
        <w:t xml:space="preserve">La Commission prend note des recommandations et s’efforcera de répondre aux attentes du Parlement, tout en remplissant le mandat de négociation qui lui a été conféré par le Conseil et en trouvant des solutions convenant aux deux parties à l’accord </w:t>
      </w:r>
      <w:r>
        <w:rPr>
          <w:b/>
          <w:bCs/>
          <w:rFonts w:ascii="Times New Roman" w:hAnsi="Times New Roman"/>
        </w:rPr>
        <w:t xml:space="preserve">(paragraphes 29, 30 et 31)</w:t>
      </w:r>
      <w:r>
        <w:rPr>
          <w:rFonts w:ascii="Times New Roman" w:hAnsi="Times New Roman"/>
        </w:rPr>
        <w:t xml:space="preserve">.</w:t>
      </w:r>
    </w:p>
    <w:p w14:paraId="6374D570" w14:textId="2A0D40A0" w:rsidR="009873A3" w:rsidRPr="009873A3" w:rsidRDefault="009873A3" w:rsidP="009873A3">
      <w:pPr>
        <w:spacing w:after="120" w:line="252" w:lineRule="auto"/>
        <w:rPr>
          <w:szCs w:val="24"/>
          <w:rFonts w:ascii="Times New Roman" w:hAnsi="Times New Roman"/>
        </w:rPr>
      </w:pPr>
      <w:r>
        <w:rPr>
          <w:rFonts w:ascii="Times New Roman" w:hAnsi="Times New Roman"/>
        </w:rPr>
        <w:t xml:space="preserve">Le 8 juin 2022, la Commission a adopté les orientations sur l’extradition vers des États tiers</w:t>
      </w:r>
      <w:r>
        <w:rPr>
          <w:rStyle w:val="FootnoteReference"/>
          <w:rFonts w:ascii="Times New Roman" w:hAnsi="Times New Roman"/>
          <w:szCs w:val="24"/>
          <w:lang w:val="en-IE"/>
        </w:rPr>
        <w:footnoteReference w:id="1"/>
      </w:r>
      <w:r>
        <w:rPr>
          <w:rFonts w:ascii="Times New Roman" w:hAnsi="Times New Roman"/>
        </w:rPr>
        <w:t xml:space="preserve">.</w:t>
      </w:r>
      <w:r>
        <w:rPr>
          <w:rFonts w:ascii="Times New Roman" w:hAnsi="Times New Roman"/>
        </w:rPr>
        <w:t xml:space="preserve"> </w:t>
      </w:r>
      <w:r>
        <w:rPr>
          <w:rFonts w:ascii="Times New Roman" w:hAnsi="Times New Roman"/>
        </w:rPr>
        <w:t xml:space="preserve">Ces orientations expliquent brièvement le mécanisme existant d’Interpol visant à éviter l’utilisation abusive de ses notices rouges.</w:t>
      </w:r>
      <w:r>
        <w:rPr>
          <w:rFonts w:ascii="Times New Roman" w:hAnsi="Times New Roman"/>
        </w:rPr>
        <w:t xml:space="preserve"> </w:t>
      </w:r>
      <w:r>
        <w:rPr>
          <w:rFonts w:ascii="Times New Roman" w:hAnsi="Times New Roman"/>
        </w:rPr>
        <w:t xml:space="preserve">En outre, afin de permettre un échange rapide d’informations sur de potentielles demandes d’extradition illicites, en particulier les demandes d’extradition motivées par des considérations politiques, les orientations recommandent la mise en place d’un réseau de points focaux dans tous les États membres de l’UE.</w:t>
      </w:r>
    </w:p>
    <w:p w14:paraId="142D24DF" w14:textId="3C6F4BC5" w:rsidR="00D15514" w:rsidRPr="00383567" w:rsidRDefault="00800998" w:rsidP="000D4E75">
      <w:pPr>
        <w:spacing w:after="120" w:line="252" w:lineRule="auto"/>
        <w:rPr>
          <w:bCs/>
          <w:szCs w:val="24"/>
          <w:rFonts w:ascii="Times New Roman" w:hAnsi="Times New Roman"/>
        </w:rPr>
      </w:pPr>
      <w:r>
        <w:rPr>
          <w:rFonts w:ascii="Times New Roman" w:hAnsi="Times New Roman"/>
        </w:rPr>
        <w:t xml:space="preserve">La Commission estime que le soutien et le renforcement des mécanismes mis en place par Interpol, tels que sa commission indépendante de contrôle des fichiers d’Interpol ou son groupe de travail spécialisé chargé de contrôler chaque notice rouge ou diffusion de notice rouge avant publication, garantiraient l’utilisation des systèmes d’Interpol aux seules fins d’atteindre son objectif, qui est de soutenir et de faciliter la coopération internationale en matière répressive.</w:t>
      </w:r>
      <w:r>
        <w:rPr>
          <w:rFonts w:ascii="Times New Roman" w:hAnsi="Times New Roman"/>
        </w:rPr>
        <w:t xml:space="preserve"> </w:t>
      </w:r>
      <w:r>
        <w:rPr>
          <w:rFonts w:ascii="Times New Roman" w:hAnsi="Times New Roman"/>
        </w:rPr>
        <w:t xml:space="preserve">Dans ce contexte, la Commission prend acte de la recommandation et mènera une réflexion sur la meilleure manière de répondre aux attentes du Parlement, que ce soit dans le cadre des négociations ou en dehors de ce cadre, tout en remplissant le mandat de négociation qui lui a été conféré par le Conseil et en trouvant des solutions convenant aux deux parties à l’accord </w:t>
      </w:r>
      <w:r>
        <w:rPr>
          <w:b/>
          <w:rFonts w:ascii="Times New Roman" w:hAnsi="Times New Roman"/>
        </w:rPr>
        <w:t xml:space="preserve">(paragraphes 36, 37 et 38)</w:t>
      </w:r>
      <w:r>
        <w:rPr>
          <w:rFonts w:ascii="Times New Roman" w:hAnsi="Times New Roman"/>
        </w:rPr>
        <w:t xml:space="preserve">.</w:t>
      </w:r>
    </w:p>
    <w:p w14:paraId="22EC4A2B" w14:textId="60B241D0" w:rsidR="009678F8" w:rsidRPr="00383567" w:rsidRDefault="009678F8" w:rsidP="0095178F">
      <w:pPr>
        <w:pStyle w:val="NormalHanging12a"/>
        <w:widowControl/>
        <w:spacing w:after="120"/>
        <w:ind w:left="357" w:hanging="357"/>
        <w:rPr>
          <w:b/>
          <w:i/>
          <w:szCs w:val="24"/>
        </w:rPr>
      </w:pPr>
      <w:r>
        <w:rPr>
          <w:b/>
          <w:i/>
        </w:rPr>
        <w:t xml:space="preserve">Russie</w:t>
      </w:r>
    </w:p>
    <w:p w14:paraId="5DE60E37" w14:textId="6EDC4899" w:rsidR="00D51E17" w:rsidRPr="00E408FC" w:rsidRDefault="009C6399" w:rsidP="0095178F">
      <w:pPr>
        <w:spacing w:after="120"/>
        <w:rPr>
          <w:szCs w:val="24"/>
          <w:rFonts w:ascii="Times New Roman" w:hAnsi="Times New Roman"/>
        </w:rPr>
      </w:pPr>
      <w:r>
        <w:rPr>
          <w:rFonts w:ascii="Times New Roman" w:hAnsi="Times New Roman"/>
        </w:rPr>
        <w:t xml:space="preserve">La Commission prend note de la recommandation.</w:t>
      </w:r>
      <w:r>
        <w:rPr>
          <w:rFonts w:ascii="Times New Roman" w:hAnsi="Times New Roman"/>
        </w:rPr>
        <w:t xml:space="preserve"> </w:t>
      </w:r>
      <w:r>
        <w:rPr>
          <w:rFonts w:ascii="Times New Roman" w:hAnsi="Times New Roman"/>
        </w:rPr>
        <w:t xml:space="preserve">Ainsi qu’Interpol l’a porté à la connaissance du public, afin de prévenir toute utilisation abusive de ses canaux en ce qui concerne le ciblage de personnes dans le contexte du conflit en Ukraine ou en dehors de celui-ci, des mesures renforcées de surveillance et de contrôle à l’égard de la Russie ont été mises en œuvre par le secrétaire général d’Interpol, décision qui a été approuvée par le comité exécutif d’Interpol le 10 mars 2022 </w:t>
      </w:r>
      <w:r>
        <w:rPr>
          <w:b/>
          <w:rFonts w:ascii="Times New Roman" w:hAnsi="Times New Roman"/>
        </w:rPr>
        <w:t xml:space="preserve">(paragraphe 40)</w:t>
      </w:r>
      <w:r>
        <w:rPr>
          <w:rFonts w:ascii="Times New Roman" w:hAnsi="Times New Roman"/>
        </w:rPr>
        <w:t xml:space="preserve">.</w:t>
      </w:r>
    </w:p>
    <w:p w14:paraId="5DBC2F77" w14:textId="77777777" w:rsidR="009678F8" w:rsidRPr="00383567" w:rsidRDefault="009678F8" w:rsidP="0095178F">
      <w:pPr>
        <w:pStyle w:val="NormalHanging12a"/>
        <w:widowControl/>
        <w:spacing w:after="120"/>
        <w:ind w:left="357" w:hanging="357"/>
        <w:rPr>
          <w:b/>
          <w:i/>
          <w:szCs w:val="24"/>
        </w:rPr>
      </w:pPr>
      <w:r>
        <w:rPr>
          <w:b/>
          <w:i/>
        </w:rPr>
        <w:t xml:space="preserve">Observations finales</w:t>
      </w:r>
    </w:p>
    <w:p w14:paraId="1775E01E" w14:textId="77777777" w:rsidR="00D51E17" w:rsidRPr="00383567" w:rsidRDefault="00FA7508" w:rsidP="0095178F">
      <w:pPr>
        <w:spacing w:after="120"/>
        <w:rPr>
          <w:b/>
          <w:szCs w:val="24"/>
          <w:rFonts w:ascii="Times New Roman" w:hAnsi="Times New Roman"/>
        </w:rPr>
      </w:pPr>
      <w:r>
        <w:rPr>
          <w:rFonts w:ascii="Times New Roman" w:hAnsi="Times New Roman"/>
        </w:rPr>
        <w:t xml:space="preserve">La Commission se tient à la disposition du Parlement européen pour toute information, comme c’est le cas pour d’autres accords internationaux </w:t>
      </w:r>
      <w:r>
        <w:rPr>
          <w:b/>
          <w:rFonts w:ascii="Times New Roman" w:hAnsi="Times New Roman"/>
        </w:rPr>
        <w:t xml:space="preserve">(paragraphe 45)</w:t>
      </w:r>
      <w:r>
        <w:rPr>
          <w:rFonts w:ascii="Times New Roman" w:hAnsi="Times New Roman"/>
        </w:rPr>
        <w:t xml:space="preserve">.</w:t>
      </w:r>
    </w:p>
    <w:sectPr w:rsidR="00D51E17" w:rsidRPr="00383567" w:rsidSect="005D60A2">
      <w:footerReference w:type="default" r:id="rId8"/>
      <w:footerReference w:type="first" r:id="rId9"/>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BD4E1" w14:textId="77777777" w:rsidR="00606943" w:rsidRDefault="00606943" w:rsidP="000D6119">
      <w:pPr>
        <w:spacing w:after="0"/>
      </w:pPr>
      <w:r>
        <w:separator/>
      </w:r>
    </w:p>
  </w:endnote>
  <w:endnote w:type="continuationSeparator" w:id="0">
    <w:p w14:paraId="6B628F6C" w14:textId="77777777" w:rsidR="00606943" w:rsidRDefault="00606943" w:rsidP="000D61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148665"/>
      <w:docPartObj>
        <w:docPartGallery w:val="Page Numbers (Bottom of Page)"/>
        <w:docPartUnique/>
      </w:docPartObj>
    </w:sdtPr>
    <w:sdtEndPr>
      <w:rPr>
        <w:noProof/>
        <w:sz w:val="18"/>
      </w:rPr>
    </w:sdtEndPr>
    <w:sdtContent>
      <w:p w14:paraId="477F93F0" w14:textId="3FB61A16" w:rsidR="005D60A2" w:rsidRPr="00807B13" w:rsidRDefault="000D6119">
        <w:pPr>
          <w:pStyle w:val="Footer"/>
          <w:jc w:val="center"/>
          <w:rPr>
            <w:sz w:val="18"/>
          </w:rPr>
        </w:pPr>
        <w:r>
          <w:rPr>
            <w:sz w:val="18"/>
          </w:rPr>
          <w:fldChar w:fldCharType="begin"/>
        </w:r>
        <w:r>
          <w:rPr>
            <w:sz w:val="18"/>
          </w:rPr>
          <w:instrText xml:space="preserve"> PAGE   \* MERGEFORMAT </w:instrText>
        </w:r>
        <w:r>
          <w:rPr>
            <w:sz w:val="18"/>
          </w:rPr>
          <w:fldChar w:fldCharType="separate"/>
        </w:r>
        <w:r>
          <w:rPr>
            <w:sz w:val="18"/>
          </w:rPr>
          <w:t xml:space="preserve">3</w:t>
        </w:r>
        <w:r>
          <w:rPr>
            <w:sz w:val="18"/>
          </w:rPr>
          <w:fldChar w:fldCharType="end"/>
        </w:r>
      </w:p>
    </w:sdtContent>
  </w:sdt>
  <w:p w14:paraId="045B4B23" w14:textId="77777777" w:rsidR="005D60A2" w:rsidRDefault="00353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C5B2" w14:textId="0834B8B8" w:rsidR="00353FB2" w:rsidRDefault="00353FB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color w:val="5B9BD5" w:themeColor="accent1"/>
      </w:rPr>
      <w:t xml:space="preserve">1</w:t>
    </w:r>
    <w:r>
      <w:rPr>
        <w:caps/>
        <w:color w:val="5B9BD5" w:themeColor="accent1"/>
      </w:rPr>
      <w:fldChar w:fldCharType="end"/>
    </w:r>
  </w:p>
  <w:p w14:paraId="28EE6482" w14:textId="77777777" w:rsidR="009A6381" w:rsidRDefault="0035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CE43F" w14:textId="77777777" w:rsidR="00606943" w:rsidRDefault="00606943" w:rsidP="000D6119">
      <w:pPr>
        <w:spacing w:after="0"/>
      </w:pPr>
      <w:r>
        <w:separator/>
      </w:r>
    </w:p>
  </w:footnote>
  <w:footnote w:type="continuationSeparator" w:id="0">
    <w:p w14:paraId="0705091C" w14:textId="77777777" w:rsidR="00606943" w:rsidRDefault="00606943" w:rsidP="000D6119">
      <w:pPr>
        <w:spacing w:after="0"/>
      </w:pPr>
      <w:r>
        <w:continuationSeparator/>
      </w:r>
    </w:p>
  </w:footnote>
  <w:footnote w:id="1">
    <w:p w14:paraId="6D3DEE75" w14:textId="43ADAEF9" w:rsidR="00C32891" w:rsidRPr="009873A3" w:rsidRDefault="009873A3" w:rsidP="00C32891">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1" w:history="1">
        <w:r>
          <w:rPr>
            <w:rStyle w:val="Hyperlink"/>
            <w:rFonts w:ascii="Times New Roman" w:hAnsi="Times New Roman"/>
          </w:rPr>
          <w:t xml:space="preserve">https://eur-lex.europa.eu/legal-content/FR/TXT/?uri=CELEX:52022XC0608(01)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80CF9"/>
    <w:multiLevelType w:val="hybridMultilevel"/>
    <w:tmpl w:val="4FFC0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AC94288"/>
    <w:multiLevelType w:val="hybridMultilevel"/>
    <w:tmpl w:val="2A741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nl-BE" w:vendorID="64" w:dllVersion="131078" w:nlCheck="1" w:checkStyle="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D6119"/>
    <w:rsid w:val="000304D5"/>
    <w:rsid w:val="00054B7B"/>
    <w:rsid w:val="00095678"/>
    <w:rsid w:val="000C0FC9"/>
    <w:rsid w:val="000C4647"/>
    <w:rsid w:val="000D4E75"/>
    <w:rsid w:val="000D6119"/>
    <w:rsid w:val="001510EF"/>
    <w:rsid w:val="001942AF"/>
    <w:rsid w:val="00197772"/>
    <w:rsid w:val="001F478E"/>
    <w:rsid w:val="00285B36"/>
    <w:rsid w:val="002A73B9"/>
    <w:rsid w:val="00316E6A"/>
    <w:rsid w:val="00323F02"/>
    <w:rsid w:val="003263EC"/>
    <w:rsid w:val="00353FB2"/>
    <w:rsid w:val="00355E62"/>
    <w:rsid w:val="00383567"/>
    <w:rsid w:val="003954CF"/>
    <w:rsid w:val="003A5C88"/>
    <w:rsid w:val="003B1B02"/>
    <w:rsid w:val="00402794"/>
    <w:rsid w:val="004E4858"/>
    <w:rsid w:val="005128DB"/>
    <w:rsid w:val="00596DD3"/>
    <w:rsid w:val="00606943"/>
    <w:rsid w:val="0065777E"/>
    <w:rsid w:val="0069466F"/>
    <w:rsid w:val="00773B8E"/>
    <w:rsid w:val="00791FEE"/>
    <w:rsid w:val="007A7242"/>
    <w:rsid w:val="007A74FE"/>
    <w:rsid w:val="007C21B6"/>
    <w:rsid w:val="00800998"/>
    <w:rsid w:val="00852C78"/>
    <w:rsid w:val="00877D05"/>
    <w:rsid w:val="008A02F4"/>
    <w:rsid w:val="008A55A4"/>
    <w:rsid w:val="0090541C"/>
    <w:rsid w:val="00923017"/>
    <w:rsid w:val="0093758E"/>
    <w:rsid w:val="0095178F"/>
    <w:rsid w:val="009678F8"/>
    <w:rsid w:val="009873A3"/>
    <w:rsid w:val="00991571"/>
    <w:rsid w:val="009C1E31"/>
    <w:rsid w:val="009C6399"/>
    <w:rsid w:val="009E52B3"/>
    <w:rsid w:val="00A77236"/>
    <w:rsid w:val="00AB6C48"/>
    <w:rsid w:val="00B34298"/>
    <w:rsid w:val="00B733C4"/>
    <w:rsid w:val="00BC33B6"/>
    <w:rsid w:val="00BF5B72"/>
    <w:rsid w:val="00C32891"/>
    <w:rsid w:val="00C6651F"/>
    <w:rsid w:val="00CB54EC"/>
    <w:rsid w:val="00CF132F"/>
    <w:rsid w:val="00CF2FE4"/>
    <w:rsid w:val="00D13456"/>
    <w:rsid w:val="00D137A1"/>
    <w:rsid w:val="00D15514"/>
    <w:rsid w:val="00D51E17"/>
    <w:rsid w:val="00D61695"/>
    <w:rsid w:val="00D7434E"/>
    <w:rsid w:val="00DD7E6C"/>
    <w:rsid w:val="00DF6BF6"/>
    <w:rsid w:val="00E408FC"/>
    <w:rsid w:val="00E61F71"/>
    <w:rsid w:val="00ED1913"/>
    <w:rsid w:val="00F23CA1"/>
    <w:rsid w:val="00F36287"/>
    <w:rsid w:val="00F71449"/>
    <w:rsid w:val="00F771D3"/>
    <w:rsid w:val="00FA7508"/>
    <w:rsid w:val="00FD2E89"/>
    <w:rsid w:val="00FE1F3F"/>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82FB"/>
  <w15:chartTrackingRefBased/>
  <w15:docId w15:val="{9F4819BA-69CA-475C-9AF2-CB9A7DC2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119"/>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0D6119"/>
    <w:pPr>
      <w:ind w:left="357" w:hanging="357"/>
    </w:pPr>
    <w:rPr>
      <w:sz w:val="20"/>
    </w:rPr>
  </w:style>
  <w:style w:type="character" w:customStyle="1" w:styleId="FootnoteTextChar">
    <w:name w:val="Footnote Text Char"/>
    <w:basedOn w:val="DefaultParagraphFont"/>
    <w:uiPriority w:val="99"/>
    <w:semiHidden/>
    <w:rsid w:val="000D6119"/>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0D6119"/>
    <w:rPr>
      <w:vertAlign w:val="superscript"/>
    </w:rPr>
  </w:style>
  <w:style w:type="character" w:styleId="Hyperlink">
    <w:name w:val="Hyperlink"/>
    <w:aliases w:val="Char1"/>
    <w:uiPriority w:val="99"/>
    <w:rsid w:val="000D6119"/>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0D6119"/>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0D6119"/>
    <w:pPr>
      <w:spacing w:after="160" w:line="240" w:lineRule="exact"/>
      <w:jc w:val="left"/>
    </w:pPr>
    <w:rPr>
      <w:rFonts w:asciiTheme="minorHAnsi" w:eastAsiaTheme="minorHAnsi" w:hAnsiTheme="minorHAnsi" w:cstheme="minorBidi"/>
      <w:sz w:val="22"/>
      <w:szCs w:val="22"/>
      <w:vertAlign w:val="superscript"/>
      <w:lang w:eastAsia="en-US"/>
    </w:rPr>
  </w:style>
  <w:style w:type="character" w:customStyle="1" w:styleId="st">
    <w:name w:val="st"/>
    <w:basedOn w:val="DefaultParagraphFont"/>
    <w:rsid w:val="000D6119"/>
  </w:style>
  <w:style w:type="paragraph" w:styleId="Header">
    <w:name w:val="header"/>
    <w:basedOn w:val="Normal"/>
    <w:link w:val="HeaderChar"/>
    <w:uiPriority w:val="99"/>
    <w:unhideWhenUsed/>
    <w:rsid w:val="000D6119"/>
    <w:pPr>
      <w:tabs>
        <w:tab w:val="center" w:pos="4680"/>
        <w:tab w:val="right" w:pos="9360"/>
      </w:tabs>
      <w:spacing w:after="0"/>
    </w:pPr>
  </w:style>
  <w:style w:type="character" w:customStyle="1" w:styleId="HeaderChar">
    <w:name w:val="Header Char"/>
    <w:basedOn w:val="DefaultParagraphFont"/>
    <w:link w:val="Header"/>
    <w:uiPriority w:val="99"/>
    <w:rsid w:val="000D6119"/>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0D6119"/>
    <w:pPr>
      <w:tabs>
        <w:tab w:val="center" w:pos="4680"/>
        <w:tab w:val="right" w:pos="9360"/>
      </w:tabs>
      <w:spacing w:after="0"/>
    </w:pPr>
  </w:style>
  <w:style w:type="character" w:customStyle="1" w:styleId="FooterChar">
    <w:name w:val="Footer Char"/>
    <w:basedOn w:val="DefaultParagraphFont"/>
    <w:link w:val="Footer"/>
    <w:uiPriority w:val="99"/>
    <w:rsid w:val="000D6119"/>
    <w:rPr>
      <w:rFonts w:ascii="Courier New" w:eastAsia="Times New Roman" w:hAnsi="Courier New" w:cs="Times New Roman"/>
      <w:sz w:val="24"/>
      <w:szCs w:val="20"/>
      <w:lang w:eastAsia="en-GB"/>
    </w:rPr>
  </w:style>
  <w:style w:type="paragraph" w:customStyle="1" w:styleId="NormalHanging12a">
    <w:name w:val="NormalHanging12a"/>
    <w:basedOn w:val="Normal"/>
    <w:rsid w:val="009678F8"/>
    <w:pPr>
      <w:widowControl w:val="0"/>
      <w:ind w:left="567" w:hanging="567"/>
      <w:jc w:val="left"/>
    </w:pPr>
    <w:rPr>
      <w:rFonts w:ascii="Times New Roman" w:hAnsi="Times New Roman"/>
    </w:rPr>
  </w:style>
  <w:style w:type="character" w:styleId="CommentReference">
    <w:name w:val="annotation reference"/>
    <w:basedOn w:val="DefaultParagraphFont"/>
    <w:uiPriority w:val="99"/>
    <w:semiHidden/>
    <w:unhideWhenUsed/>
    <w:rsid w:val="005128DB"/>
    <w:rPr>
      <w:sz w:val="16"/>
      <w:szCs w:val="16"/>
    </w:rPr>
  </w:style>
  <w:style w:type="paragraph" w:styleId="CommentText">
    <w:name w:val="annotation text"/>
    <w:basedOn w:val="Normal"/>
    <w:link w:val="CommentTextChar"/>
    <w:uiPriority w:val="99"/>
    <w:unhideWhenUsed/>
    <w:rsid w:val="005128DB"/>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5128DB"/>
    <w:rPr>
      <w:sz w:val="20"/>
      <w:szCs w:val="20"/>
    </w:rPr>
  </w:style>
  <w:style w:type="paragraph" w:styleId="BalloonText">
    <w:name w:val="Balloon Text"/>
    <w:basedOn w:val="Normal"/>
    <w:link w:val="BalloonTextChar"/>
    <w:uiPriority w:val="99"/>
    <w:semiHidden/>
    <w:unhideWhenUsed/>
    <w:rsid w:val="005128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B"/>
    <w:rPr>
      <w:rFonts w:ascii="Segoe UI" w:eastAsia="Times New Roman" w:hAnsi="Segoe UI" w:cs="Segoe UI"/>
      <w:sz w:val="18"/>
      <w:szCs w:val="18"/>
      <w:lang w:eastAsia="en-GB"/>
    </w:rPr>
  </w:style>
  <w:style w:type="character" w:customStyle="1" w:styleId="ListParagraphChar">
    <w:name w:val="List Paragraph Char"/>
    <w:aliases w:val="просто Char,List Paragraph1 Char,Абзац списка1 Char,Абзац списка3 Char,Абзац списка11 Char,Dot pt Char,F5 List Paragraph Char,No Spacing1 Char,List Paragraph Char Char Char Char,Indicator Text Char,Colorful List - Accent 11 Char"/>
    <w:basedOn w:val="DefaultParagraphFont"/>
    <w:link w:val="ListParagraph"/>
    <w:uiPriority w:val="34"/>
    <w:locked/>
    <w:rsid w:val="00B34298"/>
  </w:style>
  <w:style w:type="paragraph" w:styleId="ListParagraph">
    <w:name w:val="List Paragraph"/>
    <w:aliases w:val="просто,List Paragraph1,Абзац списка1,Абзац списка3,Абзац списка11,Dot pt,F5 List Paragraph,No Spacing1,List Paragraph Char Char Char,Indicator Text,Colorful List - Accent 11,Numbered Para 1,Bullet 1,Bullet Points,MAIN CONTENT,OBC Bullet,L"/>
    <w:basedOn w:val="Normal"/>
    <w:link w:val="ListParagraphChar"/>
    <w:uiPriority w:val="34"/>
    <w:qFormat/>
    <w:rsid w:val="00B34298"/>
    <w:pPr>
      <w:spacing w:after="160" w:line="256" w:lineRule="auto"/>
      <w:ind w:left="720"/>
      <w:contextualSpacing/>
      <w:jc w:val="left"/>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095678"/>
    <w:pPr>
      <w:spacing w:after="240"/>
      <w:jc w:val="both"/>
    </w:pPr>
    <w:rPr>
      <w:rFonts w:ascii="Courier New" w:eastAsia="Times New Roman" w:hAnsi="Courier New" w:cs="Times New Roman"/>
      <w:b/>
      <w:bCs/>
      <w:lang w:eastAsia="en-GB"/>
    </w:rPr>
  </w:style>
  <w:style w:type="character" w:customStyle="1" w:styleId="CommentSubjectChar">
    <w:name w:val="Comment Subject Char"/>
    <w:basedOn w:val="CommentTextChar"/>
    <w:link w:val="CommentSubject"/>
    <w:uiPriority w:val="99"/>
    <w:semiHidden/>
    <w:rsid w:val="00095678"/>
    <w:rPr>
      <w:rFonts w:ascii="Courier New" w:eastAsia="Times New Roman" w:hAnsi="Courier New" w:cs="Times New Roman"/>
      <w:b/>
      <w:bCs/>
      <w:sz w:val="20"/>
      <w:szCs w:val="20"/>
      <w:lang w:eastAsia="en-GB"/>
    </w:rPr>
  </w:style>
  <w:style w:type="character" w:styleId="FollowedHyperlink">
    <w:name w:val="FollowedHyperlink"/>
    <w:basedOn w:val="DefaultParagraphFont"/>
    <w:uiPriority w:val="99"/>
    <w:semiHidden/>
    <w:unhideWhenUsed/>
    <w:rsid w:val="00C32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5940">
      <w:bodyDiv w:val="1"/>
      <w:marLeft w:val="0"/>
      <w:marRight w:val="0"/>
      <w:marTop w:val="0"/>
      <w:marBottom w:val="0"/>
      <w:divBdr>
        <w:top w:val="none" w:sz="0" w:space="0" w:color="auto"/>
        <w:left w:val="none" w:sz="0" w:space="0" w:color="auto"/>
        <w:bottom w:val="none" w:sz="0" w:space="0" w:color="auto"/>
        <w:right w:val="none" w:sz="0" w:space="0" w:color="auto"/>
      </w:divBdr>
    </w:div>
    <w:div w:id="1649241234">
      <w:bodyDiv w:val="1"/>
      <w:marLeft w:val="0"/>
      <w:marRight w:val="0"/>
      <w:marTop w:val="0"/>
      <w:marBottom w:val="0"/>
      <w:divBdr>
        <w:top w:val="none" w:sz="0" w:space="0" w:color="auto"/>
        <w:left w:val="none" w:sz="0" w:space="0" w:color="auto"/>
        <w:bottom w:val="none" w:sz="0" w:space="0" w:color="auto"/>
        <w:right w:val="none" w:sz="0" w:space="0" w:color="auto"/>
      </w:divBdr>
    </w:div>
    <w:div w:id="18797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&#65279;<?xml version="1.0" encoding="UTF-8" standalone="yes"?>
<Relationships xmlns="http://schemas.openxmlformats.org/package/2006/relationships"><Relationship Id="rId1" Type="http://schemas.openxmlformats.org/officeDocument/2006/relationships/hyperlink" Target="https://eur-lex.europa.eu/legal-content/FR/TXT/?uri=CELEX:52022XC06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4255-CEB5-411A-802E-57BFADEC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5539</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ALMEIDA Maria Jose (SG)</dc:creator>
  <cp:keywords/>
  <dc:description/>
  <cp:lastModifiedBy>BIANCHIN Raffaella (SG)</cp:lastModifiedBy>
  <cp:revision>6</cp:revision>
  <dcterms:created xsi:type="dcterms:W3CDTF">2022-07-28T14:43:00Z</dcterms:created>
  <dcterms:modified xsi:type="dcterms:W3CDTF">2022-09-05T13:43:00Z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2022-07-25T08:54:19Z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17d267a2-65af-4a98-a95c-2d867dbe0b84</vt:lpwstr>
  </property>
  <property fmtid="{D5CDD505-2E9C-101B-9397-08002B2CF9AE}" pid="8" name="MSIP_Label_6bd9ddd1-4d20-43f6-abfa-fc3c07406f94_ContentBits">
    <vt:lpwstr>0</vt:lpwstr>
  </property>
</Properties>
</file>