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78EF4" w14:textId="264E7C50" w:rsidR="00963420" w:rsidRPr="00C33439" w:rsidRDefault="00963420" w:rsidP="00980395">
      <w:pPr>
        <w:spacing w:after="600"/>
        <w:jc w:val="center"/>
        <w:rPr>
          <w:rFonts w:ascii="Times New Roman" w:hAnsi="Times New Roman"/>
          <w:b/>
          <w:bCs/>
          <w:szCs w:val="24"/>
        </w:rPr>
      </w:pPr>
      <w:r>
        <w:rPr>
          <w:rFonts w:ascii="Times New Roman" w:hAnsi="Times New Roman"/>
          <w:b/>
        </w:rPr>
        <w:t xml:space="preserve">Suite donnée à la résolution non législative du Parlement européen sur </w:t>
      </w:r>
      <w:r>
        <w:br/>
      </w:r>
      <w:r>
        <w:rPr>
          <w:rFonts w:ascii="Times New Roman" w:hAnsi="Times New Roman"/>
          <w:b/>
        </w:rPr>
        <w:t>la future coopération UE-Inde en matière de commerce et d’investissement</w:t>
      </w:r>
    </w:p>
    <w:p w14:paraId="5A53DA31" w14:textId="77777777" w:rsidR="00963420" w:rsidRPr="0084310E" w:rsidRDefault="00963420" w:rsidP="0084310E">
      <w:pPr>
        <w:numPr>
          <w:ilvl w:val="0"/>
          <w:numId w:val="34"/>
        </w:numPr>
        <w:ind w:left="567" w:hanging="567"/>
        <w:rPr>
          <w:rFonts w:ascii="Times New Roman" w:hAnsi="Times New Roman"/>
          <w:i/>
          <w:szCs w:val="24"/>
        </w:rPr>
      </w:pPr>
      <w:r>
        <w:rPr>
          <w:rFonts w:ascii="Times New Roman" w:hAnsi="Times New Roman"/>
          <w:b/>
        </w:rPr>
        <w:t>Rapporteur:</w:t>
      </w:r>
      <w:r>
        <w:rPr>
          <w:rFonts w:ascii="Times New Roman" w:hAnsi="Times New Roman"/>
        </w:rPr>
        <w:t xml:space="preserve"> Geert Bourgeois (ECR/BE)</w:t>
      </w:r>
    </w:p>
    <w:p w14:paraId="5DE66270" w14:textId="6962140E" w:rsidR="00963420" w:rsidRPr="005652FA" w:rsidRDefault="00063DCE" w:rsidP="0084310E">
      <w:pPr>
        <w:pStyle w:val="Default"/>
        <w:numPr>
          <w:ilvl w:val="0"/>
          <w:numId w:val="34"/>
        </w:numPr>
        <w:spacing w:after="240"/>
        <w:ind w:left="567" w:hanging="567"/>
        <w:jc w:val="both"/>
        <w:rPr>
          <w:color w:val="auto"/>
        </w:rPr>
      </w:pPr>
      <w:r>
        <w:rPr>
          <w:b/>
          <w:color w:val="auto"/>
        </w:rPr>
        <w:t xml:space="preserve">Numéro de référence: </w:t>
      </w:r>
      <w:r>
        <w:rPr>
          <w:color w:val="auto"/>
        </w:rPr>
        <w:t xml:space="preserve">2021/2177 (INI) / </w:t>
      </w:r>
      <w:r>
        <w:t>A9-0193/2022</w:t>
      </w:r>
      <w:r>
        <w:rPr>
          <w:color w:val="auto"/>
        </w:rPr>
        <w:t xml:space="preserve"> / P9_TA(2022)0277</w:t>
      </w:r>
    </w:p>
    <w:p w14:paraId="6A5B5E51" w14:textId="77777777" w:rsidR="001F0B89" w:rsidRDefault="00963420" w:rsidP="0084310E">
      <w:pPr>
        <w:numPr>
          <w:ilvl w:val="0"/>
          <w:numId w:val="34"/>
        </w:numPr>
        <w:ind w:left="567" w:hanging="567"/>
        <w:rPr>
          <w:rFonts w:ascii="Times New Roman" w:hAnsi="Times New Roman"/>
          <w:szCs w:val="24"/>
        </w:rPr>
      </w:pPr>
      <w:r>
        <w:rPr>
          <w:rFonts w:ascii="Times New Roman" w:hAnsi="Times New Roman"/>
          <w:b/>
        </w:rPr>
        <w:t>Date d’adoption de la résolution:</w:t>
      </w:r>
      <w:r>
        <w:rPr>
          <w:rFonts w:ascii="Times New Roman" w:hAnsi="Times New Roman"/>
        </w:rPr>
        <w:t xml:space="preserve"> 5 juillet 2022</w:t>
      </w:r>
    </w:p>
    <w:p w14:paraId="4E3E3E63" w14:textId="77777777" w:rsidR="00963420" w:rsidRPr="00A0010B" w:rsidRDefault="00963420" w:rsidP="0084310E">
      <w:pPr>
        <w:numPr>
          <w:ilvl w:val="0"/>
          <w:numId w:val="34"/>
        </w:numPr>
        <w:ind w:left="567" w:hanging="567"/>
        <w:rPr>
          <w:rFonts w:ascii="Times New Roman" w:hAnsi="Times New Roman"/>
          <w:i/>
          <w:szCs w:val="24"/>
        </w:rPr>
      </w:pPr>
      <w:r>
        <w:rPr>
          <w:rFonts w:ascii="Times New Roman" w:hAnsi="Times New Roman"/>
          <w:b/>
        </w:rPr>
        <w:t xml:space="preserve">Commission parlementaire compétente: </w:t>
      </w:r>
      <w:r>
        <w:rPr>
          <w:rFonts w:ascii="Times New Roman" w:hAnsi="Times New Roman"/>
        </w:rPr>
        <w:t>commission du commerce international</w:t>
      </w:r>
    </w:p>
    <w:p w14:paraId="44EC4A8F" w14:textId="77777777" w:rsidR="00963420" w:rsidRPr="00E35E25" w:rsidRDefault="00963420" w:rsidP="0084310E">
      <w:pPr>
        <w:widowControl w:val="0"/>
        <w:numPr>
          <w:ilvl w:val="0"/>
          <w:numId w:val="34"/>
        </w:numPr>
        <w:ind w:left="567" w:hanging="567"/>
        <w:rPr>
          <w:rFonts w:ascii="Times New Roman" w:hAnsi="Times New Roman"/>
          <w:b/>
          <w:szCs w:val="24"/>
        </w:rPr>
      </w:pPr>
      <w:r>
        <w:rPr>
          <w:rFonts w:ascii="Times New Roman" w:hAnsi="Times New Roman"/>
          <w:b/>
        </w:rPr>
        <w:t>Analyse/évaluation succincte de la résolution et des demandes qu’elle contient:</w:t>
      </w:r>
    </w:p>
    <w:p w14:paraId="37F52DAF" w14:textId="77777777" w:rsidR="00E35E25" w:rsidRDefault="00E35E25" w:rsidP="00980395">
      <w:pPr>
        <w:spacing w:after="120"/>
        <w:rPr>
          <w:rFonts w:ascii="Times New Roman" w:hAnsi="Times New Roman"/>
          <w:szCs w:val="24"/>
        </w:rPr>
      </w:pPr>
      <w:r>
        <w:rPr>
          <w:rFonts w:ascii="Times New Roman" w:hAnsi="Times New Roman"/>
        </w:rPr>
        <w:t>La résolution sur la future coopération UE-Inde en matière de commerce et d’investissement exprime la position du Parlement européen en ce qui concerne les relations entre l’UE et l’Inde en matière de commerce et d’investissement, en particulier dans la perspective de la reprise des négociations commerciales bilatérales et du lancement de négociations distinctes sur la protection des investissements et sur les indications géographiques (IG).</w:t>
      </w:r>
    </w:p>
    <w:p w14:paraId="53E67554" w14:textId="77777777" w:rsidR="009F6502" w:rsidRDefault="009F6502" w:rsidP="00980395">
      <w:pPr>
        <w:spacing w:after="120"/>
        <w:rPr>
          <w:rFonts w:ascii="Times New Roman" w:hAnsi="Times New Roman"/>
          <w:szCs w:val="24"/>
        </w:rPr>
      </w:pPr>
      <w:r>
        <w:rPr>
          <w:rFonts w:ascii="Times New Roman" w:hAnsi="Times New Roman"/>
        </w:rPr>
        <w:t>Dans sa résolution, le Parlement reconnaît l’importance de l’Inde en tant que partenaire stratégique et soutient l’amélioration et l’approfondissement des relations bilatérales entre l’UE et l’Inde sur la base de valeurs communes. Il soutient la conclusion d’un accord commercial ambitieux, fondé sur des valeurs, équilibré, global et mutuellement bénéfique, ainsi que d’un accord distinct de protection des investissements et d’un accord sur les indications géographiques. Il se montre également favorable à la recherche de solutions aux problèmes d’accès au marché qui se posent de longue date, pour maintenir la dynamique de la reprise des négociations commerciales. En outre, le Parlement se félicite de la décision d’instituer un Conseil du commerce et des technologies UE-Inde.</w:t>
      </w:r>
    </w:p>
    <w:p w14:paraId="4B3000CA" w14:textId="32F2A5C7" w:rsidR="008779B9" w:rsidRDefault="008A6F31" w:rsidP="00980395">
      <w:pPr>
        <w:spacing w:after="120"/>
        <w:rPr>
          <w:rFonts w:ascii="Times New Roman" w:hAnsi="Times New Roman"/>
          <w:szCs w:val="24"/>
        </w:rPr>
      </w:pPr>
      <w:r>
        <w:rPr>
          <w:rFonts w:ascii="Times New Roman" w:hAnsi="Times New Roman"/>
        </w:rPr>
        <w:t>Dans sa résolution, le Parlement estime que le mandat de négociation actuel, datant de 2007, est suffisamment complet et large pour permettre la reprise des négociations, et devrait être interprété selon les normes les plus modernes. Cela implique notamment que l’accord commercial devrait inclure des chapitres spécifiques sur le commerce numérique, les matières premières et les petites et moyennes entreprises (PME). Il devrait également comporter un chapitre ambitieux et exécutoire sur le commerce et le développement durable (CDD), qui tienne compte des résultats du réexamen CDD et soit en correspondance avec l’accord de Paris, et devrait également comporter des dispositions sur les systèmes alimentaires durables et sur le genre. À ces chapitres devraient s’ajouter des chapitres sur l’accès au marché pour les biens, les services et les marchés publics, les questions sanitaires et phytosanitaires (SPS), les obstacles techniques au commerce (OTC) et les droits de propriété intellectuelle (DPI).</w:t>
      </w:r>
    </w:p>
    <w:p w14:paraId="0B9B2718" w14:textId="39DE4F96" w:rsidR="00E35E25" w:rsidRPr="008F6C23" w:rsidRDefault="00212AB0" w:rsidP="00980395">
      <w:pPr>
        <w:spacing w:after="120"/>
        <w:rPr>
          <w:rFonts w:ascii="Times New Roman" w:hAnsi="Times New Roman"/>
          <w:szCs w:val="24"/>
        </w:rPr>
      </w:pPr>
      <w:r>
        <w:rPr>
          <w:rFonts w:ascii="Times New Roman" w:hAnsi="Times New Roman"/>
        </w:rPr>
        <w:t>Le Parlement poursuit en défin</w:t>
      </w:r>
      <w:r w:rsidR="006252AA">
        <w:rPr>
          <w:rFonts w:ascii="Times New Roman" w:hAnsi="Times New Roman"/>
        </w:rPr>
        <w:t xml:space="preserve">issant en détail ses priorités </w:t>
      </w:r>
      <w:r>
        <w:rPr>
          <w:rFonts w:ascii="Times New Roman" w:hAnsi="Times New Roman"/>
        </w:rPr>
        <w:t>pour les différents chapitres de l’accord commercial et pour le cadre institutionnel, ainsi que pour les négociations sur la protection des investissements et sur les indications géographiques. En outre, il met en évidence un certain nombre de questions bilatérales connexes pour lesquelles il souhaiterait que des progrès soient réalisés.</w:t>
      </w:r>
    </w:p>
    <w:p w14:paraId="5A3771CC" w14:textId="0C6CDCA9" w:rsidR="00963420" w:rsidRDefault="00963420" w:rsidP="0084310E">
      <w:pPr>
        <w:widowControl w:val="0"/>
        <w:numPr>
          <w:ilvl w:val="0"/>
          <w:numId w:val="34"/>
        </w:numPr>
        <w:ind w:left="567" w:hanging="567"/>
        <w:rPr>
          <w:rFonts w:ascii="Times New Roman" w:hAnsi="Times New Roman"/>
          <w:b/>
          <w:szCs w:val="24"/>
        </w:rPr>
      </w:pPr>
      <w:r>
        <w:rPr>
          <w:rFonts w:ascii="Times New Roman" w:hAnsi="Times New Roman"/>
          <w:b/>
        </w:rPr>
        <w:t>Réponse aux demandes et aperçu des mesures que la Commission a prises ou envisage de prendre:</w:t>
      </w:r>
    </w:p>
    <w:p w14:paraId="1C159426" w14:textId="4B75DE40" w:rsidR="00212AB0" w:rsidRPr="00212AB0" w:rsidRDefault="00F35E22" w:rsidP="00980395">
      <w:pPr>
        <w:widowControl w:val="0"/>
        <w:spacing w:after="120"/>
        <w:rPr>
          <w:rFonts w:ascii="Times New Roman" w:hAnsi="Times New Roman"/>
          <w:szCs w:val="24"/>
        </w:rPr>
      </w:pPr>
      <w:r>
        <w:rPr>
          <w:rFonts w:ascii="Times New Roman" w:hAnsi="Times New Roman"/>
        </w:rPr>
        <w:t>La Commission européenne se félicite de la résolution du Parlement européen sur la future coopération UE-Inde en matière de commerce e</w:t>
      </w:r>
      <w:r w:rsidR="006252AA">
        <w:rPr>
          <w:rFonts w:ascii="Times New Roman" w:hAnsi="Times New Roman"/>
        </w:rPr>
        <w:t xml:space="preserve">t d’investissement. Elle salue </w:t>
      </w:r>
      <w:r>
        <w:rPr>
          <w:rFonts w:ascii="Times New Roman" w:hAnsi="Times New Roman"/>
        </w:rPr>
        <w:t xml:space="preserve">l’attachement résolu du Parlement aux trois volets des négociations bilatérales UE-Inde sur le commerce, la protection des investissements et les indications géographiques. Elle se félicite également </w:t>
      </w:r>
      <w:r>
        <w:rPr>
          <w:rFonts w:ascii="Times New Roman" w:hAnsi="Times New Roman"/>
        </w:rPr>
        <w:lastRenderedPageBreak/>
        <w:t>de l’approche largement convergente entre la Commission et le Parlement concernant ces négociations. La résolution constituera un point de référence important pour la Commission et fournira des orientations utiles au cours des négociations bilatérales avec l’Inde. S’agissant des exigences spécifiques formulées dans la résolution en ce qui concerne ses travaux, la Commission souhaite formuler les observations suivantes:</w:t>
      </w:r>
    </w:p>
    <w:p w14:paraId="02E14502" w14:textId="77777777" w:rsidR="00212AB0" w:rsidRDefault="00C860BE" w:rsidP="00980395">
      <w:pPr>
        <w:widowControl w:val="0"/>
        <w:spacing w:after="120"/>
        <w:rPr>
          <w:rFonts w:ascii="Times New Roman" w:hAnsi="Times New Roman"/>
          <w:szCs w:val="24"/>
        </w:rPr>
      </w:pPr>
      <w:r>
        <w:rPr>
          <w:rFonts w:ascii="Times New Roman" w:hAnsi="Times New Roman"/>
          <w:b/>
        </w:rPr>
        <w:t xml:space="preserve">Point 1: </w:t>
      </w:r>
      <w:r>
        <w:rPr>
          <w:rFonts w:ascii="Times New Roman" w:hAnsi="Times New Roman"/>
        </w:rPr>
        <w:t>la Commission partage le point de vue selon lequel tous les efforts devraient être déployés pour améliorer les relations entre l’UE et l’Inde, approfondir le partenariat stratégique fondé sur des valeurs communes et promouvoir un ordre mondial fondé sur des règles et un multilatéralisme effectif. Elle considère que la relance des négociations commerciales et le lancement de négociations distinctes sur la protection des investissements et les indications géographiques constituent une dimension essentielle de cet effort.</w:t>
      </w:r>
    </w:p>
    <w:p w14:paraId="172110FB" w14:textId="77777777" w:rsidR="00AA6869" w:rsidRDefault="00C860BE" w:rsidP="00980395">
      <w:pPr>
        <w:widowControl w:val="0"/>
        <w:spacing w:after="120"/>
        <w:rPr>
          <w:rFonts w:ascii="Times New Roman" w:hAnsi="Times New Roman"/>
          <w:szCs w:val="24"/>
        </w:rPr>
      </w:pPr>
      <w:r>
        <w:rPr>
          <w:rFonts w:ascii="Times New Roman" w:hAnsi="Times New Roman"/>
          <w:b/>
        </w:rPr>
        <w:t xml:space="preserve">Point 2: </w:t>
      </w:r>
      <w:r>
        <w:rPr>
          <w:rFonts w:ascii="Times New Roman" w:hAnsi="Times New Roman"/>
        </w:rPr>
        <w:t>la Commission se félicite du soutien apporté par la résolution au Conseil du commerce et des technologies UE-Inde. Elle collabore avec l’Inde pour convenir d’un mandat pour ce Conseil afin d’en faire un contributeur précieux aux efforts susmentionnés visant à approfondir les relations entre l’UE et l’Inde en fournissant des orientations politiques sur des questions stratégiques liées au commerce, aux technologies sûres et à la sécurité.</w:t>
      </w:r>
    </w:p>
    <w:p w14:paraId="6A9529F3" w14:textId="581108FF" w:rsidR="00C860BE" w:rsidRPr="00C860BE" w:rsidRDefault="00C860BE" w:rsidP="00980395">
      <w:pPr>
        <w:widowControl w:val="0"/>
        <w:spacing w:after="120"/>
        <w:rPr>
          <w:rFonts w:ascii="Times New Roman" w:hAnsi="Times New Roman"/>
          <w:szCs w:val="24"/>
        </w:rPr>
      </w:pPr>
      <w:r>
        <w:rPr>
          <w:rFonts w:ascii="Times New Roman" w:hAnsi="Times New Roman"/>
          <w:b/>
        </w:rPr>
        <w:t>Point 5:</w:t>
      </w:r>
      <w:r>
        <w:rPr>
          <w:rFonts w:ascii="Times New Roman" w:hAnsi="Times New Roman"/>
        </w:rPr>
        <w:t xml:space="preserve"> à la suite du sommet des dirigeants UE-Inde du 8 mai 2021, M. Dombrovskis, vice-président exécutif de la Commission européenne, et M. Goyal, ministre indien du commerce, ont officiellement relancé les négociations commerciales et lancé des négociations sur la protection des investissements et sur les indications géographiques le 17 juin 2022 à Bruxelles. Ces négociations ont été suivies par un premier cycle de négociations bilatérales UE-Inde concernant les trois volets susmentionnés, qui s’est tenu du 27 juin au 1</w:t>
      </w:r>
      <w:r>
        <w:rPr>
          <w:rFonts w:ascii="Times New Roman" w:hAnsi="Times New Roman"/>
          <w:vertAlign w:val="superscript"/>
        </w:rPr>
        <w:t>er</w:t>
      </w:r>
      <w:r>
        <w:rPr>
          <w:rFonts w:ascii="Times New Roman" w:hAnsi="Times New Roman"/>
        </w:rPr>
        <w:t> juillet 2022 à New Delhi. Un deuxième cycle de négociations devrait avoir lieu du</w:t>
      </w:r>
      <w:r>
        <w:t xml:space="preserve"> </w:t>
      </w:r>
      <w:r>
        <w:rPr>
          <w:rFonts w:ascii="Times New Roman" w:hAnsi="Times New Roman"/>
        </w:rPr>
        <w:t>3 au 7 octobre 2022 à Bruxelles.</w:t>
      </w:r>
    </w:p>
    <w:p w14:paraId="77774C08" w14:textId="77777777" w:rsidR="00B25749" w:rsidRDefault="00054905" w:rsidP="00980395">
      <w:pPr>
        <w:widowControl w:val="0"/>
        <w:spacing w:after="120"/>
        <w:rPr>
          <w:rFonts w:ascii="Times New Roman" w:hAnsi="Times New Roman"/>
          <w:szCs w:val="24"/>
        </w:rPr>
      </w:pPr>
      <w:r>
        <w:rPr>
          <w:rFonts w:ascii="Times New Roman" w:hAnsi="Times New Roman"/>
          <w:b/>
        </w:rPr>
        <w:t>Point 7:</w:t>
      </w:r>
      <w:r>
        <w:rPr>
          <w:rFonts w:ascii="Times New Roman" w:hAnsi="Times New Roman"/>
        </w:rPr>
        <w:t xml:space="preserve"> dans le cadre des négociations commerciales, la Commission cherchera à obtenir un accès réciproque au marché pour les biens, y compris les produits agricoles. Les importations agroalimentaires en provenance d’Inde continueront de devoir respecter les normes de santé et de sécurité de l’UE, à l’instar des importations agroalimentaires en provenance de tout autre pays tiers, que ce soit ou non dans le cadre d’un accord commercial. La Commission continuera d’apporter son soutien à l’Inde afin de l’aider à respecter les normes sanitaires et phytosanitaires de l’UE, y compris à réduire l’utilisation des pesticides, bien que ces efforts ne soient liés ni aux négociations commerciales actuelles ni à aucun accord commercial futur entre l’UE et l’Inde. Il appartient à l’Inde de mettre au point de bonnes pratiques agricoles avec ses agriculteurs et de trouver d’autres solutions. L’UE continuera également de coopérer avec l’Inde pour lutter contre l’insécurité alimentaire résultant de l’agression de la Russie contre l’Ukraine.</w:t>
      </w:r>
    </w:p>
    <w:p w14:paraId="36ACB94E" w14:textId="77777777" w:rsidR="00B25749" w:rsidRDefault="00305C6B" w:rsidP="00980395">
      <w:pPr>
        <w:widowControl w:val="0"/>
        <w:spacing w:after="120"/>
        <w:rPr>
          <w:rFonts w:ascii="Times New Roman" w:hAnsi="Times New Roman"/>
          <w:szCs w:val="24"/>
        </w:rPr>
      </w:pPr>
      <w:r>
        <w:rPr>
          <w:rFonts w:ascii="Times New Roman" w:hAnsi="Times New Roman"/>
          <w:b/>
        </w:rPr>
        <w:t xml:space="preserve">Point 10: </w:t>
      </w:r>
      <w:r>
        <w:rPr>
          <w:rFonts w:ascii="Times New Roman" w:hAnsi="Times New Roman"/>
        </w:rPr>
        <w:t>la Commission accueille favorablement l’appréciation de la résolution selon laquelle le mandat de négociation existant est suffisamment large, et elle partage l’avis du Parlement selon lequel il convient de l’interpréter conformément à l’approche la plus récente adoptée par la Commission à l’égard des accords commerciaux. Cela se reflète dans les 20 textes proposés par l’UE déjà partagés avec l’Inde, qui sont à la pointe de la modernité. Cette approche sera illustrée par le chapitre sur le commerce et le développement durable, en cours d’élaboration par la Commission.</w:t>
      </w:r>
    </w:p>
    <w:p w14:paraId="1B4DBC7B" w14:textId="4B6CAE31" w:rsidR="00305C6B" w:rsidRDefault="00305C6B" w:rsidP="00980395">
      <w:pPr>
        <w:widowControl w:val="0"/>
        <w:spacing w:after="120"/>
        <w:rPr>
          <w:rFonts w:ascii="Times New Roman" w:hAnsi="Times New Roman"/>
          <w:szCs w:val="24"/>
        </w:rPr>
      </w:pPr>
      <w:r>
        <w:rPr>
          <w:rFonts w:ascii="Times New Roman" w:hAnsi="Times New Roman"/>
          <w:b/>
        </w:rPr>
        <w:t>Point 11:</w:t>
      </w:r>
      <w:r>
        <w:rPr>
          <w:rFonts w:ascii="Times New Roman" w:hAnsi="Times New Roman"/>
        </w:rPr>
        <w:t xml:space="preserve"> comme indiqué ci-dessus, le chapitre sur le commerce et le développement durable en cours d’élaboration par la Commission reflétera les résultats du réexamen CDD. Le chapitre sur le commerce et le développement durable proposé par l’UE comprendra des engagements fondés sur les conventions et principes fondamentaux de l’Organisation internationale du travail (OIT) et sur les accords multilatéraux sur l’environnement, notamment l’accord de Paris, la convention-cadre des Nations unies sur les changements </w:t>
      </w:r>
      <w:r>
        <w:rPr>
          <w:rFonts w:ascii="Times New Roman" w:hAnsi="Times New Roman"/>
        </w:rPr>
        <w:lastRenderedPageBreak/>
        <w:t>climatiques (CCNUCC) et la convention des Nations unies sur la diversité biologique (CDB). Il se fondera sur les résultats du réexamen CDD et, plus généralement, sera pleinement aligné sur les politiques pertinentes de l’UE. La Commission entend présenter sa proposition de texte sur le commerce et le développement durable ainsi qu’un chapitre révisé sur le règlement des différends avant le deuxième cycle de négociations bilatérales.</w:t>
      </w:r>
    </w:p>
    <w:p w14:paraId="104477AE" w14:textId="77777777" w:rsidR="00212AB0" w:rsidRDefault="00305C6B" w:rsidP="00980395">
      <w:pPr>
        <w:widowControl w:val="0"/>
        <w:spacing w:after="120"/>
        <w:rPr>
          <w:rFonts w:ascii="Times New Roman" w:hAnsi="Times New Roman"/>
          <w:szCs w:val="24"/>
        </w:rPr>
      </w:pPr>
      <w:r>
        <w:rPr>
          <w:rFonts w:ascii="Times New Roman" w:hAnsi="Times New Roman"/>
          <w:b/>
        </w:rPr>
        <w:t>Point 12:</w:t>
      </w:r>
      <w:r>
        <w:rPr>
          <w:rFonts w:ascii="Times New Roman" w:hAnsi="Times New Roman"/>
        </w:rPr>
        <w:t xml:space="preserve"> la Commission se félicite du soutien apporté par la résolution à la recherche de solutions aux problèmes d’accès au marché qui se posent de longue date, processus que la Commission et l’Inde sont convenues de faire avancer parallèlement aux négociations commerciales.</w:t>
      </w:r>
    </w:p>
    <w:p w14:paraId="2DAFFC25" w14:textId="0666E472" w:rsidR="0003164B" w:rsidRPr="0003164B" w:rsidRDefault="0003164B" w:rsidP="00980395">
      <w:pPr>
        <w:widowControl w:val="0"/>
        <w:spacing w:after="120"/>
        <w:rPr>
          <w:rFonts w:ascii="Times New Roman" w:hAnsi="Times New Roman"/>
          <w:b/>
          <w:szCs w:val="24"/>
        </w:rPr>
      </w:pPr>
      <w:r>
        <w:rPr>
          <w:rFonts w:ascii="Times New Roman" w:hAnsi="Times New Roman"/>
          <w:b/>
        </w:rPr>
        <w:t xml:space="preserve">Point 13: </w:t>
      </w:r>
      <w:r>
        <w:rPr>
          <w:rFonts w:ascii="Times New Roman" w:hAnsi="Times New Roman"/>
        </w:rPr>
        <w:t xml:space="preserve">la Commission se félicite de la contribution très détaillée de la résolution, chapitre par chapitre. Les priorités du Parlement européen sont déjà largement reflétées dans les textes proposés par l’UE, notamment en ce qui concerne le commerce des marchandises, les mesures sanitaires et phytosanitaires, les obstacles techniques au commerce, les marchés publics, les subventions, les entreprises publiques, les PME, le commerce et le développement durable, le commerce numérique, les services et les investissements, ainsi que la coopération visant à soutenir la transition vers une économie circulaire. Sur cette base, l’objectif de la Commission est de négocier un accord commercial </w:t>
      </w:r>
      <w:r>
        <w:rPr>
          <w:rFonts w:ascii="Times New Roman" w:hAnsi="Times New Roman"/>
          <w:i/>
        </w:rPr>
        <w:t>«ambitieux, équilibré, global et mutuellement bénéfique»</w:t>
      </w:r>
      <w:r>
        <w:rPr>
          <w:rFonts w:ascii="Times New Roman" w:hAnsi="Times New Roman"/>
        </w:rPr>
        <w:t>, comme il l’a été demandé lors du sommet des dirigeants UE-Inde qui s’est tenu le 8 mai 2021. La Commission s’efforcera notamment de parvenir à des engagements ambitieux allant au-delà des obligations existantes des parties dans le cadre de l’Organisation mondiale du commerce (OMC).</w:t>
      </w:r>
    </w:p>
    <w:p w14:paraId="5368D82E" w14:textId="7E1156C2" w:rsidR="0003164B" w:rsidRDefault="004A38B2" w:rsidP="00980395">
      <w:pPr>
        <w:widowControl w:val="0"/>
        <w:spacing w:after="120"/>
        <w:rPr>
          <w:rFonts w:ascii="Times New Roman" w:hAnsi="Times New Roman"/>
          <w:szCs w:val="24"/>
        </w:rPr>
      </w:pPr>
      <w:r>
        <w:rPr>
          <w:rFonts w:ascii="Times New Roman" w:hAnsi="Times New Roman"/>
          <w:b/>
        </w:rPr>
        <w:t>Point 14:</w:t>
      </w:r>
      <w:r>
        <w:rPr>
          <w:rFonts w:ascii="Times New Roman" w:hAnsi="Times New Roman"/>
        </w:rPr>
        <w:t xml:space="preserve"> la Commission se félicite de l’accent mis par la résolution sur la nécessité d’améliorer l’environnemen</w:t>
      </w:r>
      <w:r w:rsidR="006252AA">
        <w:rPr>
          <w:rFonts w:ascii="Times New Roman" w:hAnsi="Times New Roman"/>
        </w:rPr>
        <w:t>t des entreprises pour les PME,</w:t>
      </w:r>
      <w:r>
        <w:rPr>
          <w:rFonts w:ascii="Times New Roman" w:hAnsi="Times New Roman"/>
        </w:rPr>
        <w:t xml:space="preserve"> notamment par la poursuite du développement d’outils numériques, auquel elle est résolument attachée.</w:t>
      </w:r>
    </w:p>
    <w:p w14:paraId="783A3426" w14:textId="0104C90F" w:rsidR="00212AB0" w:rsidRDefault="004A38B2" w:rsidP="00980395">
      <w:pPr>
        <w:widowControl w:val="0"/>
        <w:spacing w:after="120"/>
        <w:rPr>
          <w:rFonts w:ascii="Times New Roman" w:hAnsi="Times New Roman"/>
          <w:szCs w:val="24"/>
        </w:rPr>
      </w:pPr>
      <w:r>
        <w:rPr>
          <w:rFonts w:ascii="Times New Roman" w:hAnsi="Times New Roman"/>
          <w:b/>
        </w:rPr>
        <w:t xml:space="preserve">Point 15: </w:t>
      </w:r>
      <w:r>
        <w:rPr>
          <w:rFonts w:ascii="Times New Roman" w:hAnsi="Times New Roman"/>
        </w:rPr>
        <w:t>dans le cadre du chapitre qu’elle propose sur le commerce numérique, la Commission s’efforcera, entre autres, de promouvoir les flux bilatéraux de données à tous les niveaux, dans le plein respect du cadre juridique de l’UE, y compris en particulier du règlement général sur la protection des données (RGPD), du règlement sur la gouvernance des données et de l’approche exposée dans la proposition de règlement sur les données, en reconnaissant que la protection des données à caractère personnel et de la vie privée est un droit fondamental.</w:t>
      </w:r>
    </w:p>
    <w:p w14:paraId="6BEF9508" w14:textId="5D67432B" w:rsidR="004A38B2" w:rsidRDefault="00F400EE" w:rsidP="00980395">
      <w:pPr>
        <w:widowControl w:val="0"/>
        <w:spacing w:after="120"/>
        <w:rPr>
          <w:rFonts w:ascii="Times New Roman" w:hAnsi="Times New Roman"/>
          <w:szCs w:val="24"/>
        </w:rPr>
      </w:pPr>
      <w:r>
        <w:rPr>
          <w:rFonts w:ascii="Times New Roman" w:hAnsi="Times New Roman"/>
          <w:b/>
        </w:rPr>
        <w:t xml:space="preserve">Point 16: </w:t>
      </w:r>
      <w:r>
        <w:rPr>
          <w:rFonts w:ascii="Times New Roman" w:hAnsi="Times New Roman"/>
        </w:rPr>
        <w:t>la Commission poursuivra ses efforts pour intensifier la collaboration avec l’Inde sur les dossiers de l’OMC, en s’appuyant sur les résultats positifs de la 12</w:t>
      </w:r>
      <w:r>
        <w:rPr>
          <w:rFonts w:ascii="Times New Roman" w:hAnsi="Times New Roman"/>
          <w:vertAlign w:val="superscript"/>
        </w:rPr>
        <w:t>e</w:t>
      </w:r>
      <w:r>
        <w:rPr>
          <w:rFonts w:ascii="Times New Roman" w:hAnsi="Times New Roman"/>
        </w:rPr>
        <w:t xml:space="preserve"> conférence ministérielle (CM12). Les principaux domaines de travail d’ici à la CM13 seront les suivants: i) l’accord sur la deuxième tranche des dispositions relatives aux subventions à la pêche; ii) la réforme de l’OMC; iii) l’agriculture; iv) le </w:t>
      </w:r>
      <w:r>
        <w:br/>
      </w:r>
      <w:r>
        <w:rPr>
          <w:rFonts w:ascii="Times New Roman" w:hAnsi="Times New Roman"/>
        </w:rPr>
        <w:t>moratoire et le programme de travail sur le commerce électronique; et v) l’extension éventuelle aux traitements et aux diagnostics des dispositions relatives aux vaccins contre la COVID-19 de l’accord de l’OMC relatif aux aspects des droits de propriété intellectuelle qui touchent au commerce. Le dialogue se déroulera en particulier au sein du groupe de travail des hauts fonctionnaires UE-Inde sur les questions relatives à l’OMC, qui a été créé à la suite du sommet des dirigeants UE-Inde du 8 mai 2021.</w:t>
      </w:r>
    </w:p>
    <w:p w14:paraId="61353E3A" w14:textId="77777777" w:rsidR="004A38B2" w:rsidRDefault="00F400EE" w:rsidP="00980395">
      <w:pPr>
        <w:widowControl w:val="0"/>
        <w:spacing w:after="120"/>
        <w:rPr>
          <w:rFonts w:ascii="Times New Roman" w:hAnsi="Times New Roman"/>
          <w:szCs w:val="24"/>
        </w:rPr>
      </w:pPr>
      <w:r>
        <w:rPr>
          <w:rFonts w:ascii="Times New Roman" w:hAnsi="Times New Roman"/>
          <w:b/>
        </w:rPr>
        <w:t>Points 18 et 19:</w:t>
      </w:r>
      <w:r>
        <w:rPr>
          <w:rFonts w:ascii="Times New Roman" w:hAnsi="Times New Roman"/>
        </w:rPr>
        <w:t xml:space="preserve"> la Commission se félicite du soutien apporté par la résolution à la négociation d’un accord autonome de protection des investissements, et se félicite aussi des priorités du Parlement européen en la matière, qui sont largement reflétées dans le texte proposé par l’UE.</w:t>
      </w:r>
    </w:p>
    <w:p w14:paraId="52A12DAE" w14:textId="63D46110" w:rsidR="00F400EE" w:rsidRDefault="00F400EE" w:rsidP="00980395">
      <w:pPr>
        <w:widowControl w:val="0"/>
        <w:spacing w:after="120"/>
        <w:rPr>
          <w:rFonts w:ascii="Times New Roman" w:hAnsi="Times New Roman"/>
          <w:szCs w:val="24"/>
        </w:rPr>
      </w:pPr>
      <w:r>
        <w:rPr>
          <w:rFonts w:ascii="Times New Roman" w:hAnsi="Times New Roman"/>
          <w:b/>
        </w:rPr>
        <w:t>Point 20:</w:t>
      </w:r>
      <w:r>
        <w:rPr>
          <w:rFonts w:ascii="Times New Roman" w:hAnsi="Times New Roman"/>
        </w:rPr>
        <w:t xml:space="preserve"> la Commission se félicite du soutien apporté par la résolution à la négociation d’un accord distinct sur les indications géographiques. La liste des IG sera établie sur la base de consultations avec les États membres au sein du Comité de la politique commerciale.</w:t>
      </w:r>
    </w:p>
    <w:p w14:paraId="0C625AA9" w14:textId="77777777" w:rsidR="00236F9E" w:rsidRPr="003356B9" w:rsidRDefault="00236F9E" w:rsidP="00980395">
      <w:pPr>
        <w:widowControl w:val="0"/>
        <w:spacing w:after="120"/>
        <w:rPr>
          <w:rFonts w:ascii="Times New Roman" w:hAnsi="Times New Roman"/>
          <w:szCs w:val="24"/>
        </w:rPr>
      </w:pPr>
      <w:r>
        <w:rPr>
          <w:rFonts w:ascii="Times New Roman" w:hAnsi="Times New Roman"/>
          <w:b/>
        </w:rPr>
        <w:lastRenderedPageBreak/>
        <w:t>Point 21:</w:t>
      </w:r>
      <w:r>
        <w:rPr>
          <w:rFonts w:ascii="Times New Roman" w:hAnsi="Times New Roman"/>
        </w:rPr>
        <w:t xml:space="preserve"> la Commission prend acte de la position du Parlement sur le droit à l’alimentation et à l’accès à celle-ci.</w:t>
      </w:r>
    </w:p>
    <w:p w14:paraId="343CAED5" w14:textId="77777777" w:rsidR="00E3486F" w:rsidRPr="00410900" w:rsidRDefault="00E3486F" w:rsidP="00980395">
      <w:pPr>
        <w:widowControl w:val="0"/>
        <w:spacing w:after="120"/>
        <w:rPr>
          <w:rFonts w:ascii="Times New Roman" w:hAnsi="Times New Roman"/>
          <w:szCs w:val="24"/>
        </w:rPr>
      </w:pPr>
      <w:r>
        <w:rPr>
          <w:rFonts w:ascii="Times New Roman" w:hAnsi="Times New Roman"/>
          <w:b/>
        </w:rPr>
        <w:t xml:space="preserve">Point 23: </w:t>
      </w:r>
      <w:r>
        <w:rPr>
          <w:rFonts w:ascii="Times New Roman" w:hAnsi="Times New Roman"/>
        </w:rPr>
        <w:t>la Commission se félicite du soutien apporté par la résolution à l’interdiction progressive de tous les antibiotiques et médicaments vétérinaires qui ne sont pas conformes aux normes alimentaires du Codex Alimentarius, ce qui se reflète largement dans les textes proposés par l’UE.</w:t>
      </w:r>
    </w:p>
    <w:p w14:paraId="170BE604" w14:textId="77777777" w:rsidR="00F400EE" w:rsidRDefault="00236F9E" w:rsidP="00980395">
      <w:pPr>
        <w:widowControl w:val="0"/>
        <w:spacing w:after="120"/>
        <w:rPr>
          <w:rFonts w:ascii="Times New Roman" w:hAnsi="Times New Roman"/>
          <w:szCs w:val="24"/>
        </w:rPr>
      </w:pPr>
      <w:r>
        <w:rPr>
          <w:rFonts w:ascii="Times New Roman" w:hAnsi="Times New Roman"/>
          <w:b/>
        </w:rPr>
        <w:t xml:space="preserve">Point 24: </w:t>
      </w:r>
      <w:r>
        <w:rPr>
          <w:rFonts w:ascii="Times New Roman" w:hAnsi="Times New Roman"/>
        </w:rPr>
        <w:t>la Commission confirme que l’UE cherche à améliorer la coopération mutuelle avec l’Inde dans tous les domaines couverts par l’accord de coopération de 1994. En outre, l’accord commercial en cours de négociation devrait contribuer à améliorer le respect, notamment par l’Inde, des normes internationales, notamment en ce qui concerne les questions sociales, environnementales et sanitaires et les questions liées à la sécurité et à la qualité.</w:t>
      </w:r>
    </w:p>
    <w:p w14:paraId="3E83E99D" w14:textId="77777777" w:rsidR="00F400EE" w:rsidRDefault="008779B9" w:rsidP="00980395">
      <w:pPr>
        <w:widowControl w:val="0"/>
        <w:spacing w:after="120"/>
        <w:rPr>
          <w:rFonts w:ascii="Times New Roman" w:hAnsi="Times New Roman"/>
          <w:szCs w:val="24"/>
        </w:rPr>
      </w:pPr>
      <w:r>
        <w:rPr>
          <w:rFonts w:ascii="Times New Roman" w:hAnsi="Times New Roman"/>
          <w:b/>
        </w:rPr>
        <w:t>Point 25:</w:t>
      </w:r>
      <w:r>
        <w:rPr>
          <w:rFonts w:ascii="Times New Roman" w:hAnsi="Times New Roman"/>
        </w:rPr>
        <w:t xml:space="preserve"> une évaluation de l’impact sur le développement durable (EID) des négociations commerciales UE-Inde a été achevée en mai 2009. Toutefois, le contexte économique a considérablement évolué et l’EID pourrait ne plus fournir d’évaluation à jour de l’impact éventuel du futur accord commercial. En outre, la pratique de la Commission en matière d’EID a elle aussi considérablement évolué, notamment avec la prise en considération des droits de l’homme. Une nouvelle EID, couvrant également l’impact sur les droits de l’homme, sera donc réalisée par la Commission parallèlement aux négociations en matière de commerce et d’investissement. Les préparatifs en vue du lancement de l’EID sont en cours.</w:t>
      </w:r>
    </w:p>
    <w:p w14:paraId="608FA70E" w14:textId="56FBCB84" w:rsidR="00906B97" w:rsidRPr="00906B97" w:rsidRDefault="008779B9" w:rsidP="00980395">
      <w:pPr>
        <w:widowControl w:val="0"/>
        <w:spacing w:after="120"/>
        <w:rPr>
          <w:rFonts w:ascii="Times New Roman" w:hAnsi="Times New Roman"/>
          <w:szCs w:val="24"/>
        </w:rPr>
      </w:pPr>
      <w:r>
        <w:rPr>
          <w:rFonts w:ascii="Times New Roman" w:hAnsi="Times New Roman"/>
          <w:b/>
        </w:rPr>
        <w:t xml:space="preserve">Point 26: </w:t>
      </w:r>
      <w:r>
        <w:rPr>
          <w:rFonts w:ascii="Times New Roman" w:hAnsi="Times New Roman"/>
        </w:rPr>
        <w:t xml:space="preserve">à l’instar des autres accords commerciaux négociés par la Commission, l’accord commercial UE-Inde devra être pleinement conforme à la législation de l’UE, y compris en ce qui concerne l’importation d’organismes génétiquement modifiés (OGM) non autorisés dans les denrées alimentaires, les aliments pour animaux et les semences, les limites maximales de résidus (LMR) de l’UE pour les pesticides, les médicaments vétérinaires de l’UE, l’importation de produits agricoles et de denrées alimentaires produits en utilisant des préparations hormonales interdites dans l’Union et l’interdiction de </w:t>
      </w:r>
      <w:r w:rsidR="006252AA">
        <w:rPr>
          <w:rFonts w:ascii="Times New Roman" w:hAnsi="Times New Roman"/>
        </w:rPr>
        <w:t xml:space="preserve">l’utilisation d’antimicrobiens </w:t>
      </w:r>
      <w:bookmarkStart w:id="0" w:name="_GoBack"/>
      <w:bookmarkEnd w:id="0"/>
      <w:r>
        <w:rPr>
          <w:rFonts w:ascii="Times New Roman" w:hAnsi="Times New Roman"/>
        </w:rPr>
        <w:t>pour favoriser la croissance ou augmenter le rendement, ou de tout médicament contenant un antimicrobien figurant dans la liste des antimicrobiens réservés au traitement de certaines infections chez l’homme [règlement d’exécution (UE) 2022/1255 de la Commission].</w:t>
      </w:r>
    </w:p>
    <w:p w14:paraId="2F783A50" w14:textId="77777777" w:rsidR="008779B9" w:rsidRDefault="00317ABF" w:rsidP="00980395">
      <w:pPr>
        <w:widowControl w:val="0"/>
        <w:spacing w:after="120"/>
        <w:rPr>
          <w:rFonts w:ascii="Times New Roman" w:hAnsi="Times New Roman"/>
          <w:szCs w:val="24"/>
        </w:rPr>
      </w:pPr>
      <w:r>
        <w:rPr>
          <w:rFonts w:ascii="Times New Roman" w:hAnsi="Times New Roman"/>
          <w:b/>
        </w:rPr>
        <w:t xml:space="preserve">Point 27: </w:t>
      </w:r>
      <w:r>
        <w:rPr>
          <w:rFonts w:ascii="Times New Roman" w:hAnsi="Times New Roman"/>
        </w:rPr>
        <w:t>en ce qui concerne les subventions au sucre indien, la Commission tient à souligner que le soutien interne à l’agriculture ne fait pas partie des négociations bilatérales.</w:t>
      </w:r>
    </w:p>
    <w:p w14:paraId="3261D9FE" w14:textId="77777777" w:rsidR="008779B9" w:rsidRDefault="006D5CC8" w:rsidP="00980395">
      <w:pPr>
        <w:widowControl w:val="0"/>
        <w:spacing w:after="120"/>
        <w:rPr>
          <w:rFonts w:ascii="Times New Roman" w:hAnsi="Times New Roman"/>
          <w:szCs w:val="24"/>
        </w:rPr>
      </w:pPr>
      <w:r>
        <w:rPr>
          <w:rFonts w:ascii="Times New Roman" w:hAnsi="Times New Roman"/>
          <w:b/>
        </w:rPr>
        <w:t xml:space="preserve">Point 28: </w:t>
      </w:r>
      <w:r>
        <w:rPr>
          <w:rFonts w:ascii="Times New Roman" w:hAnsi="Times New Roman"/>
        </w:rPr>
        <w:t>bien que le sommet des dirigeants UE-Inde qui s’est tenu le 8 mai 2021 ait abouti à la décision de créer deux nouveaux groupes de travail sur les chaînes de valeur résilientes et sur la coopération réglementaire, ceux-ci n’ont pas encore été mis en place. L’évolution de la situation à cet égard devra tenir compte de la relance des négociations bilatérales ainsi que de la décision d’établir un Conseil du commerce et des technologies UE-Inde. En ce qui concerne le dialogue à haut niveau sur le commerce et les investissements, aucune date n’a encore été fixée par l’UE et l’Inde pour leur prochaine réunion. La Commission tiendra le Parlement européen informé de toute évolution significative à cet égard.</w:t>
      </w:r>
    </w:p>
    <w:p w14:paraId="6EF4B153" w14:textId="60458608" w:rsidR="009F6502" w:rsidRPr="002C7576" w:rsidRDefault="002C7576" w:rsidP="00980395">
      <w:pPr>
        <w:widowControl w:val="0"/>
        <w:spacing w:after="120"/>
        <w:rPr>
          <w:rFonts w:ascii="Times New Roman" w:hAnsi="Times New Roman"/>
          <w:szCs w:val="24"/>
        </w:rPr>
      </w:pPr>
      <w:r>
        <w:rPr>
          <w:rFonts w:ascii="Times New Roman" w:hAnsi="Times New Roman"/>
          <w:b/>
        </w:rPr>
        <w:t xml:space="preserve">Point 29: </w:t>
      </w:r>
      <w:r>
        <w:rPr>
          <w:rFonts w:ascii="Times New Roman" w:hAnsi="Times New Roman"/>
        </w:rPr>
        <w:t>la Commission prend acte de l’appel du Parlement à mettre en place des plateformes de consultation entre l’UE et l’Inde afin de faciliter le dialogue avec les représentants d’un large éventail de parties prenantes, y compris les partenaires sociaux et les organisations de la société civile.</w:t>
      </w:r>
    </w:p>
    <w:p w14:paraId="3856B99A" w14:textId="59332B28" w:rsidR="006D5CC8" w:rsidRPr="00212AB0" w:rsidRDefault="009F6502" w:rsidP="00980395">
      <w:pPr>
        <w:widowControl w:val="0"/>
        <w:spacing w:after="120"/>
        <w:rPr>
          <w:rFonts w:ascii="Times New Roman" w:hAnsi="Times New Roman"/>
          <w:szCs w:val="24"/>
        </w:rPr>
      </w:pPr>
      <w:r>
        <w:rPr>
          <w:rFonts w:ascii="Times New Roman" w:hAnsi="Times New Roman"/>
          <w:b/>
        </w:rPr>
        <w:t>Point 30:</w:t>
      </w:r>
      <w:r>
        <w:rPr>
          <w:rFonts w:ascii="Times New Roman" w:hAnsi="Times New Roman"/>
        </w:rPr>
        <w:t xml:space="preserve"> la Commission n’a pas encore présenté de projet de chapitre sur les dispositions institutionnelles de l’accord commercial. Les dispositions de ce chapitre ne seront finalisées et présentées qu’une fois que les différents chapitres en cours de négociation apporteront suffisamment de clarté sur le cadre institutionnel réel de l’accord commercial. Cela étant, la </w:t>
      </w:r>
      <w:r>
        <w:rPr>
          <w:rFonts w:ascii="Times New Roman" w:hAnsi="Times New Roman"/>
        </w:rPr>
        <w:lastRenderedPageBreak/>
        <w:t>proposition de l’UE concernant les dispositions institutionnelles de l’accord commercial suivra le modèle des accords commerciaux les plus récents. Elle prévoira entre autres des structures appropriées pour la participation de la société civile, dans toutes ses composantes, des deux parties.</w:t>
      </w:r>
    </w:p>
    <w:sectPr w:rsidR="006D5CC8" w:rsidRPr="00212AB0" w:rsidSect="00812321">
      <w:footerReference w:type="even" r:id="rId8"/>
      <w:footerReference w:type="default" r:id="rId9"/>
      <w:footerReference w:type="first" r:id="rId10"/>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C3BBA" w14:textId="77777777" w:rsidR="00FC2FA7" w:rsidRDefault="00FC2FA7">
      <w:r>
        <w:separator/>
      </w:r>
    </w:p>
  </w:endnote>
  <w:endnote w:type="continuationSeparator" w:id="0">
    <w:p w14:paraId="719311AD" w14:textId="77777777" w:rsidR="00FC2FA7" w:rsidRDefault="00FC2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roman"/>
    <w:notTrueType/>
    <w:pitch w:val="default"/>
    <w:sig w:usb0="00000003" w:usb1="00000000" w:usb2="00000000" w:usb3="00000000" w:csb0="00000001" w:csb1="00000000"/>
  </w:font>
  <w:font w:name="EC Square Sans Cond Pro">
    <w:panose1 w:val="020B0506040000020004"/>
    <w:charset w:val="00"/>
    <w:family w:val="swiss"/>
    <w:pitch w:val="variable"/>
    <w:sig w:usb0="A00002BF" w:usb1="500000DB"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E526B"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06C964F"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6D878" w14:textId="10A130E0"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52AA">
      <w:rPr>
        <w:rStyle w:val="PageNumber"/>
        <w:noProof/>
      </w:rPr>
      <w:t>4</w:t>
    </w:r>
    <w:r>
      <w:rPr>
        <w:rStyle w:val="PageNumber"/>
      </w:rPr>
      <w:fldChar w:fldCharType="end"/>
    </w:r>
  </w:p>
  <w:p w14:paraId="171B1E88"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15C78" w14:textId="76F7154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52AA">
      <w:rPr>
        <w:rStyle w:val="PageNumber"/>
        <w:noProof/>
      </w:rPr>
      <w:t>1</w:t>
    </w:r>
    <w:r>
      <w:rPr>
        <w:rStyle w:val="PageNumber"/>
      </w:rPr>
      <w:fldChar w:fldCharType="end"/>
    </w:r>
  </w:p>
  <w:p w14:paraId="141557D7"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2EFCA" w14:textId="77777777" w:rsidR="00FC2FA7" w:rsidRDefault="00FC2FA7">
      <w:r>
        <w:separator/>
      </w:r>
    </w:p>
  </w:footnote>
  <w:footnote w:type="continuationSeparator" w:id="0">
    <w:p w14:paraId="1A0EF269" w14:textId="77777777" w:rsidR="00FC2FA7" w:rsidRDefault="00FC2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20A9D"/>
    <w:multiLevelType w:val="hybridMultilevel"/>
    <w:tmpl w:val="C110217C"/>
    <w:lvl w:ilvl="0" w:tplc="0722F286">
      <w:numFmt w:val="bullet"/>
      <w:lvlText w:val="•"/>
      <w:lvlJc w:val="left"/>
      <w:pPr>
        <w:ind w:left="1080" w:hanging="72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37A915CB"/>
    <w:multiLevelType w:val="hybridMultilevel"/>
    <w:tmpl w:val="A6AC9B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1"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6"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1"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4"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5"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abstractNumId w:val="8"/>
  </w:num>
  <w:num w:numId="2">
    <w:abstractNumId w:val="1"/>
  </w:num>
  <w:num w:numId="3">
    <w:abstractNumId w:val="34"/>
  </w:num>
  <w:num w:numId="4">
    <w:abstractNumId w:val="14"/>
  </w:num>
  <w:num w:numId="5">
    <w:abstractNumId w:val="30"/>
  </w:num>
  <w:num w:numId="6">
    <w:abstractNumId w:val="11"/>
  </w:num>
  <w:num w:numId="7">
    <w:abstractNumId w:val="7"/>
  </w:num>
  <w:num w:numId="8">
    <w:abstractNumId w:val="16"/>
  </w:num>
  <w:num w:numId="9">
    <w:abstractNumId w:val="33"/>
  </w:num>
  <w:num w:numId="10">
    <w:abstractNumId w:val="25"/>
  </w:num>
  <w:num w:numId="11">
    <w:abstractNumId w:val="27"/>
  </w:num>
  <w:num w:numId="12">
    <w:abstractNumId w:val="13"/>
  </w:num>
  <w:num w:numId="13">
    <w:abstractNumId w:val="18"/>
  </w:num>
  <w:num w:numId="14">
    <w:abstractNumId w:val="31"/>
  </w:num>
  <w:num w:numId="15">
    <w:abstractNumId w:val="15"/>
  </w:num>
  <w:num w:numId="16">
    <w:abstractNumId w:val="37"/>
  </w:num>
  <w:num w:numId="17">
    <w:abstractNumId w:val="32"/>
  </w:num>
  <w:num w:numId="18">
    <w:abstractNumId w:val="23"/>
  </w:num>
  <w:num w:numId="19">
    <w:abstractNumId w:val="24"/>
  </w:num>
  <w:num w:numId="20">
    <w:abstractNumId w:val="29"/>
  </w:num>
  <w:num w:numId="21">
    <w:abstractNumId w:val="4"/>
  </w:num>
  <w:num w:numId="22">
    <w:abstractNumId w:val="5"/>
  </w:num>
  <w:num w:numId="23">
    <w:abstractNumId w:val="6"/>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26"/>
  </w:num>
  <w:num w:numId="27">
    <w:abstractNumId w:val="19"/>
  </w:num>
  <w:num w:numId="28">
    <w:abstractNumId w:val="36"/>
  </w:num>
  <w:num w:numId="29">
    <w:abstractNumId w:val="3"/>
  </w:num>
  <w:num w:numId="30">
    <w:abstractNumId w:val="22"/>
  </w:num>
  <w:num w:numId="31">
    <w:abstractNumId w:val="21"/>
  </w:num>
  <w:num w:numId="32">
    <w:abstractNumId w:val="10"/>
  </w:num>
  <w:num w:numId="33">
    <w:abstractNumId w:val="12"/>
  </w:num>
  <w:num w:numId="34">
    <w:abstractNumId w:val="20"/>
  </w:num>
  <w:num w:numId="35">
    <w:abstractNumId w:val="17"/>
  </w:num>
  <w:num w:numId="36">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fr-F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4D9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189"/>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64B"/>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905"/>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67A5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AB3"/>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B78"/>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AB0"/>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5E6"/>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6F9E"/>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576"/>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6B"/>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AB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6B9"/>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B1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900"/>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8B2"/>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314"/>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1D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5272"/>
    <w:rsid w:val="005652FA"/>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1F52"/>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654"/>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1EA"/>
    <w:rsid w:val="00603808"/>
    <w:rsid w:val="006038F1"/>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1F0"/>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2A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BFA"/>
    <w:rsid w:val="00633CAE"/>
    <w:rsid w:val="00633E70"/>
    <w:rsid w:val="006340AF"/>
    <w:rsid w:val="006341F7"/>
    <w:rsid w:val="00634297"/>
    <w:rsid w:val="0063431A"/>
    <w:rsid w:val="00634A6B"/>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440"/>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3C09"/>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1E"/>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5CC8"/>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D12"/>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8AC"/>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64B"/>
    <w:rsid w:val="00835773"/>
    <w:rsid w:val="00835A40"/>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9B9"/>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3F2B"/>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6F31"/>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28A"/>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8A"/>
    <w:rsid w:val="008E3EDB"/>
    <w:rsid w:val="008E3FEB"/>
    <w:rsid w:val="008E4256"/>
    <w:rsid w:val="008E45AD"/>
    <w:rsid w:val="008E460F"/>
    <w:rsid w:val="008E48AD"/>
    <w:rsid w:val="008E48E8"/>
    <w:rsid w:val="008E4B6C"/>
    <w:rsid w:val="008E4F0C"/>
    <w:rsid w:val="008E503F"/>
    <w:rsid w:val="008E5070"/>
    <w:rsid w:val="008E53A2"/>
    <w:rsid w:val="008E5434"/>
    <w:rsid w:val="008E55B3"/>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A30"/>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B97"/>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395"/>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293"/>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7EC"/>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177"/>
    <w:rsid w:val="009F6502"/>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02B8"/>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55"/>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69"/>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9CB"/>
    <w:rsid w:val="00AD1A5D"/>
    <w:rsid w:val="00AD1C9D"/>
    <w:rsid w:val="00AD1E58"/>
    <w:rsid w:val="00AD1F54"/>
    <w:rsid w:val="00AD2058"/>
    <w:rsid w:val="00AD2113"/>
    <w:rsid w:val="00AD212F"/>
    <w:rsid w:val="00AD22EF"/>
    <w:rsid w:val="00AD26A0"/>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74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B60"/>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5D"/>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456"/>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5DE8"/>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607"/>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0BE"/>
    <w:rsid w:val="00C86183"/>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1BA"/>
    <w:rsid w:val="00CD34DD"/>
    <w:rsid w:val="00CD34FA"/>
    <w:rsid w:val="00CD3544"/>
    <w:rsid w:val="00CD3E8B"/>
    <w:rsid w:val="00CD419D"/>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2C7B"/>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652"/>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15F"/>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33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99B"/>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054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486F"/>
    <w:rsid w:val="00E3507E"/>
    <w:rsid w:val="00E350FC"/>
    <w:rsid w:val="00E351A5"/>
    <w:rsid w:val="00E351F9"/>
    <w:rsid w:val="00E35384"/>
    <w:rsid w:val="00E35390"/>
    <w:rsid w:val="00E3556F"/>
    <w:rsid w:val="00E3564F"/>
    <w:rsid w:val="00E35871"/>
    <w:rsid w:val="00E35AA6"/>
    <w:rsid w:val="00E35AC5"/>
    <w:rsid w:val="00E35E2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74D"/>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2E73"/>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E22"/>
    <w:rsid w:val="00F35FE0"/>
    <w:rsid w:val="00F36149"/>
    <w:rsid w:val="00F3623A"/>
    <w:rsid w:val="00F36674"/>
    <w:rsid w:val="00F36729"/>
    <w:rsid w:val="00F3716D"/>
    <w:rsid w:val="00F37280"/>
    <w:rsid w:val="00F37762"/>
    <w:rsid w:val="00F377AF"/>
    <w:rsid w:val="00F37864"/>
    <w:rsid w:val="00F37875"/>
    <w:rsid w:val="00F3793F"/>
    <w:rsid w:val="00F37EB0"/>
    <w:rsid w:val="00F400EE"/>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2FA7"/>
    <w:rsid w:val="00FC32CE"/>
    <w:rsid w:val="00FC32D5"/>
    <w:rsid w:val="00FC33E2"/>
    <w:rsid w:val="00FC3413"/>
    <w:rsid w:val="00FC34E1"/>
    <w:rsid w:val="00FC3E5D"/>
    <w:rsid w:val="00FC4058"/>
    <w:rsid w:val="00FC4181"/>
    <w:rsid w:val="00FC42E9"/>
    <w:rsid w:val="00FC4528"/>
    <w:rsid w:val="00FC48FE"/>
    <w:rsid w:val="00FC4D41"/>
    <w:rsid w:val="00FC4FC9"/>
    <w:rsid w:val="00FC526B"/>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68F0E"/>
  <w15:docId w15:val="{E15034B2-1450-411F-AA24-B4BD4F98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37442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90477-9129-4ABD-97F5-5A77C1EEC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Template>
  <TotalTime>18</TotalTime>
  <Pages>5</Pages>
  <Words>2409</Words>
  <Characters>13711</Characters>
  <Application>Microsoft Office Word</Application>
  <DocSecurity>0</DocSecurity>
  <PresentationFormat>Microsoft Word 8.0b</PresentationFormat>
  <Lines>201</Lines>
  <Paragraphs>39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16081</CharactersWithSpaces>
  <SharedDoc>false</SharedDoc>
  <HLinks>
    <vt:vector size="12" baseType="variant">
      <vt:variant>
        <vt:i4>851996</vt:i4>
      </vt:variant>
      <vt:variant>
        <vt:i4>3</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WERKER</dc:creator>
  <cp:keywords>EL4</cp:keywords>
  <cp:lastModifiedBy>WILLOCQ Isabelle (DGT)</cp:lastModifiedBy>
  <cp:revision>7</cp:revision>
  <cp:lastPrinted>2017-11-23T08:27:00Z</cp:lastPrinted>
  <dcterms:created xsi:type="dcterms:W3CDTF">2022-08-04T13:40:00Z</dcterms:created>
  <dcterms:modified xsi:type="dcterms:W3CDTF">2022-10-24T10:12:00Z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2022-07-27T15:47:36Z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72f5a99b-fda6-416c-b277-f4984b3f84e2</vt:lpwstr>
  </property>
  <property fmtid="{D5CDD505-2E9C-101B-9397-08002B2CF9AE}" pid="19" name="MSIP_Label_6bd9ddd1-4d20-43f6-abfa-fc3c07406f94_ContentBits">
    <vt:lpwstr>0</vt:lpwstr>
  </property>
</Properties>
</file>