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7516D" w14:textId="20A4643D" w:rsidR="003E656A" w:rsidRPr="00183DFF" w:rsidRDefault="003E656A" w:rsidP="003E656A">
      <w:pPr>
        <w:spacing w:after="600"/>
        <w:jc w:val="center"/>
        <w:rPr>
          <w:rFonts w:ascii="Times New Roman" w:eastAsia="Calibri" w:hAnsi="Times New Roman"/>
          <w:b/>
          <w:bCs/>
          <w:color w:val="000000"/>
          <w:szCs w:val="24"/>
          <w:lang w:eastAsia="en-US"/>
        </w:rPr>
      </w:pPr>
      <w:bookmarkStart w:id="0" w:name="EIB2020"/>
      <w:bookmarkStart w:id="1" w:name="_GoBack"/>
      <w:r w:rsidRPr="00183DFF">
        <w:rPr>
          <w:rFonts w:ascii="Times New Roman" w:eastAsia="Calibri" w:hAnsi="Times New Roman"/>
          <w:b/>
          <w:bCs/>
          <w:color w:val="000000"/>
          <w:szCs w:val="24"/>
          <w:lang w:eastAsia="en-US"/>
        </w:rPr>
        <w:t xml:space="preserve">Follow up to the European Parliament </w:t>
      </w:r>
      <w:r w:rsidRPr="00183DFF">
        <w:rPr>
          <w:rFonts w:ascii="Times New Roman" w:hAnsi="Times New Roman"/>
          <w:b/>
        </w:rPr>
        <w:t xml:space="preserve">non-legislative </w:t>
      </w:r>
      <w:r w:rsidRPr="00183DFF">
        <w:rPr>
          <w:rFonts w:ascii="Times New Roman" w:eastAsia="Calibri" w:hAnsi="Times New Roman"/>
          <w:b/>
          <w:bCs/>
          <w:color w:val="000000"/>
          <w:szCs w:val="24"/>
          <w:lang w:eastAsia="en-US"/>
        </w:rPr>
        <w:t>resolution on the financial activities of the European Investment Bank - annual report 2021</w:t>
      </w:r>
    </w:p>
    <w:bookmarkEnd w:id="0"/>
    <w:p w14:paraId="533B982A" w14:textId="44E30844" w:rsidR="003E656A" w:rsidRPr="009F6403" w:rsidRDefault="003E656A" w:rsidP="003E656A">
      <w:pPr>
        <w:ind w:left="567" w:hanging="567"/>
        <w:rPr>
          <w:rFonts w:ascii="Times New Roman" w:eastAsia="SimSun" w:hAnsi="Times New Roman"/>
          <w:szCs w:val="24"/>
          <w:lang w:eastAsia="ko-KR"/>
        </w:rPr>
      </w:pPr>
      <w:r w:rsidRPr="009F6403">
        <w:rPr>
          <w:rFonts w:ascii="Times New Roman" w:eastAsia="SimSun" w:hAnsi="Times New Roman"/>
          <w:b/>
          <w:szCs w:val="24"/>
          <w:lang w:eastAsia="ko-KR"/>
        </w:rPr>
        <w:t>1.</w:t>
      </w:r>
      <w:r w:rsidRPr="009F6403">
        <w:rPr>
          <w:rFonts w:ascii="Times New Roman" w:eastAsia="SimSun" w:hAnsi="Times New Roman"/>
          <w:b/>
          <w:szCs w:val="24"/>
          <w:lang w:eastAsia="ko-KR"/>
        </w:rPr>
        <w:tab/>
        <w:t xml:space="preserve">Rapporteur: </w:t>
      </w:r>
      <w:r w:rsidR="00AC6113" w:rsidRPr="009F6403">
        <w:rPr>
          <w:rFonts w:ascii="Times New Roman" w:eastAsia="SimSun" w:hAnsi="Times New Roman"/>
          <w:szCs w:val="24"/>
          <w:lang w:eastAsia="ko-KR"/>
        </w:rPr>
        <w:t>David Cormand</w:t>
      </w:r>
      <w:r w:rsidRPr="009F6403">
        <w:rPr>
          <w:rFonts w:ascii="Times New Roman" w:eastAsia="SimSun" w:hAnsi="Times New Roman"/>
          <w:szCs w:val="24"/>
          <w:lang w:eastAsia="ko-KR"/>
        </w:rPr>
        <w:t xml:space="preserve"> (</w:t>
      </w:r>
      <w:r w:rsidR="00AC6113" w:rsidRPr="009F6403">
        <w:rPr>
          <w:rFonts w:ascii="Times New Roman" w:eastAsia="SimSun" w:hAnsi="Times New Roman"/>
          <w:szCs w:val="24"/>
          <w:lang w:eastAsia="ko-KR"/>
        </w:rPr>
        <w:t>Greens</w:t>
      </w:r>
      <w:r w:rsidR="007D757B" w:rsidRPr="009F6403">
        <w:rPr>
          <w:rFonts w:ascii="Times New Roman" w:eastAsia="SimSun" w:hAnsi="Times New Roman"/>
          <w:szCs w:val="24"/>
          <w:lang w:eastAsia="ko-KR"/>
        </w:rPr>
        <w:t xml:space="preserve">/EFA </w:t>
      </w:r>
      <w:r w:rsidRPr="009F6403">
        <w:rPr>
          <w:rFonts w:ascii="Times New Roman" w:eastAsia="SimSun" w:hAnsi="Times New Roman"/>
          <w:szCs w:val="24"/>
          <w:lang w:eastAsia="ko-KR"/>
        </w:rPr>
        <w:t>/</w:t>
      </w:r>
      <w:r w:rsidR="009F6403">
        <w:rPr>
          <w:rFonts w:ascii="Times New Roman" w:eastAsia="SimSun" w:hAnsi="Times New Roman"/>
          <w:szCs w:val="24"/>
          <w:lang w:eastAsia="ko-KR"/>
        </w:rPr>
        <w:t xml:space="preserve"> </w:t>
      </w:r>
      <w:r w:rsidR="00AC6113" w:rsidRPr="009F6403">
        <w:rPr>
          <w:rFonts w:ascii="Times New Roman" w:eastAsia="SimSun" w:hAnsi="Times New Roman"/>
          <w:szCs w:val="24"/>
          <w:lang w:eastAsia="ko-KR"/>
        </w:rPr>
        <w:t>FR</w:t>
      </w:r>
      <w:r w:rsidRPr="009F6403">
        <w:rPr>
          <w:rFonts w:ascii="Times New Roman" w:eastAsia="SimSun" w:hAnsi="Times New Roman"/>
          <w:szCs w:val="24"/>
          <w:lang w:eastAsia="ko-KR"/>
        </w:rPr>
        <w:t>)</w:t>
      </w:r>
    </w:p>
    <w:p w14:paraId="30496DBB" w14:textId="4A87539C" w:rsidR="003E656A" w:rsidRPr="00183DFF" w:rsidRDefault="003E656A" w:rsidP="003E656A">
      <w:pPr>
        <w:ind w:left="567" w:hanging="567"/>
        <w:rPr>
          <w:rFonts w:ascii="Times New Roman" w:eastAsia="SimSun" w:hAnsi="Times New Roman"/>
          <w:bCs/>
          <w:szCs w:val="24"/>
          <w:lang w:val="en-IE"/>
        </w:rPr>
      </w:pPr>
      <w:r w:rsidRPr="00183DFF">
        <w:rPr>
          <w:rFonts w:ascii="Times New Roman" w:eastAsia="SimSun" w:hAnsi="Times New Roman"/>
          <w:b/>
          <w:szCs w:val="24"/>
          <w:lang w:eastAsia="ko-KR"/>
        </w:rPr>
        <w:t>2.</w:t>
      </w:r>
      <w:r w:rsidRPr="00183DFF">
        <w:rPr>
          <w:rFonts w:ascii="Times New Roman" w:eastAsia="SimSun" w:hAnsi="Times New Roman"/>
          <w:b/>
          <w:szCs w:val="24"/>
          <w:lang w:eastAsia="ko-KR"/>
        </w:rPr>
        <w:tab/>
        <w:t xml:space="preserve">Reference numbers: </w:t>
      </w:r>
      <w:r w:rsidR="00AC6113" w:rsidRPr="003665F0">
        <w:rPr>
          <w:rFonts w:ascii="Times New Roman" w:eastAsia="SimSun" w:hAnsi="Times New Roman"/>
          <w:szCs w:val="24"/>
          <w:lang w:eastAsia="ko-KR"/>
        </w:rPr>
        <w:t>2021/2203 (INI)</w:t>
      </w:r>
      <w:r w:rsidR="009F6403">
        <w:rPr>
          <w:rFonts w:ascii="Times New Roman" w:eastAsia="SimSun" w:hAnsi="Times New Roman"/>
          <w:szCs w:val="24"/>
          <w:lang w:eastAsia="ko-KR"/>
        </w:rPr>
        <w:t xml:space="preserve"> /</w:t>
      </w:r>
      <w:r w:rsidR="00AC6113" w:rsidRPr="003665F0">
        <w:rPr>
          <w:rFonts w:ascii="Times New Roman" w:eastAsia="SimSun" w:hAnsi="Times New Roman"/>
          <w:szCs w:val="24"/>
          <w:lang w:eastAsia="ko-KR"/>
        </w:rPr>
        <w:t xml:space="preserve"> A9-0165/</w:t>
      </w:r>
      <w:r w:rsidR="00AC6113" w:rsidRPr="009F6403">
        <w:rPr>
          <w:rFonts w:ascii="Times New Roman" w:eastAsia="SimSun" w:hAnsi="Times New Roman"/>
          <w:szCs w:val="24"/>
          <w:lang w:eastAsia="ko-KR"/>
        </w:rPr>
        <w:t>2022</w:t>
      </w:r>
      <w:r w:rsidR="009F6403" w:rsidRPr="009F6403">
        <w:rPr>
          <w:rFonts w:ascii="Times New Roman" w:eastAsia="SimSun" w:hAnsi="Times New Roman"/>
          <w:szCs w:val="24"/>
          <w:lang w:eastAsia="ko-KR"/>
        </w:rPr>
        <w:t xml:space="preserve"> /</w:t>
      </w:r>
      <w:r w:rsidR="007D757B" w:rsidRPr="009F6403">
        <w:rPr>
          <w:rFonts w:ascii="Times New Roman" w:hAnsi="Times New Roman"/>
          <w:noProof/>
        </w:rPr>
        <w:t xml:space="preserve"> </w:t>
      </w:r>
      <w:r w:rsidR="009F6403" w:rsidRPr="009F6403">
        <w:rPr>
          <w:rFonts w:ascii="Times New Roman" w:hAnsi="Times New Roman"/>
          <w:szCs w:val="24"/>
        </w:rPr>
        <w:t>P9_</w:t>
      </w:r>
      <w:r w:rsidR="007D757B" w:rsidRPr="009A51A5">
        <w:rPr>
          <w:rFonts w:ascii="Times New Roman" w:hAnsi="Times New Roman"/>
          <w:noProof/>
        </w:rPr>
        <w:t>T9-</w:t>
      </w:r>
      <w:r w:rsidR="001E77EC">
        <w:rPr>
          <w:rFonts w:ascii="Times New Roman" w:hAnsi="Times New Roman"/>
          <w:noProof/>
        </w:rPr>
        <w:t>(2022)</w:t>
      </w:r>
      <w:r w:rsidR="007D757B" w:rsidRPr="009A51A5">
        <w:rPr>
          <w:rFonts w:ascii="Times New Roman" w:hAnsi="Times New Roman"/>
          <w:noProof/>
        </w:rPr>
        <w:t>0298</w:t>
      </w:r>
    </w:p>
    <w:p w14:paraId="0C037D0C" w14:textId="77777777" w:rsidR="003E656A" w:rsidRPr="00183DFF" w:rsidRDefault="003E656A" w:rsidP="003E656A">
      <w:pPr>
        <w:ind w:left="567" w:hanging="567"/>
        <w:rPr>
          <w:rFonts w:ascii="Times New Roman" w:eastAsia="SimSun" w:hAnsi="Times New Roman"/>
          <w:szCs w:val="24"/>
          <w:lang w:eastAsia="ko-KR"/>
        </w:rPr>
      </w:pPr>
      <w:r w:rsidRPr="00183DFF">
        <w:rPr>
          <w:rFonts w:ascii="Times New Roman" w:eastAsia="SimSun" w:hAnsi="Times New Roman"/>
          <w:b/>
          <w:szCs w:val="24"/>
          <w:lang w:eastAsia="ko-KR"/>
        </w:rPr>
        <w:t>3.</w:t>
      </w:r>
      <w:r w:rsidRPr="00183DFF">
        <w:rPr>
          <w:rFonts w:ascii="Times New Roman" w:eastAsia="SimSun" w:hAnsi="Times New Roman"/>
          <w:b/>
          <w:szCs w:val="24"/>
          <w:lang w:eastAsia="ko-KR"/>
        </w:rPr>
        <w:tab/>
        <w:t xml:space="preserve">Date of adoption of the resolution: </w:t>
      </w:r>
      <w:r w:rsidRPr="00183DFF">
        <w:rPr>
          <w:rFonts w:ascii="Times New Roman" w:eastAsia="SimSun" w:hAnsi="Times New Roman"/>
          <w:szCs w:val="24"/>
          <w:lang w:eastAsia="ko-KR"/>
        </w:rPr>
        <w:t>7 July 202</w:t>
      </w:r>
      <w:r w:rsidR="00AC6113" w:rsidRPr="00183DFF">
        <w:rPr>
          <w:rFonts w:ascii="Times New Roman" w:eastAsia="SimSun" w:hAnsi="Times New Roman"/>
          <w:szCs w:val="24"/>
          <w:lang w:eastAsia="ko-KR"/>
        </w:rPr>
        <w:t>2</w:t>
      </w:r>
    </w:p>
    <w:p w14:paraId="7CE0EE3A" w14:textId="77777777" w:rsidR="003E656A" w:rsidRPr="00183DFF" w:rsidRDefault="003E656A" w:rsidP="003E656A">
      <w:pPr>
        <w:autoSpaceDE w:val="0"/>
        <w:autoSpaceDN w:val="0"/>
        <w:adjustRightInd w:val="0"/>
        <w:ind w:left="567" w:hanging="567"/>
        <w:rPr>
          <w:rFonts w:ascii="Times New Roman" w:eastAsia="SimSun" w:hAnsi="Times New Roman"/>
          <w:bCs/>
          <w:szCs w:val="24"/>
          <w:lang w:val="en-IE"/>
        </w:rPr>
      </w:pPr>
      <w:r w:rsidRPr="00183DFF">
        <w:rPr>
          <w:rFonts w:ascii="Times New Roman" w:eastAsia="SimSun" w:hAnsi="Times New Roman"/>
          <w:b/>
          <w:bCs/>
          <w:szCs w:val="24"/>
        </w:rPr>
        <w:t>4.</w:t>
      </w:r>
      <w:r w:rsidRPr="00183DFF">
        <w:rPr>
          <w:rFonts w:ascii="Times New Roman" w:eastAsia="SimSun" w:hAnsi="Times New Roman"/>
          <w:b/>
          <w:bCs/>
          <w:szCs w:val="24"/>
        </w:rPr>
        <w:tab/>
        <w:t xml:space="preserve">Competent Parliamentary Committee: </w:t>
      </w:r>
      <w:r w:rsidRPr="00183DFF">
        <w:rPr>
          <w:rFonts w:ascii="Times New Roman" w:eastAsia="SimSun" w:hAnsi="Times New Roman"/>
          <w:bCs/>
          <w:szCs w:val="24"/>
        </w:rPr>
        <w:t>Committee on</w:t>
      </w:r>
      <w:r w:rsidRPr="00183DFF">
        <w:rPr>
          <w:rFonts w:ascii="Times New Roman" w:eastAsia="SimSun" w:hAnsi="Times New Roman"/>
          <w:b/>
          <w:bCs/>
          <w:szCs w:val="24"/>
        </w:rPr>
        <w:t xml:space="preserve"> </w:t>
      </w:r>
      <w:r w:rsidR="00AC6113" w:rsidRPr="00183DFF">
        <w:rPr>
          <w:rFonts w:ascii="Times New Roman" w:eastAsia="SimSun" w:hAnsi="Times New Roman"/>
          <w:bCs/>
          <w:szCs w:val="24"/>
        </w:rPr>
        <w:t>Budgets</w:t>
      </w:r>
      <w:r w:rsidRPr="00183DFF">
        <w:rPr>
          <w:rFonts w:ascii="Times New Roman" w:eastAsia="SimSun" w:hAnsi="Times New Roman"/>
          <w:bCs/>
          <w:szCs w:val="24"/>
        </w:rPr>
        <w:t xml:space="preserve"> (</w:t>
      </w:r>
      <w:r w:rsidR="00AC6113" w:rsidRPr="00183DFF">
        <w:rPr>
          <w:rFonts w:ascii="Times New Roman" w:eastAsia="SimSun" w:hAnsi="Times New Roman"/>
          <w:bCs/>
          <w:szCs w:val="24"/>
        </w:rPr>
        <w:t>BUDG</w:t>
      </w:r>
      <w:r w:rsidRPr="00183DFF">
        <w:rPr>
          <w:rFonts w:ascii="Times New Roman" w:eastAsia="SimSun" w:hAnsi="Times New Roman"/>
          <w:bCs/>
          <w:szCs w:val="24"/>
        </w:rPr>
        <w:t>)</w:t>
      </w:r>
    </w:p>
    <w:p w14:paraId="5C20221A" w14:textId="77777777" w:rsidR="003E656A" w:rsidRPr="00183DFF" w:rsidRDefault="003E656A" w:rsidP="003E656A">
      <w:pPr>
        <w:ind w:left="567" w:hanging="567"/>
        <w:rPr>
          <w:rFonts w:ascii="Times New Roman" w:hAnsi="Times New Roman"/>
          <w:szCs w:val="24"/>
        </w:rPr>
      </w:pPr>
      <w:r w:rsidRPr="00183DFF">
        <w:rPr>
          <w:rFonts w:ascii="Times New Roman" w:hAnsi="Times New Roman"/>
          <w:b/>
          <w:szCs w:val="24"/>
        </w:rPr>
        <w:t>5.</w:t>
      </w:r>
      <w:r w:rsidRPr="00183DFF">
        <w:rPr>
          <w:rFonts w:ascii="Times New Roman" w:hAnsi="Times New Roman"/>
          <w:b/>
          <w:szCs w:val="24"/>
        </w:rPr>
        <w:tab/>
        <w:t>Brief analysis/ assessment of the resolution and of requests made in it</w:t>
      </w:r>
      <w:r w:rsidRPr="00183DFF">
        <w:rPr>
          <w:rFonts w:ascii="Times New Roman" w:hAnsi="Times New Roman"/>
          <w:szCs w:val="24"/>
        </w:rPr>
        <w:t>:</w:t>
      </w:r>
    </w:p>
    <w:p w14:paraId="57C9232C" w14:textId="7123C083" w:rsidR="00AC6113" w:rsidRPr="00183DFF" w:rsidRDefault="00AC6113" w:rsidP="009F6403">
      <w:pPr>
        <w:spacing w:after="120"/>
        <w:rPr>
          <w:rFonts w:ascii="Times New Roman" w:hAnsi="Times New Roman"/>
          <w:lang w:eastAsia="en-US"/>
        </w:rPr>
      </w:pPr>
      <w:r w:rsidRPr="00183DFF">
        <w:rPr>
          <w:rFonts w:ascii="Times New Roman" w:hAnsi="Times New Roman"/>
          <w:lang w:eastAsia="en-US"/>
        </w:rPr>
        <w:t xml:space="preserve">The resolution </w:t>
      </w:r>
      <w:r w:rsidR="00183DFF" w:rsidRPr="00183DFF">
        <w:rPr>
          <w:rFonts w:ascii="Times New Roman" w:hAnsi="Times New Roman"/>
          <w:lang w:eastAsia="en-US"/>
        </w:rPr>
        <w:t xml:space="preserve">recalls </w:t>
      </w:r>
      <w:r w:rsidR="00B524D2">
        <w:rPr>
          <w:rFonts w:ascii="Times New Roman" w:hAnsi="Times New Roman"/>
          <w:lang w:eastAsia="en-US"/>
        </w:rPr>
        <w:t>E</w:t>
      </w:r>
      <w:r w:rsidR="007D757B">
        <w:rPr>
          <w:rFonts w:ascii="Times New Roman" w:hAnsi="Times New Roman"/>
          <w:lang w:eastAsia="en-US"/>
        </w:rPr>
        <w:t xml:space="preserve">uropean </w:t>
      </w:r>
      <w:r w:rsidR="00B524D2">
        <w:rPr>
          <w:rFonts w:ascii="Times New Roman" w:hAnsi="Times New Roman"/>
          <w:lang w:eastAsia="en-US"/>
        </w:rPr>
        <w:t>I</w:t>
      </w:r>
      <w:r w:rsidR="007D757B">
        <w:rPr>
          <w:rFonts w:ascii="Times New Roman" w:hAnsi="Times New Roman"/>
          <w:lang w:eastAsia="en-US"/>
        </w:rPr>
        <w:t xml:space="preserve">nvestment </w:t>
      </w:r>
      <w:r w:rsidR="00B524D2">
        <w:rPr>
          <w:rFonts w:ascii="Times New Roman" w:hAnsi="Times New Roman"/>
          <w:lang w:eastAsia="en-US"/>
        </w:rPr>
        <w:t>B</w:t>
      </w:r>
      <w:r w:rsidR="007D757B">
        <w:rPr>
          <w:rFonts w:ascii="Times New Roman" w:hAnsi="Times New Roman"/>
          <w:lang w:eastAsia="en-US"/>
        </w:rPr>
        <w:t>ank (EIB)</w:t>
      </w:r>
      <w:r w:rsidR="00B524D2" w:rsidRPr="00183DFF">
        <w:rPr>
          <w:rFonts w:ascii="Times New Roman" w:hAnsi="Times New Roman"/>
          <w:lang w:eastAsia="en-US"/>
        </w:rPr>
        <w:t xml:space="preserve"> </w:t>
      </w:r>
      <w:r w:rsidR="00183DFF" w:rsidRPr="00183DFF">
        <w:rPr>
          <w:rFonts w:ascii="Times New Roman" w:hAnsi="Times New Roman"/>
          <w:lang w:eastAsia="en-US"/>
        </w:rPr>
        <w:t>activities related to</w:t>
      </w:r>
      <w:r w:rsidRPr="00183DFF">
        <w:rPr>
          <w:rFonts w:ascii="Times New Roman" w:hAnsi="Times New Roman"/>
          <w:lang w:eastAsia="en-US"/>
        </w:rPr>
        <w:t xml:space="preserve"> Ukraine and calls on the </w:t>
      </w:r>
      <w:r w:rsidR="00B524D2">
        <w:rPr>
          <w:rFonts w:ascii="Times New Roman" w:hAnsi="Times New Roman"/>
          <w:lang w:eastAsia="en-US"/>
        </w:rPr>
        <w:t>EIB</w:t>
      </w:r>
      <w:r w:rsidRPr="00183DFF">
        <w:rPr>
          <w:rFonts w:ascii="Times New Roman" w:hAnsi="Times New Roman"/>
          <w:lang w:eastAsia="en-US"/>
        </w:rPr>
        <w:t xml:space="preserve"> to work on action plans for incentivising </w:t>
      </w:r>
      <w:r w:rsidR="007D757B">
        <w:rPr>
          <w:rFonts w:ascii="Times New Roman" w:hAnsi="Times New Roman"/>
          <w:lang w:eastAsia="en-US"/>
        </w:rPr>
        <w:t>EU</w:t>
      </w:r>
      <w:r w:rsidRPr="00183DFF">
        <w:rPr>
          <w:rFonts w:ascii="Times New Roman" w:hAnsi="Times New Roman"/>
          <w:lang w:eastAsia="en-US"/>
        </w:rPr>
        <w:t xml:space="preserve"> direct investments in the country, while halting the involvement in the </w:t>
      </w:r>
      <w:r w:rsidR="00B524D2">
        <w:rPr>
          <w:rFonts w:ascii="Times New Roman" w:hAnsi="Times New Roman"/>
          <w:lang w:eastAsia="en-US"/>
        </w:rPr>
        <w:t>EIB</w:t>
      </w:r>
      <w:r w:rsidRPr="00183DFF">
        <w:rPr>
          <w:rFonts w:ascii="Times New Roman" w:hAnsi="Times New Roman"/>
          <w:lang w:eastAsia="en-US"/>
        </w:rPr>
        <w:t xml:space="preserve"> activities of Russian direct or indirect partners. The re</w:t>
      </w:r>
      <w:r w:rsidR="009F6403">
        <w:rPr>
          <w:rFonts w:ascii="Times New Roman" w:hAnsi="Times New Roman"/>
          <w:lang w:eastAsia="en-US"/>
        </w:rPr>
        <w:t>solution</w:t>
      </w:r>
      <w:r w:rsidRPr="00183DFF">
        <w:rPr>
          <w:rFonts w:ascii="Times New Roman" w:hAnsi="Times New Roman"/>
          <w:lang w:eastAsia="en-US"/>
        </w:rPr>
        <w:t xml:space="preserve"> welcomes the implementation of the Climate Bank Roadmap</w:t>
      </w:r>
      <w:r w:rsidR="00B524D2">
        <w:rPr>
          <w:rFonts w:ascii="Times New Roman" w:hAnsi="Times New Roman"/>
          <w:lang w:eastAsia="en-US"/>
        </w:rPr>
        <w:t xml:space="preserve"> (CBR)</w:t>
      </w:r>
      <w:r w:rsidRPr="00183DFF">
        <w:rPr>
          <w:rFonts w:ascii="Times New Roman" w:hAnsi="Times New Roman"/>
          <w:lang w:eastAsia="en-US"/>
        </w:rPr>
        <w:t>, while stressing the importance of compliance for financial intermediaries and corporate clients. On EIB external operations, it requests more transparency as well as the integration of human rights due diligence in the investment decisions. Finally, it requires the EIB to improve its accountability and transparency vis-à-vis the Parliament, to enhance its compliance mechanism and a more stringent policy against tax fraud</w:t>
      </w:r>
      <w:r w:rsidR="00B524D2">
        <w:rPr>
          <w:rFonts w:ascii="Times New Roman" w:hAnsi="Times New Roman"/>
          <w:lang w:eastAsia="en-US"/>
        </w:rPr>
        <w:t>, tax evasion and tax avoidance</w:t>
      </w:r>
      <w:r w:rsidR="009F6403">
        <w:rPr>
          <w:rFonts w:ascii="Times New Roman" w:hAnsi="Times New Roman"/>
          <w:lang w:eastAsia="en-US"/>
        </w:rPr>
        <w:t>.</w:t>
      </w:r>
    </w:p>
    <w:p w14:paraId="5A57461E" w14:textId="77777777" w:rsidR="00183DFF" w:rsidRPr="00183DFF" w:rsidRDefault="00183DFF" w:rsidP="009F6403">
      <w:pPr>
        <w:widowControl w:val="0"/>
        <w:ind w:left="567" w:hanging="567"/>
        <w:rPr>
          <w:rFonts w:ascii="Times New Roman" w:eastAsia="SimSun" w:hAnsi="Times New Roman"/>
          <w:b/>
          <w:szCs w:val="24"/>
          <w:lang w:eastAsia="ko-KR"/>
        </w:rPr>
      </w:pPr>
      <w:r w:rsidRPr="00183DFF">
        <w:rPr>
          <w:rFonts w:ascii="Times New Roman" w:eastAsia="SimSun" w:hAnsi="Times New Roman"/>
          <w:b/>
          <w:szCs w:val="24"/>
          <w:lang w:eastAsia="ko-KR"/>
        </w:rPr>
        <w:t>6.</w:t>
      </w:r>
      <w:r w:rsidRPr="00183DFF">
        <w:rPr>
          <w:rFonts w:ascii="Times New Roman" w:eastAsia="SimSun" w:hAnsi="Times New Roman"/>
          <w:b/>
          <w:szCs w:val="24"/>
          <w:lang w:eastAsia="ko-KR"/>
        </w:rPr>
        <w:tab/>
        <w:t>Response to requests and overview of action taken, or intended to be taken, by the Commission:</w:t>
      </w:r>
    </w:p>
    <w:p w14:paraId="6129E5C2" w14:textId="0A42315E" w:rsidR="00AC6113" w:rsidRPr="00D00C05" w:rsidRDefault="00D00C05" w:rsidP="009F6403">
      <w:pPr>
        <w:autoSpaceDE w:val="0"/>
        <w:autoSpaceDN w:val="0"/>
        <w:adjustRightInd w:val="0"/>
        <w:spacing w:after="120"/>
        <w:rPr>
          <w:rFonts w:ascii="Times New Roman" w:eastAsiaTheme="minorHAnsi" w:hAnsi="Times New Roman"/>
          <w:i/>
          <w:szCs w:val="24"/>
          <w:lang w:val="en-IE" w:eastAsia="en-US"/>
        </w:rPr>
      </w:pPr>
      <w:r w:rsidRPr="00D00C05">
        <w:rPr>
          <w:rFonts w:ascii="Times New Roman" w:hAnsi="Times New Roman"/>
          <w:i/>
          <w:lang w:eastAsia="en-US"/>
        </w:rPr>
        <w:t>Paragraph 4</w:t>
      </w:r>
    </w:p>
    <w:p w14:paraId="3B41141F" w14:textId="3C68A26B" w:rsidR="00C60110" w:rsidRDefault="00C60110" w:rsidP="009F6403">
      <w:pPr>
        <w:spacing w:after="120"/>
        <w:rPr>
          <w:rFonts w:ascii="Times New Roman" w:hAnsi="Times New Roman"/>
          <w:szCs w:val="24"/>
          <w:shd w:val="clear" w:color="auto" w:fill="FFFFFF"/>
        </w:rPr>
      </w:pPr>
      <w:r w:rsidRPr="008F4AE9">
        <w:rPr>
          <w:rFonts w:ascii="Times New Roman" w:hAnsi="Times New Roman"/>
          <w:lang w:eastAsia="en-US"/>
        </w:rPr>
        <w:t xml:space="preserve">The </w:t>
      </w:r>
      <w:r w:rsidR="007D757B">
        <w:rPr>
          <w:rFonts w:ascii="Times New Roman" w:hAnsi="Times New Roman"/>
          <w:lang w:eastAsia="en-US"/>
        </w:rPr>
        <w:t xml:space="preserve">European </w:t>
      </w:r>
      <w:r w:rsidRPr="008F4AE9">
        <w:rPr>
          <w:rFonts w:ascii="Times New Roman" w:hAnsi="Times New Roman"/>
          <w:lang w:eastAsia="en-US"/>
        </w:rPr>
        <w:t xml:space="preserve">Commission </w:t>
      </w:r>
      <w:r w:rsidR="008F4AE9">
        <w:rPr>
          <w:rFonts w:ascii="Times New Roman" w:hAnsi="Times New Roman"/>
          <w:lang w:eastAsia="en-US"/>
        </w:rPr>
        <w:t xml:space="preserve">has </w:t>
      </w:r>
      <w:r w:rsidRPr="008F4AE9">
        <w:rPr>
          <w:rFonts w:ascii="Times New Roman" w:hAnsi="Times New Roman"/>
          <w:lang w:eastAsia="en-US"/>
        </w:rPr>
        <w:t xml:space="preserve">requested the European Banking Authority (EBA) to develop </w:t>
      </w:r>
      <w:r w:rsidRPr="008F4AE9">
        <w:rPr>
          <w:rFonts w:ascii="Times New Roman" w:hAnsi="Times New Roman"/>
          <w:bCs/>
          <w:lang w:eastAsia="en-US"/>
        </w:rPr>
        <w:t xml:space="preserve">a template for the annual reporting of information on deposits </w:t>
      </w:r>
      <w:r w:rsidR="00BA7F7F">
        <w:rPr>
          <w:rFonts w:ascii="Times New Roman" w:hAnsi="Times New Roman"/>
          <w:bCs/>
          <w:lang w:eastAsia="en-US"/>
        </w:rPr>
        <w:t xml:space="preserve">above </w:t>
      </w:r>
      <w:r w:rsidR="009F6403">
        <w:rPr>
          <w:rFonts w:ascii="Times New Roman" w:hAnsi="Times New Roman"/>
          <w:bCs/>
          <w:lang w:eastAsia="en-US"/>
        </w:rPr>
        <w:t xml:space="preserve">EUR </w:t>
      </w:r>
      <w:r w:rsidR="00BA7F7F">
        <w:rPr>
          <w:rFonts w:ascii="Times New Roman" w:hAnsi="Times New Roman"/>
          <w:bCs/>
          <w:lang w:eastAsia="en-US"/>
        </w:rPr>
        <w:t xml:space="preserve">100 000 </w:t>
      </w:r>
      <w:r w:rsidRPr="008F4AE9">
        <w:rPr>
          <w:rFonts w:ascii="Times New Roman" w:hAnsi="Times New Roman"/>
          <w:bCs/>
          <w:lang w:eastAsia="en-US"/>
        </w:rPr>
        <w:t>subject to the Russia and the Belarus Economic Sanctions Regulations.</w:t>
      </w:r>
      <w:r w:rsidR="008F4AE9">
        <w:rPr>
          <w:rFonts w:ascii="Times New Roman" w:hAnsi="Times New Roman"/>
          <w:bCs/>
          <w:lang w:eastAsia="en-US"/>
        </w:rPr>
        <w:t xml:space="preserve"> In May 2022, the EBA made </w:t>
      </w:r>
      <w:hyperlink r:id="rId6" w:history="1">
        <w:r w:rsidR="008F4AE9" w:rsidRPr="008F4AE9">
          <w:rPr>
            <w:rStyle w:val="Hyperlink"/>
            <w:rFonts w:ascii="Times New Roman" w:hAnsi="Times New Roman"/>
          </w:rPr>
          <w:t>the template</w:t>
        </w:r>
      </w:hyperlink>
      <w:r w:rsidRPr="008F4AE9">
        <w:rPr>
          <w:rFonts w:ascii="Times New Roman" w:hAnsi="Times New Roman"/>
          <w:bCs/>
          <w:lang w:eastAsia="en-US"/>
        </w:rPr>
        <w:t xml:space="preserve"> available for</w:t>
      </w:r>
      <w:r w:rsidR="00C0411A">
        <w:rPr>
          <w:rFonts w:ascii="Times New Roman" w:hAnsi="Times New Roman"/>
          <w:bCs/>
          <w:lang w:eastAsia="en-US"/>
        </w:rPr>
        <w:t xml:space="preserve"> voluntary use by</w:t>
      </w:r>
      <w:r w:rsidRPr="008F4AE9">
        <w:rPr>
          <w:rFonts w:ascii="Times New Roman" w:hAnsi="Times New Roman"/>
          <w:bCs/>
          <w:lang w:eastAsia="en-US"/>
        </w:rPr>
        <w:t xml:space="preserve"> the </w:t>
      </w:r>
      <w:r w:rsidRPr="00C0411A">
        <w:rPr>
          <w:rFonts w:ascii="Times New Roman" w:hAnsi="Times New Roman"/>
          <w:bCs/>
          <w:lang w:eastAsia="en-US"/>
        </w:rPr>
        <w:t>relevant national competent authorities and by the Commission</w:t>
      </w:r>
      <w:r w:rsidR="008F4AE9" w:rsidRPr="00C0411A">
        <w:rPr>
          <w:rFonts w:ascii="Times New Roman" w:hAnsi="Times New Roman"/>
          <w:bCs/>
          <w:lang w:eastAsia="en-US"/>
        </w:rPr>
        <w:t xml:space="preserve">. </w:t>
      </w:r>
      <w:r w:rsidR="00C0411A">
        <w:rPr>
          <w:rFonts w:ascii="Times New Roman" w:hAnsi="Times New Roman"/>
          <w:szCs w:val="24"/>
          <w:shd w:val="clear" w:color="auto" w:fill="FFFFFF"/>
        </w:rPr>
        <w:t>The Commission recommends</w:t>
      </w:r>
      <w:r w:rsidR="008F4AE9" w:rsidRPr="00C0411A">
        <w:rPr>
          <w:rFonts w:ascii="Times New Roman" w:hAnsi="Times New Roman"/>
          <w:szCs w:val="24"/>
          <w:shd w:val="clear" w:color="auto" w:fill="FFFFFF"/>
        </w:rPr>
        <w:t xml:space="preserve"> credit institutions and</w:t>
      </w:r>
      <w:r w:rsidR="009F6403">
        <w:rPr>
          <w:rFonts w:ascii="Times New Roman" w:hAnsi="Times New Roman"/>
          <w:szCs w:val="24"/>
          <w:shd w:val="clear" w:color="auto" w:fill="FFFFFF"/>
        </w:rPr>
        <w:t xml:space="preserve"> national competent authorities </w:t>
      </w:r>
      <w:r w:rsidR="00C0411A">
        <w:rPr>
          <w:rFonts w:ascii="Times New Roman" w:hAnsi="Times New Roman"/>
          <w:szCs w:val="24"/>
          <w:shd w:val="clear" w:color="auto" w:fill="FFFFFF"/>
        </w:rPr>
        <w:t xml:space="preserve">to </w:t>
      </w:r>
      <w:r w:rsidR="008F4AE9" w:rsidRPr="00C0411A">
        <w:rPr>
          <w:rFonts w:ascii="Times New Roman" w:hAnsi="Times New Roman"/>
          <w:szCs w:val="24"/>
          <w:shd w:val="clear" w:color="auto" w:fill="FFFFFF"/>
        </w:rPr>
        <w:t xml:space="preserve">apply </w:t>
      </w:r>
      <w:r w:rsidR="00C0411A">
        <w:rPr>
          <w:rFonts w:ascii="Times New Roman" w:hAnsi="Times New Roman"/>
          <w:szCs w:val="24"/>
          <w:shd w:val="clear" w:color="auto" w:fill="FFFFFF"/>
        </w:rPr>
        <w:t>the template</w:t>
      </w:r>
      <w:r w:rsidR="008F4AE9" w:rsidRPr="00C0411A">
        <w:rPr>
          <w:rFonts w:ascii="Times New Roman" w:hAnsi="Times New Roman"/>
          <w:szCs w:val="24"/>
          <w:shd w:val="clear" w:color="auto" w:fill="FFFFFF"/>
        </w:rPr>
        <w:t xml:space="preserve"> in order to ensure supervisory convergence and reduction of the associated reporting costs, esp</w:t>
      </w:r>
      <w:r w:rsidR="009F6403">
        <w:rPr>
          <w:rFonts w:ascii="Times New Roman" w:hAnsi="Times New Roman"/>
          <w:szCs w:val="24"/>
          <w:shd w:val="clear" w:color="auto" w:fill="FFFFFF"/>
        </w:rPr>
        <w:t>ecially for cross-border banks.</w:t>
      </w:r>
    </w:p>
    <w:p w14:paraId="58296180" w14:textId="0A9B4B62" w:rsidR="00BA7F7F" w:rsidRPr="003A5C76" w:rsidRDefault="00BA7F7F" w:rsidP="009F6403">
      <w:pPr>
        <w:spacing w:after="120"/>
        <w:rPr>
          <w:rFonts w:ascii="Times New Roman" w:hAnsi="Times New Roman"/>
          <w:bCs/>
          <w:lang w:eastAsia="en-US"/>
        </w:rPr>
      </w:pPr>
      <w:r w:rsidRPr="003A5C76">
        <w:rPr>
          <w:rFonts w:ascii="Times New Roman" w:hAnsi="Times New Roman"/>
          <w:bCs/>
          <w:lang w:eastAsia="en-US"/>
        </w:rPr>
        <w:t>Moreover, EU operators are required to report to the Member States on the assets of listed Russian and Belarusian natural or legal persons, which have been frozen in the EU. This is a legal obligation in virtually all sanctions regimes laying down assets freezes, including those concerning ’Ukraine territorial integrity’ and Belarus. For the ’Ukraine territorial integrity’ regime (containing the listings of over 1,300 persons and entities), the obligation was reinforced by the Council on 21 July 2022, and EU operators are now also explicitly required to report to the Member States any information in their possession on assets in the EU that are not yet being treated as frozen. Based on these reports, the Member States transmit aggregate figures to the Commission.</w:t>
      </w:r>
    </w:p>
    <w:p w14:paraId="468E5AC5" w14:textId="01E0116A" w:rsidR="00BA7F7F" w:rsidRPr="003A5C76" w:rsidRDefault="00BA7F7F" w:rsidP="009F6403">
      <w:pPr>
        <w:spacing w:after="120"/>
        <w:rPr>
          <w:rFonts w:ascii="Times New Roman" w:hAnsi="Times New Roman"/>
          <w:bCs/>
          <w:lang w:eastAsia="en-US"/>
        </w:rPr>
      </w:pPr>
      <w:r w:rsidRPr="003A5C76">
        <w:rPr>
          <w:rFonts w:ascii="Times New Roman" w:hAnsi="Times New Roman"/>
          <w:bCs/>
          <w:lang w:eastAsia="en-US"/>
        </w:rPr>
        <w:t>To further improve the tracing of assets linked to the ‘Ukraine territorial integrity’ sanctions regime, on 21 July 2022 the Council adopted a further amendment, requiring persons and entities listed in that regime to disclose all their assets within EU jurisdiction to the relevant Member State. Failure to comply with this obligation can be considered as a breach of EU sanctions law – with consequences potentially in the sphere of criminal law.</w:t>
      </w:r>
    </w:p>
    <w:p w14:paraId="5E3D074A" w14:textId="14947171" w:rsidR="00BA7F7F" w:rsidRDefault="00BA7F7F" w:rsidP="009F6403">
      <w:pPr>
        <w:autoSpaceDE w:val="0"/>
        <w:autoSpaceDN w:val="0"/>
        <w:adjustRightInd w:val="0"/>
        <w:spacing w:after="120"/>
        <w:rPr>
          <w:rFonts w:ascii="Times New Roman" w:hAnsi="Times New Roman"/>
          <w:bCs/>
          <w:lang w:eastAsia="en-US"/>
        </w:rPr>
      </w:pPr>
      <w:r w:rsidRPr="003A5C76">
        <w:rPr>
          <w:rFonts w:ascii="Times New Roman" w:hAnsi="Times New Roman"/>
          <w:bCs/>
          <w:lang w:eastAsia="en-US"/>
        </w:rPr>
        <w:lastRenderedPageBreak/>
        <w:t xml:space="preserve">It should be underlined that only listed persons and entities are subject to the asset freeze measures as decided by the Council, and such asset freezes do not extend to </w:t>
      </w:r>
      <w:r w:rsidR="00517B52" w:rsidRPr="003A5C76">
        <w:rPr>
          <w:rFonts w:ascii="Times New Roman" w:hAnsi="Times New Roman"/>
          <w:bCs/>
          <w:lang w:eastAsia="en-US"/>
        </w:rPr>
        <w:t xml:space="preserve">all </w:t>
      </w:r>
      <w:r w:rsidRPr="003A5C76">
        <w:rPr>
          <w:rFonts w:ascii="Times New Roman" w:hAnsi="Times New Roman"/>
          <w:bCs/>
          <w:lang w:eastAsia="en-US"/>
        </w:rPr>
        <w:t>persons with links to the Putin or Lukashenko regimes (although assets nominally owned by third parties may be affected if they are in fact owned or controlled by a listed person or entity).</w:t>
      </w:r>
    </w:p>
    <w:p w14:paraId="5E72793C" w14:textId="2DE35458" w:rsidR="00183DFF" w:rsidRPr="00D00C05" w:rsidRDefault="00183DFF" w:rsidP="009F6403">
      <w:pPr>
        <w:autoSpaceDE w:val="0"/>
        <w:autoSpaceDN w:val="0"/>
        <w:adjustRightInd w:val="0"/>
        <w:spacing w:after="120"/>
        <w:rPr>
          <w:rFonts w:ascii="Times New Roman" w:eastAsiaTheme="minorHAnsi" w:hAnsi="Times New Roman"/>
          <w:i/>
          <w:szCs w:val="24"/>
          <w:lang w:val="en-IE" w:eastAsia="en-US"/>
        </w:rPr>
      </w:pPr>
      <w:r w:rsidRPr="00D00C05">
        <w:rPr>
          <w:rFonts w:ascii="Times New Roman" w:eastAsiaTheme="minorHAnsi" w:hAnsi="Times New Roman"/>
          <w:i/>
          <w:szCs w:val="24"/>
          <w:lang w:val="en-IE" w:eastAsia="en-US"/>
        </w:rPr>
        <w:t>Paragraph 29</w:t>
      </w:r>
    </w:p>
    <w:p w14:paraId="25D1F13F" w14:textId="70537779" w:rsidR="000F3D9C" w:rsidRPr="00C60110" w:rsidRDefault="000F3D9C" w:rsidP="009F6403">
      <w:pPr>
        <w:autoSpaceDE w:val="0"/>
        <w:autoSpaceDN w:val="0"/>
        <w:adjustRightInd w:val="0"/>
        <w:spacing w:after="120"/>
        <w:rPr>
          <w:rFonts w:ascii="Times New Roman" w:eastAsiaTheme="minorHAnsi" w:hAnsi="Times New Roman"/>
          <w:szCs w:val="24"/>
          <w:lang w:eastAsia="en-US"/>
        </w:rPr>
      </w:pPr>
      <w:r w:rsidRPr="00C60110">
        <w:rPr>
          <w:rFonts w:ascii="Times New Roman" w:eastAsiaTheme="minorHAnsi" w:hAnsi="Times New Roman"/>
          <w:szCs w:val="24"/>
          <w:lang w:eastAsia="en-US"/>
        </w:rPr>
        <w:t>Global Gateway is the new European strategy to boost smart, clean and secure links in digital, energy and transport sectors and to strengthen health, education and research systems across the world. To do so, Global Gateway will act by financing major investments in infrastructure development around the world between 2021 and 2027. Following a Team Europe approach, meaning the EU institutions, Member States</w:t>
      </w:r>
      <w:r w:rsidR="00B524D2">
        <w:rPr>
          <w:rFonts w:ascii="Times New Roman" w:eastAsiaTheme="minorHAnsi" w:hAnsi="Times New Roman"/>
          <w:szCs w:val="24"/>
          <w:lang w:eastAsia="en-US"/>
        </w:rPr>
        <w:t xml:space="preserve">, </w:t>
      </w:r>
      <w:r w:rsidRPr="00C60110">
        <w:rPr>
          <w:rFonts w:ascii="Times New Roman" w:eastAsiaTheme="minorHAnsi" w:hAnsi="Times New Roman"/>
          <w:szCs w:val="24"/>
          <w:lang w:eastAsia="en-US"/>
        </w:rPr>
        <w:t>the European Investment Bank (EIB) and the European Bank for Reconstruction and Development (EBRD) jointly</w:t>
      </w:r>
      <w:r w:rsidR="001E2393">
        <w:rPr>
          <w:rFonts w:ascii="Times New Roman" w:eastAsiaTheme="minorHAnsi" w:hAnsi="Times New Roman"/>
          <w:szCs w:val="24"/>
          <w:lang w:eastAsia="en-US"/>
        </w:rPr>
        <w:t>, it</w:t>
      </w:r>
      <w:r w:rsidRPr="00C60110">
        <w:rPr>
          <w:rFonts w:ascii="Times New Roman" w:eastAsiaTheme="minorHAnsi" w:hAnsi="Times New Roman"/>
          <w:szCs w:val="24"/>
          <w:lang w:eastAsia="en-US"/>
        </w:rPr>
        <w:t xml:space="preserve"> will mobilise up to EUR 300 billion of investments.</w:t>
      </w:r>
    </w:p>
    <w:p w14:paraId="0220C0A7" w14:textId="4D1B48C7" w:rsidR="000F3D9C" w:rsidRPr="00C60110" w:rsidRDefault="000F3D9C" w:rsidP="009F6403">
      <w:pPr>
        <w:autoSpaceDE w:val="0"/>
        <w:autoSpaceDN w:val="0"/>
        <w:adjustRightInd w:val="0"/>
        <w:spacing w:after="120"/>
        <w:rPr>
          <w:rFonts w:ascii="Times New Roman" w:eastAsiaTheme="minorHAnsi" w:hAnsi="Times New Roman"/>
          <w:szCs w:val="24"/>
          <w:lang w:eastAsia="en-US"/>
        </w:rPr>
      </w:pPr>
      <w:r w:rsidRPr="00C60110">
        <w:rPr>
          <w:rFonts w:ascii="Times New Roman" w:eastAsiaTheme="minorHAnsi" w:hAnsi="Times New Roman"/>
          <w:szCs w:val="24"/>
          <w:lang w:eastAsia="en-US"/>
        </w:rPr>
        <w:t xml:space="preserve">The Global Gateway draws on the new financial tools in the EU </w:t>
      </w:r>
      <w:r w:rsidR="00B524D2" w:rsidRPr="00C60110">
        <w:rPr>
          <w:rFonts w:ascii="Times New Roman" w:eastAsiaTheme="minorHAnsi" w:hAnsi="Times New Roman"/>
          <w:szCs w:val="24"/>
          <w:lang w:eastAsia="en-US"/>
        </w:rPr>
        <w:t>Multi</w:t>
      </w:r>
      <w:r w:rsidR="00B524D2">
        <w:rPr>
          <w:rFonts w:ascii="Times New Roman" w:eastAsiaTheme="minorHAnsi" w:hAnsi="Times New Roman"/>
          <w:szCs w:val="24"/>
          <w:lang w:eastAsia="en-US"/>
        </w:rPr>
        <w:t>a</w:t>
      </w:r>
      <w:r w:rsidR="00B524D2" w:rsidRPr="00C60110">
        <w:rPr>
          <w:rFonts w:ascii="Times New Roman" w:eastAsiaTheme="minorHAnsi" w:hAnsi="Times New Roman"/>
          <w:szCs w:val="24"/>
          <w:lang w:eastAsia="en-US"/>
        </w:rPr>
        <w:t>nnual Financial Framework</w:t>
      </w:r>
      <w:r w:rsidR="00B524D2">
        <w:rPr>
          <w:rFonts w:ascii="Times New Roman" w:eastAsiaTheme="minorHAnsi" w:hAnsi="Times New Roman"/>
          <w:szCs w:val="24"/>
          <w:lang w:eastAsia="en-US"/>
        </w:rPr>
        <w:t xml:space="preserve"> (MFF)</w:t>
      </w:r>
      <w:r w:rsidR="00B524D2" w:rsidRPr="00C60110">
        <w:rPr>
          <w:rFonts w:ascii="Times New Roman" w:eastAsiaTheme="minorHAnsi" w:hAnsi="Times New Roman"/>
          <w:szCs w:val="24"/>
          <w:lang w:eastAsia="en-US"/>
        </w:rPr>
        <w:t xml:space="preserve"> </w:t>
      </w:r>
      <w:r w:rsidRPr="00C60110">
        <w:rPr>
          <w:rFonts w:ascii="Times New Roman" w:eastAsiaTheme="minorHAnsi" w:hAnsi="Times New Roman"/>
          <w:szCs w:val="24"/>
          <w:lang w:eastAsia="en-US"/>
        </w:rPr>
        <w:t xml:space="preserve">2021-2027, including the Neighbourhood, Development and International Cooperation Instrument (NDICI)-Global Europe. The financial arm of NDICI-Global Europe, the European Fund for Sustainable Development+ (EFSD+), through the External Action Guarantee, will make available up to EUR 135 billion for guaranteed investments for projects </w:t>
      </w:r>
      <w:r w:rsidR="00B524D2">
        <w:rPr>
          <w:rFonts w:ascii="Times New Roman" w:eastAsiaTheme="minorHAnsi" w:hAnsi="Times New Roman"/>
          <w:szCs w:val="24"/>
          <w:lang w:eastAsia="en-US"/>
        </w:rPr>
        <w:t xml:space="preserve">contributing to the Global Gateway strategy </w:t>
      </w:r>
      <w:r w:rsidRPr="00C60110">
        <w:rPr>
          <w:rFonts w:ascii="Times New Roman" w:eastAsiaTheme="minorHAnsi" w:hAnsi="Times New Roman"/>
          <w:szCs w:val="24"/>
          <w:lang w:eastAsia="en-US"/>
        </w:rPr>
        <w:t>between 2021 and 2027. It will do so by de-risking investments and leverag</w:t>
      </w:r>
      <w:r w:rsidR="00634DD7">
        <w:rPr>
          <w:rFonts w:ascii="Times New Roman" w:eastAsiaTheme="minorHAnsi" w:hAnsi="Times New Roman"/>
          <w:szCs w:val="24"/>
          <w:lang w:eastAsia="en-US"/>
        </w:rPr>
        <w:t>ing</w:t>
      </w:r>
      <w:r w:rsidRPr="00C60110">
        <w:rPr>
          <w:rFonts w:ascii="Times New Roman" w:eastAsiaTheme="minorHAnsi" w:hAnsi="Times New Roman"/>
          <w:szCs w:val="24"/>
          <w:lang w:eastAsia="en-US"/>
        </w:rPr>
        <w:t xml:space="preserve"> private investments, working together with the EIB and other European financial institutions, as well as Member States' institutions (development banks, national promotional banks, </w:t>
      </w:r>
      <w:r w:rsidR="001E2393" w:rsidRPr="00C60110">
        <w:rPr>
          <w:rFonts w:ascii="Times New Roman" w:eastAsiaTheme="minorHAnsi" w:hAnsi="Times New Roman"/>
          <w:szCs w:val="24"/>
          <w:lang w:eastAsia="en-US"/>
        </w:rPr>
        <w:t>and export</w:t>
      </w:r>
      <w:r w:rsidRPr="00C60110">
        <w:rPr>
          <w:rFonts w:ascii="Times New Roman" w:eastAsiaTheme="minorHAnsi" w:hAnsi="Times New Roman"/>
          <w:szCs w:val="24"/>
          <w:lang w:eastAsia="en-US"/>
        </w:rPr>
        <w:t xml:space="preserve"> credit agencies) and capital from the private sector. Financing will rely on systematic mechanisms to filter out abnormally low tenders, and foreign subsidies that undermine the level playing field.</w:t>
      </w:r>
    </w:p>
    <w:p w14:paraId="3D8B7413" w14:textId="12F52549" w:rsidR="000F3D9C" w:rsidRPr="00C60110" w:rsidRDefault="006D47AD" w:rsidP="009F6403">
      <w:pPr>
        <w:autoSpaceDE w:val="0"/>
        <w:autoSpaceDN w:val="0"/>
        <w:adjustRightInd w:val="0"/>
        <w:spacing w:after="120"/>
        <w:rPr>
          <w:rFonts w:ascii="Times New Roman" w:eastAsiaTheme="minorHAnsi" w:hAnsi="Times New Roman"/>
          <w:szCs w:val="24"/>
          <w:lang w:eastAsia="en-US"/>
        </w:rPr>
      </w:pPr>
      <w:r>
        <w:rPr>
          <w:rFonts w:ascii="Times New Roman" w:eastAsiaTheme="minorHAnsi" w:hAnsi="Times New Roman"/>
          <w:szCs w:val="24"/>
          <w:lang w:eastAsia="en-US"/>
        </w:rPr>
        <w:t xml:space="preserve">In </w:t>
      </w:r>
      <w:r w:rsidR="000F3D9C" w:rsidRPr="00C60110">
        <w:rPr>
          <w:rFonts w:ascii="Times New Roman" w:eastAsiaTheme="minorHAnsi" w:hAnsi="Times New Roman"/>
          <w:szCs w:val="24"/>
          <w:lang w:eastAsia="en-US"/>
        </w:rPr>
        <w:t xml:space="preserve">case </w:t>
      </w:r>
      <w:r w:rsidR="00661439">
        <w:rPr>
          <w:rFonts w:ascii="Times New Roman" w:eastAsiaTheme="minorHAnsi" w:hAnsi="Times New Roman"/>
          <w:szCs w:val="24"/>
          <w:lang w:eastAsia="en-US"/>
        </w:rPr>
        <w:t>of the EIB,</w:t>
      </w:r>
      <w:r w:rsidR="000F3D9C" w:rsidRPr="00C60110">
        <w:rPr>
          <w:rFonts w:ascii="Times New Roman" w:eastAsiaTheme="minorHAnsi" w:hAnsi="Times New Roman"/>
          <w:szCs w:val="24"/>
          <w:lang w:eastAsia="en-US"/>
        </w:rPr>
        <w:t xml:space="preserve"> the EU will provide a total </w:t>
      </w:r>
      <w:r w:rsidR="00A072D2">
        <w:rPr>
          <w:rFonts w:ascii="Times New Roman" w:eastAsiaTheme="minorHAnsi" w:hAnsi="Times New Roman"/>
          <w:szCs w:val="24"/>
          <w:lang w:eastAsia="en-US"/>
        </w:rPr>
        <w:t xml:space="preserve">of up to </w:t>
      </w:r>
      <w:r w:rsidR="00B524D2">
        <w:rPr>
          <w:rFonts w:ascii="Times New Roman" w:eastAsiaTheme="minorHAnsi" w:hAnsi="Times New Roman"/>
          <w:szCs w:val="24"/>
          <w:lang w:eastAsia="en-US"/>
        </w:rPr>
        <w:t xml:space="preserve">EUR </w:t>
      </w:r>
      <w:r w:rsidR="000F3D9C" w:rsidRPr="00C60110">
        <w:rPr>
          <w:rFonts w:ascii="Times New Roman" w:eastAsiaTheme="minorHAnsi" w:hAnsi="Times New Roman"/>
          <w:szCs w:val="24"/>
          <w:lang w:eastAsia="en-US"/>
        </w:rPr>
        <w:t xml:space="preserve">26.7 billion guarantee to cover </w:t>
      </w:r>
      <w:r w:rsidR="00A5111C">
        <w:rPr>
          <w:rFonts w:ascii="Times New Roman" w:eastAsiaTheme="minorHAnsi" w:hAnsi="Times New Roman"/>
          <w:szCs w:val="24"/>
          <w:lang w:eastAsia="en-US"/>
        </w:rPr>
        <w:t xml:space="preserve">public </w:t>
      </w:r>
      <w:r w:rsidR="000F3D9C" w:rsidRPr="00C60110">
        <w:rPr>
          <w:rFonts w:ascii="Times New Roman" w:eastAsiaTheme="minorHAnsi" w:hAnsi="Times New Roman"/>
          <w:szCs w:val="24"/>
          <w:lang w:eastAsia="en-US"/>
        </w:rPr>
        <w:t xml:space="preserve">investments </w:t>
      </w:r>
      <w:r w:rsidR="00634DD7">
        <w:rPr>
          <w:rFonts w:ascii="Times New Roman" w:eastAsiaTheme="minorHAnsi" w:hAnsi="Times New Roman"/>
          <w:szCs w:val="24"/>
          <w:lang w:eastAsia="en-US"/>
        </w:rPr>
        <w:t xml:space="preserve">by the EIB </w:t>
      </w:r>
      <w:r w:rsidR="000F3D9C" w:rsidRPr="00C60110">
        <w:rPr>
          <w:rFonts w:ascii="Times New Roman" w:eastAsiaTheme="minorHAnsi" w:hAnsi="Times New Roman"/>
          <w:szCs w:val="24"/>
          <w:lang w:eastAsia="en-US"/>
        </w:rPr>
        <w:t xml:space="preserve">in several sectors such as clean energy, </w:t>
      </w:r>
      <w:r w:rsidR="00634DD7">
        <w:rPr>
          <w:rFonts w:ascii="Times New Roman" w:eastAsiaTheme="minorHAnsi" w:hAnsi="Times New Roman"/>
          <w:szCs w:val="24"/>
          <w:lang w:eastAsia="en-US"/>
        </w:rPr>
        <w:t>sustainable transport and digital</w:t>
      </w:r>
      <w:r w:rsidR="00634DD7" w:rsidRPr="00C60110">
        <w:rPr>
          <w:rFonts w:ascii="Times New Roman" w:eastAsiaTheme="minorHAnsi" w:hAnsi="Times New Roman"/>
          <w:szCs w:val="24"/>
          <w:lang w:eastAsia="en-US"/>
        </w:rPr>
        <w:t xml:space="preserve"> </w:t>
      </w:r>
      <w:r w:rsidR="000F3D9C" w:rsidRPr="00C60110">
        <w:rPr>
          <w:rFonts w:ascii="Times New Roman" w:eastAsiaTheme="minorHAnsi" w:hAnsi="Times New Roman"/>
          <w:szCs w:val="24"/>
          <w:lang w:eastAsia="en-US"/>
        </w:rPr>
        <w:t>infrastructure</w:t>
      </w:r>
      <w:r w:rsidR="00A5111C">
        <w:rPr>
          <w:rFonts w:ascii="Times New Roman" w:eastAsiaTheme="minorHAnsi" w:hAnsi="Times New Roman"/>
          <w:szCs w:val="24"/>
          <w:lang w:eastAsia="en-US"/>
        </w:rPr>
        <w:t>,</w:t>
      </w:r>
      <w:r w:rsidR="000F3D9C" w:rsidRPr="00C60110">
        <w:rPr>
          <w:rFonts w:ascii="Times New Roman" w:eastAsiaTheme="minorHAnsi" w:hAnsi="Times New Roman"/>
          <w:szCs w:val="24"/>
          <w:lang w:eastAsia="en-US"/>
        </w:rPr>
        <w:t xml:space="preserve"> and health. The risk coverage provided will </w:t>
      </w:r>
      <w:r w:rsidR="00634DD7">
        <w:rPr>
          <w:rFonts w:ascii="Times New Roman" w:eastAsiaTheme="minorHAnsi" w:hAnsi="Times New Roman"/>
          <w:szCs w:val="24"/>
          <w:lang w:eastAsia="en-US"/>
        </w:rPr>
        <w:t>enable</w:t>
      </w:r>
      <w:r w:rsidR="00634DD7" w:rsidRPr="00C60110">
        <w:rPr>
          <w:rFonts w:ascii="Times New Roman" w:eastAsiaTheme="minorHAnsi" w:hAnsi="Times New Roman"/>
          <w:szCs w:val="24"/>
          <w:lang w:eastAsia="en-US"/>
        </w:rPr>
        <w:t xml:space="preserve"> </w:t>
      </w:r>
      <w:r w:rsidR="000F3D9C" w:rsidRPr="00C60110">
        <w:rPr>
          <w:rFonts w:ascii="Times New Roman" w:eastAsiaTheme="minorHAnsi" w:hAnsi="Times New Roman"/>
          <w:szCs w:val="24"/>
          <w:lang w:eastAsia="en-US"/>
        </w:rPr>
        <w:t xml:space="preserve">the EIB to </w:t>
      </w:r>
      <w:r w:rsidR="00A5111C">
        <w:rPr>
          <w:rFonts w:ascii="Times New Roman" w:eastAsiaTheme="minorHAnsi" w:hAnsi="Times New Roman"/>
          <w:szCs w:val="24"/>
          <w:lang w:eastAsia="en-US"/>
        </w:rPr>
        <w:t xml:space="preserve">finance projects in support of EU policy priorities in higher risk environments and </w:t>
      </w:r>
      <w:r w:rsidR="000F3D9C" w:rsidRPr="00C60110">
        <w:rPr>
          <w:rFonts w:ascii="Times New Roman" w:eastAsiaTheme="minorHAnsi" w:hAnsi="Times New Roman"/>
          <w:szCs w:val="24"/>
          <w:lang w:eastAsia="en-US"/>
        </w:rPr>
        <w:t>offer loans to partner countries to make sustainable investments in connectivity and other priority sectors.</w:t>
      </w:r>
    </w:p>
    <w:p w14:paraId="29F0D998" w14:textId="05276F04" w:rsidR="00183DFF" w:rsidRPr="00D00C05" w:rsidRDefault="00183DFF" w:rsidP="009F6403">
      <w:pPr>
        <w:autoSpaceDE w:val="0"/>
        <w:autoSpaceDN w:val="0"/>
        <w:adjustRightInd w:val="0"/>
        <w:spacing w:after="120"/>
        <w:rPr>
          <w:rFonts w:ascii="Times New Roman" w:eastAsiaTheme="minorHAnsi" w:hAnsi="Times New Roman"/>
          <w:i/>
          <w:szCs w:val="24"/>
          <w:lang w:val="en-IE" w:eastAsia="en-US"/>
        </w:rPr>
      </w:pPr>
      <w:r w:rsidRPr="00D00C05">
        <w:rPr>
          <w:rFonts w:ascii="Times New Roman" w:hAnsi="Times New Roman"/>
          <w:i/>
          <w:lang w:val="en-IE"/>
        </w:rPr>
        <w:t>Paragraph 40</w:t>
      </w:r>
    </w:p>
    <w:p w14:paraId="7204C172" w14:textId="62F308C1" w:rsidR="00183DFF" w:rsidRPr="00C60110" w:rsidRDefault="00DF5C00" w:rsidP="009F6403">
      <w:pPr>
        <w:autoSpaceDE w:val="0"/>
        <w:autoSpaceDN w:val="0"/>
        <w:adjustRightInd w:val="0"/>
        <w:spacing w:after="120"/>
        <w:rPr>
          <w:rFonts w:ascii="Times New Roman" w:eastAsiaTheme="minorHAnsi" w:hAnsi="Times New Roman"/>
          <w:szCs w:val="24"/>
          <w:lang w:val="en-IE" w:eastAsia="en-US"/>
        </w:rPr>
      </w:pPr>
      <w:r w:rsidRPr="00C60110">
        <w:rPr>
          <w:rFonts w:ascii="Times New Roman" w:eastAsiaTheme="minorHAnsi" w:hAnsi="Times New Roman"/>
          <w:szCs w:val="24"/>
          <w:lang w:val="en-IE" w:eastAsia="en-US"/>
        </w:rPr>
        <w:t xml:space="preserve">Regarding the disclosure of Commission opinions issued in accordance with Article 19 of the EIB Statute, the current practice involves granting disclosure of individual Article 19 opinions upon request, which in the Commission’s view provides a good balance between the different interests, i.e. on the one hand, the need of transparency, and on the other, confidentiality and protection of commercially sensitive information. </w:t>
      </w:r>
      <w:r w:rsidR="00B524D2" w:rsidRPr="00C60110">
        <w:rPr>
          <w:rFonts w:ascii="Times New Roman" w:eastAsiaTheme="minorHAnsi" w:hAnsi="Times New Roman"/>
          <w:szCs w:val="24"/>
          <w:lang w:val="en-IE" w:eastAsia="en-US"/>
        </w:rPr>
        <w:t xml:space="preserve">Such disclosure requests are treated </w:t>
      </w:r>
      <w:r w:rsidR="00B524D2">
        <w:rPr>
          <w:rFonts w:ascii="Times New Roman" w:eastAsiaTheme="minorHAnsi" w:hAnsi="Times New Roman"/>
          <w:szCs w:val="24"/>
          <w:lang w:val="en-IE" w:eastAsia="en-US"/>
        </w:rPr>
        <w:t>in accordance with</w:t>
      </w:r>
      <w:r w:rsidR="00B524D2" w:rsidRPr="00C60110">
        <w:rPr>
          <w:rFonts w:ascii="Times New Roman" w:eastAsiaTheme="minorHAnsi" w:hAnsi="Times New Roman"/>
          <w:szCs w:val="24"/>
          <w:lang w:val="en-IE" w:eastAsia="en-US"/>
        </w:rPr>
        <w:t xml:space="preserve"> Regulation 1049/2001 regarding public access </w:t>
      </w:r>
      <w:r w:rsidR="00B524D2">
        <w:rPr>
          <w:rFonts w:ascii="Times New Roman" w:eastAsiaTheme="minorHAnsi" w:hAnsi="Times New Roman"/>
          <w:szCs w:val="24"/>
          <w:lang w:val="en-IE" w:eastAsia="en-US"/>
        </w:rPr>
        <w:t>to</w:t>
      </w:r>
      <w:r w:rsidR="00B524D2" w:rsidRPr="00C60110">
        <w:rPr>
          <w:rFonts w:ascii="Times New Roman" w:eastAsiaTheme="minorHAnsi" w:hAnsi="Times New Roman"/>
          <w:szCs w:val="24"/>
          <w:lang w:val="en-IE" w:eastAsia="en-US"/>
        </w:rPr>
        <w:t xml:space="preserve"> </w:t>
      </w:r>
      <w:r w:rsidR="00B524D2">
        <w:rPr>
          <w:rFonts w:ascii="Times New Roman" w:eastAsiaTheme="minorHAnsi" w:hAnsi="Times New Roman"/>
          <w:szCs w:val="24"/>
          <w:lang w:val="en-IE" w:eastAsia="en-US"/>
        </w:rPr>
        <w:t>European Parliament, Council and Commission documents</w:t>
      </w:r>
      <w:r w:rsidR="00B524D2" w:rsidRPr="00C60110">
        <w:rPr>
          <w:rFonts w:ascii="Times New Roman" w:eastAsiaTheme="minorHAnsi" w:hAnsi="Times New Roman"/>
          <w:szCs w:val="24"/>
          <w:lang w:val="en-IE" w:eastAsia="en-US"/>
        </w:rPr>
        <w:t>.</w:t>
      </w:r>
      <w:bookmarkEnd w:id="1"/>
    </w:p>
    <w:sectPr w:rsidR="00183DFF" w:rsidRPr="00C6011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7A31" w16cex:dateUtc="2022-08-02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56F3A1" w16cid:durableId="26937A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01D99" w14:textId="77777777" w:rsidR="005B4CB6" w:rsidRDefault="005B4CB6" w:rsidP="005B4CB6">
      <w:pPr>
        <w:spacing w:after="0"/>
      </w:pPr>
      <w:r>
        <w:separator/>
      </w:r>
    </w:p>
  </w:endnote>
  <w:endnote w:type="continuationSeparator" w:id="0">
    <w:p w14:paraId="4BF8D8AD" w14:textId="77777777" w:rsidR="005B4CB6" w:rsidRDefault="005B4CB6" w:rsidP="005B4C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5DDA6" w14:textId="77777777" w:rsidR="009A51A5" w:rsidRDefault="009A5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254548"/>
      <w:docPartObj>
        <w:docPartGallery w:val="Page Numbers (Bottom of Page)"/>
        <w:docPartUnique/>
      </w:docPartObj>
    </w:sdtPr>
    <w:sdtEndPr>
      <w:rPr>
        <w:noProof/>
      </w:rPr>
    </w:sdtEndPr>
    <w:sdtContent>
      <w:p w14:paraId="3687CF6D" w14:textId="525834E9" w:rsidR="009A51A5" w:rsidRDefault="009A51A5">
        <w:pPr>
          <w:pStyle w:val="Footer"/>
          <w:jc w:val="center"/>
        </w:pPr>
        <w:r>
          <w:fldChar w:fldCharType="begin"/>
        </w:r>
        <w:r>
          <w:instrText xml:space="preserve"> PAGE   \* MERGEFORMAT </w:instrText>
        </w:r>
        <w:r>
          <w:fldChar w:fldCharType="separate"/>
        </w:r>
        <w:r w:rsidR="001E77EC">
          <w:rPr>
            <w:noProof/>
          </w:rPr>
          <w:t>2</w:t>
        </w:r>
        <w:r>
          <w:rPr>
            <w:noProof/>
          </w:rPr>
          <w:fldChar w:fldCharType="end"/>
        </w:r>
      </w:p>
    </w:sdtContent>
  </w:sdt>
  <w:p w14:paraId="67C56066" w14:textId="77777777" w:rsidR="009A51A5" w:rsidRDefault="009A5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866D" w14:textId="77777777" w:rsidR="009A51A5" w:rsidRDefault="009A5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80B2E" w14:textId="77777777" w:rsidR="005B4CB6" w:rsidRDefault="005B4CB6" w:rsidP="005B4CB6">
      <w:pPr>
        <w:spacing w:after="0"/>
      </w:pPr>
      <w:r>
        <w:separator/>
      </w:r>
    </w:p>
  </w:footnote>
  <w:footnote w:type="continuationSeparator" w:id="0">
    <w:p w14:paraId="420CDF10" w14:textId="77777777" w:rsidR="005B4CB6" w:rsidRDefault="005B4CB6" w:rsidP="005B4C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DD4C8" w14:textId="77777777" w:rsidR="009A51A5" w:rsidRDefault="009A5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DD4C" w14:textId="77777777" w:rsidR="009A51A5" w:rsidRDefault="009A5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B4FEE" w14:textId="77777777" w:rsidR="009A51A5" w:rsidRDefault="009A5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6A"/>
    <w:rsid w:val="00004F7C"/>
    <w:rsid w:val="0001086C"/>
    <w:rsid w:val="0001589A"/>
    <w:rsid w:val="00033502"/>
    <w:rsid w:val="00045CB8"/>
    <w:rsid w:val="000572C9"/>
    <w:rsid w:val="000A033E"/>
    <w:rsid w:val="000A183A"/>
    <w:rsid w:val="000B3D2C"/>
    <w:rsid w:val="000B4C6F"/>
    <w:rsid w:val="000C423F"/>
    <w:rsid w:val="000C4A6A"/>
    <w:rsid w:val="000D2ADC"/>
    <w:rsid w:val="000D5CE7"/>
    <w:rsid w:val="000D6E04"/>
    <w:rsid w:val="000E4D94"/>
    <w:rsid w:val="000E56F7"/>
    <w:rsid w:val="000E6676"/>
    <w:rsid w:val="000F2664"/>
    <w:rsid w:val="000F3D9C"/>
    <w:rsid w:val="00120D95"/>
    <w:rsid w:val="00123598"/>
    <w:rsid w:val="00124F15"/>
    <w:rsid w:val="001317B7"/>
    <w:rsid w:val="00133094"/>
    <w:rsid w:val="0013547E"/>
    <w:rsid w:val="001779F3"/>
    <w:rsid w:val="00183DFF"/>
    <w:rsid w:val="001924ED"/>
    <w:rsid w:val="00195F5D"/>
    <w:rsid w:val="001A7459"/>
    <w:rsid w:val="001B2779"/>
    <w:rsid w:val="001B65B7"/>
    <w:rsid w:val="001E2393"/>
    <w:rsid w:val="001E6FC6"/>
    <w:rsid w:val="001E77EC"/>
    <w:rsid w:val="001F25A4"/>
    <w:rsid w:val="002070D3"/>
    <w:rsid w:val="00210201"/>
    <w:rsid w:val="00215E59"/>
    <w:rsid w:val="002170E3"/>
    <w:rsid w:val="002230B7"/>
    <w:rsid w:val="00245C0C"/>
    <w:rsid w:val="00261C5F"/>
    <w:rsid w:val="0026204E"/>
    <w:rsid w:val="00267139"/>
    <w:rsid w:val="0027352C"/>
    <w:rsid w:val="002902A8"/>
    <w:rsid w:val="002A7471"/>
    <w:rsid w:val="002B2088"/>
    <w:rsid w:val="002C05AA"/>
    <w:rsid w:val="002C14DB"/>
    <w:rsid w:val="002C1FCD"/>
    <w:rsid w:val="002D5F57"/>
    <w:rsid w:val="002E3AA3"/>
    <w:rsid w:val="002E7E33"/>
    <w:rsid w:val="002F10AF"/>
    <w:rsid w:val="00314B85"/>
    <w:rsid w:val="00320E7A"/>
    <w:rsid w:val="0033132A"/>
    <w:rsid w:val="00332167"/>
    <w:rsid w:val="00344C8C"/>
    <w:rsid w:val="00347673"/>
    <w:rsid w:val="0035398B"/>
    <w:rsid w:val="003665F0"/>
    <w:rsid w:val="00375E3D"/>
    <w:rsid w:val="00391537"/>
    <w:rsid w:val="003922A2"/>
    <w:rsid w:val="003A5C76"/>
    <w:rsid w:val="003B2CA6"/>
    <w:rsid w:val="003B3649"/>
    <w:rsid w:val="003B4BEE"/>
    <w:rsid w:val="003E07CB"/>
    <w:rsid w:val="003E656A"/>
    <w:rsid w:val="0040144F"/>
    <w:rsid w:val="00401DD0"/>
    <w:rsid w:val="00406EAE"/>
    <w:rsid w:val="004306C3"/>
    <w:rsid w:val="00433D54"/>
    <w:rsid w:val="00460141"/>
    <w:rsid w:val="00471070"/>
    <w:rsid w:val="00471967"/>
    <w:rsid w:val="004835DF"/>
    <w:rsid w:val="004A0AD7"/>
    <w:rsid w:val="004C6B72"/>
    <w:rsid w:val="004D4F94"/>
    <w:rsid w:val="004D6036"/>
    <w:rsid w:val="004D79B7"/>
    <w:rsid w:val="004E22AC"/>
    <w:rsid w:val="004E61BA"/>
    <w:rsid w:val="004F1D70"/>
    <w:rsid w:val="004F6FC4"/>
    <w:rsid w:val="005038C9"/>
    <w:rsid w:val="00517976"/>
    <w:rsid w:val="00517B52"/>
    <w:rsid w:val="0054620A"/>
    <w:rsid w:val="005530D1"/>
    <w:rsid w:val="00567417"/>
    <w:rsid w:val="005777E6"/>
    <w:rsid w:val="005A7ADB"/>
    <w:rsid w:val="005B4CB6"/>
    <w:rsid w:val="005B6CC4"/>
    <w:rsid w:val="005C5308"/>
    <w:rsid w:val="005D2DA4"/>
    <w:rsid w:val="00615C6B"/>
    <w:rsid w:val="006223B2"/>
    <w:rsid w:val="00634DD7"/>
    <w:rsid w:val="006376C1"/>
    <w:rsid w:val="00655A55"/>
    <w:rsid w:val="00660E3C"/>
    <w:rsid w:val="00661439"/>
    <w:rsid w:val="006650E8"/>
    <w:rsid w:val="00675767"/>
    <w:rsid w:val="00680A81"/>
    <w:rsid w:val="00682929"/>
    <w:rsid w:val="00683E13"/>
    <w:rsid w:val="00696E13"/>
    <w:rsid w:val="006A1937"/>
    <w:rsid w:val="006B3B2A"/>
    <w:rsid w:val="006C203E"/>
    <w:rsid w:val="006C26C3"/>
    <w:rsid w:val="006C754D"/>
    <w:rsid w:val="006D47AD"/>
    <w:rsid w:val="006D58B5"/>
    <w:rsid w:val="007001C2"/>
    <w:rsid w:val="00713926"/>
    <w:rsid w:val="00716D1D"/>
    <w:rsid w:val="00730535"/>
    <w:rsid w:val="007330E4"/>
    <w:rsid w:val="00733575"/>
    <w:rsid w:val="00733AEB"/>
    <w:rsid w:val="00734BAD"/>
    <w:rsid w:val="0073571B"/>
    <w:rsid w:val="00763A34"/>
    <w:rsid w:val="00784237"/>
    <w:rsid w:val="007842E8"/>
    <w:rsid w:val="00787B2E"/>
    <w:rsid w:val="00796C23"/>
    <w:rsid w:val="007B2C2D"/>
    <w:rsid w:val="007B49D0"/>
    <w:rsid w:val="007C3C2A"/>
    <w:rsid w:val="007C47FF"/>
    <w:rsid w:val="007C5EC9"/>
    <w:rsid w:val="007D0084"/>
    <w:rsid w:val="007D757B"/>
    <w:rsid w:val="007E4E01"/>
    <w:rsid w:val="007E6E3C"/>
    <w:rsid w:val="007F3827"/>
    <w:rsid w:val="00810A3B"/>
    <w:rsid w:val="0082589D"/>
    <w:rsid w:val="00825C22"/>
    <w:rsid w:val="00826A84"/>
    <w:rsid w:val="00833A61"/>
    <w:rsid w:val="008514E0"/>
    <w:rsid w:val="00853737"/>
    <w:rsid w:val="00856003"/>
    <w:rsid w:val="00864363"/>
    <w:rsid w:val="0088706F"/>
    <w:rsid w:val="008877B5"/>
    <w:rsid w:val="00894453"/>
    <w:rsid w:val="008A0A6A"/>
    <w:rsid w:val="008A6AB0"/>
    <w:rsid w:val="008B56AA"/>
    <w:rsid w:val="008C6E30"/>
    <w:rsid w:val="008D4DF2"/>
    <w:rsid w:val="008F4AE9"/>
    <w:rsid w:val="008F53EC"/>
    <w:rsid w:val="009223BA"/>
    <w:rsid w:val="00935197"/>
    <w:rsid w:val="00946051"/>
    <w:rsid w:val="00947219"/>
    <w:rsid w:val="00992569"/>
    <w:rsid w:val="009A51A5"/>
    <w:rsid w:val="009B2A96"/>
    <w:rsid w:val="009C70B8"/>
    <w:rsid w:val="009D3861"/>
    <w:rsid w:val="009D6ED1"/>
    <w:rsid w:val="009E1DBE"/>
    <w:rsid w:val="009E2316"/>
    <w:rsid w:val="009F339E"/>
    <w:rsid w:val="009F6403"/>
    <w:rsid w:val="00A0498A"/>
    <w:rsid w:val="00A0506E"/>
    <w:rsid w:val="00A072D2"/>
    <w:rsid w:val="00A12398"/>
    <w:rsid w:val="00A12766"/>
    <w:rsid w:val="00A22C2B"/>
    <w:rsid w:val="00A2433B"/>
    <w:rsid w:val="00A31972"/>
    <w:rsid w:val="00A3229F"/>
    <w:rsid w:val="00A36871"/>
    <w:rsid w:val="00A373AB"/>
    <w:rsid w:val="00A421B0"/>
    <w:rsid w:val="00A4288B"/>
    <w:rsid w:val="00A4545C"/>
    <w:rsid w:val="00A5111C"/>
    <w:rsid w:val="00A61CEF"/>
    <w:rsid w:val="00A624D2"/>
    <w:rsid w:val="00A62BCB"/>
    <w:rsid w:val="00A66F4E"/>
    <w:rsid w:val="00A81CA8"/>
    <w:rsid w:val="00A86852"/>
    <w:rsid w:val="00A86F5E"/>
    <w:rsid w:val="00AB0065"/>
    <w:rsid w:val="00AC6113"/>
    <w:rsid w:val="00AD352F"/>
    <w:rsid w:val="00AE2FE9"/>
    <w:rsid w:val="00AE3233"/>
    <w:rsid w:val="00AE79E5"/>
    <w:rsid w:val="00AF1DA1"/>
    <w:rsid w:val="00AF2199"/>
    <w:rsid w:val="00AF35A1"/>
    <w:rsid w:val="00AF6712"/>
    <w:rsid w:val="00B00E98"/>
    <w:rsid w:val="00B069C8"/>
    <w:rsid w:val="00B114D6"/>
    <w:rsid w:val="00B36234"/>
    <w:rsid w:val="00B410DA"/>
    <w:rsid w:val="00B436B3"/>
    <w:rsid w:val="00B477CB"/>
    <w:rsid w:val="00B524D2"/>
    <w:rsid w:val="00B74F42"/>
    <w:rsid w:val="00B81AD5"/>
    <w:rsid w:val="00B870BD"/>
    <w:rsid w:val="00BA7F7F"/>
    <w:rsid w:val="00BE1D56"/>
    <w:rsid w:val="00BE4EE6"/>
    <w:rsid w:val="00BF277C"/>
    <w:rsid w:val="00C01BBD"/>
    <w:rsid w:val="00C02932"/>
    <w:rsid w:val="00C0411A"/>
    <w:rsid w:val="00C078A9"/>
    <w:rsid w:val="00C07F7E"/>
    <w:rsid w:val="00C51CF6"/>
    <w:rsid w:val="00C5645A"/>
    <w:rsid w:val="00C60110"/>
    <w:rsid w:val="00C86150"/>
    <w:rsid w:val="00C92005"/>
    <w:rsid w:val="00CA6E77"/>
    <w:rsid w:val="00CC2376"/>
    <w:rsid w:val="00CE103C"/>
    <w:rsid w:val="00CF0792"/>
    <w:rsid w:val="00CF78E9"/>
    <w:rsid w:val="00D00C05"/>
    <w:rsid w:val="00D07664"/>
    <w:rsid w:val="00D07E4E"/>
    <w:rsid w:val="00D10BD4"/>
    <w:rsid w:val="00D21314"/>
    <w:rsid w:val="00D2662F"/>
    <w:rsid w:val="00D37BC4"/>
    <w:rsid w:val="00D40596"/>
    <w:rsid w:val="00D576DB"/>
    <w:rsid w:val="00D756D8"/>
    <w:rsid w:val="00D82F29"/>
    <w:rsid w:val="00D8372B"/>
    <w:rsid w:val="00D91CED"/>
    <w:rsid w:val="00D930F8"/>
    <w:rsid w:val="00DA01D7"/>
    <w:rsid w:val="00DB0152"/>
    <w:rsid w:val="00DC0231"/>
    <w:rsid w:val="00DE3733"/>
    <w:rsid w:val="00DF0A10"/>
    <w:rsid w:val="00DF5C00"/>
    <w:rsid w:val="00E14A75"/>
    <w:rsid w:val="00E24A08"/>
    <w:rsid w:val="00E2667E"/>
    <w:rsid w:val="00E32FC4"/>
    <w:rsid w:val="00E40D81"/>
    <w:rsid w:val="00E52612"/>
    <w:rsid w:val="00E549F4"/>
    <w:rsid w:val="00E6648C"/>
    <w:rsid w:val="00E75B04"/>
    <w:rsid w:val="00E81117"/>
    <w:rsid w:val="00E9016D"/>
    <w:rsid w:val="00EA0714"/>
    <w:rsid w:val="00EB0199"/>
    <w:rsid w:val="00EB4E1F"/>
    <w:rsid w:val="00ED4343"/>
    <w:rsid w:val="00EE4075"/>
    <w:rsid w:val="00EF3143"/>
    <w:rsid w:val="00F14BD5"/>
    <w:rsid w:val="00F21B15"/>
    <w:rsid w:val="00F22282"/>
    <w:rsid w:val="00F26AFC"/>
    <w:rsid w:val="00F30D1D"/>
    <w:rsid w:val="00F379EC"/>
    <w:rsid w:val="00F40609"/>
    <w:rsid w:val="00F46BC6"/>
    <w:rsid w:val="00F5067C"/>
    <w:rsid w:val="00F60A32"/>
    <w:rsid w:val="00F6317A"/>
    <w:rsid w:val="00F74BAF"/>
    <w:rsid w:val="00F858F9"/>
    <w:rsid w:val="00F85E6C"/>
    <w:rsid w:val="00F91B71"/>
    <w:rsid w:val="00F92556"/>
    <w:rsid w:val="00F945B8"/>
    <w:rsid w:val="00FA1D7E"/>
    <w:rsid w:val="00FA70C9"/>
    <w:rsid w:val="00FA7ED1"/>
    <w:rsid w:val="00FB079E"/>
    <w:rsid w:val="00FE06FB"/>
    <w:rsid w:val="00FE46ED"/>
    <w:rsid w:val="00FF5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2B2BCC0"/>
  <w15:chartTrackingRefBased/>
  <w15:docId w15:val="{3C3193F6-A335-4385-962A-703FE501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6A"/>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0110"/>
    <w:rPr>
      <w:b/>
      <w:bCs/>
    </w:rPr>
  </w:style>
  <w:style w:type="character" w:styleId="Hyperlink">
    <w:name w:val="Hyperlink"/>
    <w:basedOn w:val="DefaultParagraphFont"/>
    <w:uiPriority w:val="99"/>
    <w:semiHidden/>
    <w:unhideWhenUsed/>
    <w:rsid w:val="008F4AE9"/>
    <w:rPr>
      <w:color w:val="0000FF"/>
      <w:u w:val="single"/>
    </w:rPr>
  </w:style>
  <w:style w:type="character" w:styleId="CommentReference">
    <w:name w:val="annotation reference"/>
    <w:basedOn w:val="DefaultParagraphFont"/>
    <w:uiPriority w:val="99"/>
    <w:semiHidden/>
    <w:unhideWhenUsed/>
    <w:rsid w:val="00A072D2"/>
    <w:rPr>
      <w:sz w:val="16"/>
      <w:szCs w:val="16"/>
    </w:rPr>
  </w:style>
  <w:style w:type="paragraph" w:styleId="CommentText">
    <w:name w:val="annotation text"/>
    <w:basedOn w:val="Normal"/>
    <w:link w:val="CommentTextChar"/>
    <w:uiPriority w:val="99"/>
    <w:semiHidden/>
    <w:unhideWhenUsed/>
    <w:rsid w:val="00A072D2"/>
    <w:rPr>
      <w:sz w:val="20"/>
    </w:rPr>
  </w:style>
  <w:style w:type="character" w:customStyle="1" w:styleId="CommentTextChar">
    <w:name w:val="Comment Text Char"/>
    <w:basedOn w:val="DefaultParagraphFont"/>
    <w:link w:val="CommentText"/>
    <w:uiPriority w:val="99"/>
    <w:semiHidden/>
    <w:rsid w:val="00A072D2"/>
    <w:rPr>
      <w:rFonts w:ascii="Courier New" w:eastAsia="Times New Roman" w:hAnsi="Courier Ne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072D2"/>
    <w:rPr>
      <w:b/>
      <w:bCs/>
    </w:rPr>
  </w:style>
  <w:style w:type="character" w:customStyle="1" w:styleId="CommentSubjectChar">
    <w:name w:val="Comment Subject Char"/>
    <w:basedOn w:val="CommentTextChar"/>
    <w:link w:val="CommentSubject"/>
    <w:uiPriority w:val="99"/>
    <w:semiHidden/>
    <w:rsid w:val="00A072D2"/>
    <w:rPr>
      <w:rFonts w:ascii="Courier New" w:eastAsia="Times New Roman" w:hAnsi="Courier New" w:cs="Times New Roman"/>
      <w:b/>
      <w:bCs/>
      <w:sz w:val="20"/>
      <w:szCs w:val="20"/>
      <w:lang w:eastAsia="en-GB"/>
    </w:rPr>
  </w:style>
  <w:style w:type="paragraph" w:styleId="BalloonText">
    <w:name w:val="Balloon Text"/>
    <w:basedOn w:val="Normal"/>
    <w:link w:val="BalloonTextChar"/>
    <w:uiPriority w:val="99"/>
    <w:semiHidden/>
    <w:unhideWhenUsed/>
    <w:rsid w:val="00FE06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6FB"/>
    <w:rPr>
      <w:rFonts w:ascii="Segoe UI" w:eastAsia="Times New Roman" w:hAnsi="Segoe UI" w:cs="Segoe UI"/>
      <w:sz w:val="18"/>
      <w:szCs w:val="18"/>
      <w:lang w:eastAsia="en-GB"/>
    </w:rPr>
  </w:style>
  <w:style w:type="paragraph" w:styleId="Header">
    <w:name w:val="header"/>
    <w:basedOn w:val="Normal"/>
    <w:link w:val="HeaderChar"/>
    <w:uiPriority w:val="99"/>
    <w:unhideWhenUsed/>
    <w:rsid w:val="009A51A5"/>
    <w:pPr>
      <w:tabs>
        <w:tab w:val="center" w:pos="4680"/>
        <w:tab w:val="right" w:pos="9360"/>
      </w:tabs>
      <w:spacing w:after="0"/>
    </w:pPr>
  </w:style>
  <w:style w:type="character" w:customStyle="1" w:styleId="HeaderChar">
    <w:name w:val="Header Char"/>
    <w:basedOn w:val="DefaultParagraphFont"/>
    <w:link w:val="Header"/>
    <w:uiPriority w:val="99"/>
    <w:rsid w:val="009A51A5"/>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9A51A5"/>
    <w:pPr>
      <w:tabs>
        <w:tab w:val="center" w:pos="4680"/>
        <w:tab w:val="right" w:pos="9360"/>
      </w:tabs>
      <w:spacing w:after="0"/>
    </w:pPr>
  </w:style>
  <w:style w:type="character" w:customStyle="1" w:styleId="FooterChar">
    <w:name w:val="Footer Char"/>
    <w:basedOn w:val="DefaultParagraphFont"/>
    <w:link w:val="Footer"/>
    <w:uiPriority w:val="99"/>
    <w:rsid w:val="009A51A5"/>
    <w:rPr>
      <w:rFonts w:ascii="Courier New" w:eastAsia="Times New Roman" w:hAnsi="Courier New" w:cs="Times New Roman"/>
      <w:sz w:val="24"/>
      <w:szCs w:val="20"/>
      <w:lang w:eastAsia="en-GB"/>
    </w:rPr>
  </w:style>
  <w:style w:type="character" w:styleId="FollowedHyperlink">
    <w:name w:val="FollowedHyperlink"/>
    <w:basedOn w:val="DefaultParagraphFont"/>
    <w:uiPriority w:val="99"/>
    <w:semiHidden/>
    <w:unhideWhenUsed/>
    <w:rsid w:val="009F64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7745">
      <w:bodyDiv w:val="1"/>
      <w:marLeft w:val="0"/>
      <w:marRight w:val="0"/>
      <w:marTop w:val="0"/>
      <w:marBottom w:val="0"/>
      <w:divBdr>
        <w:top w:val="none" w:sz="0" w:space="0" w:color="auto"/>
        <w:left w:val="none" w:sz="0" w:space="0" w:color="auto"/>
        <w:bottom w:val="none" w:sz="0" w:space="0" w:color="auto"/>
        <w:right w:val="none" w:sz="0" w:space="0" w:color="auto"/>
      </w:divBdr>
    </w:div>
    <w:div w:id="404181206">
      <w:bodyDiv w:val="1"/>
      <w:marLeft w:val="0"/>
      <w:marRight w:val="0"/>
      <w:marTop w:val="0"/>
      <w:marBottom w:val="0"/>
      <w:divBdr>
        <w:top w:val="none" w:sz="0" w:space="0" w:color="auto"/>
        <w:left w:val="none" w:sz="0" w:space="0" w:color="auto"/>
        <w:bottom w:val="none" w:sz="0" w:space="0" w:color="auto"/>
        <w:right w:val="none" w:sz="0" w:space="0" w:color="auto"/>
      </w:divBdr>
    </w:div>
    <w:div w:id="6565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hyperlink" Target="https://www.eba.europa.eu/eba-has-designed-efficient-framework-reporting-deposits-subject-russian-and-belarusian-economic"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956</Words>
  <Characters>5357</Characters>
  <Application>Microsoft Office Word</Application>
  <DocSecurity>0</DocSecurity>
  <Lines>78</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GIBAS Tomasz (ECFIN)</dc:creator>
  <cp:keywords/>
  <dc:description/>
  <cp:lastModifiedBy>ALMEIDA Maria Jose (SG)</cp:lastModifiedBy>
  <cp:revision>5</cp:revision>
  <dcterms:created xsi:type="dcterms:W3CDTF">2022-08-09T08:26:00Z</dcterms:created>
  <dcterms:modified xsi:type="dcterms:W3CDTF">2022-08-29T07:11:00Z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2022-07-26T12:45:49Z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3db15572-be22-4e70-a6b0-6c03cf43a233</vt:lpwstr>
  </property>
  <property fmtid="{D5CDD505-2E9C-101B-9397-08002B2CF9AE}" pid="8" name="MSIP_Label_6bd9ddd1-4d20-43f6-abfa-fc3c07406f94_ContentBits">
    <vt:lpwstr>0</vt:lpwstr>
  </property>
</Properties>
</file>