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0EB" w:rsidRPr="00EE20EB" w:rsidRDefault="00EE20EB" w:rsidP="00EE20EB">
      <w:pPr>
        <w:spacing w:after="600" w:line="240" w:lineRule="auto"/>
        <w:jc w:val="center"/>
        <w:rPr>
          <w:rFonts w:eastAsia="Calibri" w:cs="Times New Roman"/>
          <w:b/>
          <w:bCs/>
          <w:color w:val="000000"/>
          <w:szCs w:val="24"/>
        </w:rPr>
      </w:pPr>
      <w:bookmarkStart w:id="0" w:name="EIB2019"/>
      <w:r>
        <w:rPr>
          <w:b/>
          <w:color w:val="000000"/>
        </w:rPr>
        <w:t>Suite donnée à la résolution non législative du Parlement européen sur le contrôle des activités financières de la Banque européenne d’investissement – rapport annuel </w:t>
      </w:r>
      <w:r w:rsidRPr="006F47FF">
        <w:rPr>
          <w:b/>
          <w:color w:val="000000"/>
        </w:rPr>
        <w:t>2020</w:t>
      </w:r>
    </w:p>
    <w:bookmarkEnd w:id="0"/>
    <w:p w:rsidR="00EE20EB" w:rsidRPr="00EE20EB" w:rsidRDefault="00EE20EB" w:rsidP="00EE20EB">
      <w:pPr>
        <w:spacing w:after="240" w:line="240" w:lineRule="auto"/>
        <w:ind w:left="567" w:hanging="567"/>
        <w:jc w:val="both"/>
        <w:rPr>
          <w:rFonts w:eastAsia="SimSun" w:cs="Times New Roman"/>
          <w:szCs w:val="24"/>
        </w:rPr>
      </w:pPr>
      <w:r w:rsidRPr="006F47FF">
        <w:rPr>
          <w:b/>
        </w:rPr>
        <w:t>1</w:t>
      </w:r>
      <w:r>
        <w:rPr>
          <w:b/>
        </w:rPr>
        <w:t>.</w:t>
      </w:r>
      <w:r>
        <w:tab/>
      </w:r>
      <w:r>
        <w:rPr>
          <w:b/>
        </w:rPr>
        <w:t xml:space="preserve">Rapporteure: </w:t>
      </w:r>
      <w:r>
        <w:t>Corina Cretu (S&amp;D / RO)</w:t>
      </w:r>
    </w:p>
    <w:p w:rsidR="00EE20EB" w:rsidRPr="00EE20EB" w:rsidRDefault="00EE20EB" w:rsidP="00EE20EB">
      <w:pPr>
        <w:spacing w:after="240" w:line="240" w:lineRule="auto"/>
        <w:ind w:left="567" w:hanging="567"/>
        <w:jc w:val="both"/>
        <w:rPr>
          <w:rFonts w:eastAsia="SimSun" w:cs="Times New Roman"/>
          <w:bCs/>
          <w:szCs w:val="24"/>
        </w:rPr>
      </w:pPr>
      <w:r w:rsidRPr="006F47FF">
        <w:rPr>
          <w:b/>
        </w:rPr>
        <w:t>2</w:t>
      </w:r>
      <w:r>
        <w:rPr>
          <w:b/>
        </w:rPr>
        <w:t>.</w:t>
      </w:r>
      <w:r>
        <w:tab/>
      </w:r>
      <w:r>
        <w:rPr>
          <w:b/>
        </w:rPr>
        <w:t xml:space="preserve">Numéro de référence: </w:t>
      </w:r>
      <w:r w:rsidRPr="006F47FF">
        <w:t>2021</w:t>
      </w:r>
      <w:r>
        <w:t>/</w:t>
      </w:r>
      <w:r w:rsidRPr="006F47FF">
        <w:t>2235</w:t>
      </w:r>
      <w:r>
        <w:t xml:space="preserve"> (INI) / A</w:t>
      </w:r>
      <w:r w:rsidRPr="006F47FF">
        <w:t>9</w:t>
      </w:r>
      <w:r>
        <w:t>-</w:t>
      </w:r>
      <w:r w:rsidRPr="006F47FF">
        <w:t>0137</w:t>
      </w:r>
      <w:r>
        <w:t>/</w:t>
      </w:r>
      <w:r w:rsidRPr="006F47FF">
        <w:t>2022</w:t>
      </w:r>
      <w:r>
        <w:t xml:space="preserve"> / P</w:t>
      </w:r>
      <w:r w:rsidRPr="006F47FF">
        <w:t>9</w:t>
      </w:r>
      <w:r>
        <w:t>_T</w:t>
      </w:r>
      <w:r w:rsidRPr="006F47FF">
        <w:t>9</w:t>
      </w:r>
      <w:r>
        <w:t>-(</w:t>
      </w:r>
      <w:r w:rsidRPr="006F47FF">
        <w:t>2022</w:t>
      </w:r>
      <w:r>
        <w:t>)</w:t>
      </w:r>
      <w:r w:rsidRPr="006F47FF">
        <w:t>0299</w:t>
      </w:r>
    </w:p>
    <w:p w:rsidR="00EE20EB" w:rsidRPr="00EE20EB" w:rsidRDefault="00EE20EB" w:rsidP="00EE20EB">
      <w:pPr>
        <w:spacing w:after="240" w:line="240" w:lineRule="auto"/>
        <w:ind w:left="567" w:hanging="567"/>
        <w:jc w:val="both"/>
        <w:rPr>
          <w:rFonts w:eastAsia="SimSun" w:cs="Times New Roman"/>
          <w:szCs w:val="24"/>
        </w:rPr>
      </w:pPr>
      <w:r w:rsidRPr="006F47FF">
        <w:rPr>
          <w:b/>
        </w:rPr>
        <w:t>3</w:t>
      </w:r>
      <w:r>
        <w:rPr>
          <w:b/>
        </w:rPr>
        <w:t>.</w:t>
      </w:r>
      <w:r>
        <w:tab/>
      </w:r>
      <w:r>
        <w:rPr>
          <w:b/>
        </w:rPr>
        <w:t>Date d</w:t>
      </w:r>
      <w:r w:rsidR="00DB5970">
        <w:rPr>
          <w:b/>
        </w:rPr>
        <w:t>’</w:t>
      </w:r>
      <w:r>
        <w:rPr>
          <w:b/>
        </w:rPr>
        <w:t xml:space="preserve">adoption de la résolution: </w:t>
      </w:r>
      <w:r w:rsidRPr="006F47FF">
        <w:t>7</w:t>
      </w:r>
      <w:r>
        <w:t xml:space="preserve"> juillet </w:t>
      </w:r>
      <w:r w:rsidRPr="006F47FF">
        <w:t>2022</w:t>
      </w:r>
    </w:p>
    <w:p w:rsidR="00EE20EB" w:rsidRPr="00EE20EB" w:rsidRDefault="00EE20EB" w:rsidP="00EE20EB">
      <w:pPr>
        <w:autoSpaceDE w:val="0"/>
        <w:autoSpaceDN w:val="0"/>
        <w:adjustRightInd w:val="0"/>
        <w:spacing w:after="240" w:line="240" w:lineRule="auto"/>
        <w:ind w:left="567" w:hanging="567"/>
        <w:jc w:val="both"/>
        <w:rPr>
          <w:rFonts w:eastAsia="SimSun" w:cs="Times New Roman"/>
          <w:bCs/>
          <w:szCs w:val="24"/>
        </w:rPr>
      </w:pPr>
      <w:r w:rsidRPr="006F47FF">
        <w:rPr>
          <w:b/>
        </w:rPr>
        <w:t>4</w:t>
      </w:r>
      <w:r>
        <w:rPr>
          <w:b/>
        </w:rPr>
        <w:t>.</w:t>
      </w:r>
      <w:r>
        <w:tab/>
      </w:r>
      <w:r>
        <w:rPr>
          <w:b/>
        </w:rPr>
        <w:t xml:space="preserve">Commission parlementaire compétente: </w:t>
      </w:r>
      <w:r w:rsidR="00DB5970">
        <w:t>c</w:t>
      </w:r>
      <w:r>
        <w:t>ommission du contrôle budgétaire (CONT)</w:t>
      </w:r>
    </w:p>
    <w:p w:rsidR="00EE20EB" w:rsidRPr="00EE20EB" w:rsidRDefault="00EE20EB" w:rsidP="00EE20EB">
      <w:pPr>
        <w:spacing w:after="240" w:line="240" w:lineRule="auto"/>
        <w:ind w:left="567" w:hanging="567"/>
        <w:jc w:val="both"/>
        <w:rPr>
          <w:rFonts w:eastAsia="Times New Roman" w:cs="Times New Roman"/>
          <w:szCs w:val="24"/>
        </w:rPr>
      </w:pPr>
      <w:r w:rsidRPr="006F47FF">
        <w:rPr>
          <w:b/>
        </w:rPr>
        <w:t>5</w:t>
      </w:r>
      <w:r>
        <w:rPr>
          <w:b/>
        </w:rPr>
        <w:t>.</w:t>
      </w:r>
      <w:r>
        <w:tab/>
      </w:r>
      <w:r>
        <w:rPr>
          <w:b/>
        </w:rPr>
        <w:t>Analyse/évaluation succincte de la résolution et des demandes qu’elle contient:</w:t>
      </w:r>
    </w:p>
    <w:p w:rsidR="00EE20EB" w:rsidRPr="00EE20EB" w:rsidRDefault="00EE20EB" w:rsidP="00247A4E">
      <w:pPr>
        <w:autoSpaceDE w:val="0"/>
        <w:autoSpaceDN w:val="0"/>
        <w:adjustRightInd w:val="0"/>
        <w:spacing w:after="120" w:line="240" w:lineRule="auto"/>
        <w:jc w:val="both"/>
        <w:rPr>
          <w:rFonts w:eastAsia="Calibri" w:cs="Times New Roman"/>
          <w:szCs w:val="24"/>
        </w:rPr>
      </w:pPr>
      <w:r>
        <w:t>La Banque européenne d’investissement (BEI) est instamment priée de veiller à ce que les programmes de financement mis en place pour faire face aux conséquences de la COVID-</w:t>
      </w:r>
      <w:r w:rsidRPr="006F47FF">
        <w:t>19</w:t>
      </w:r>
      <w:r>
        <w:t xml:space="preserve"> respectent des conditions sociales et environnementales contraignantes. Le Parlement se félicite de l’adoption de la feuille de route de la banque du climat et demande instamment à la BEI de s’attaquer en priorité aux inci</w:t>
      </w:r>
      <w:bookmarkStart w:id="1" w:name="_GoBack"/>
      <w:bookmarkEnd w:id="1"/>
      <w:r>
        <w:t>dences négatives sur l’environnement, le climat et la société. En ce qui concerne la gouvernance de la BEI, le rapport réaffirme l’importance des qualités d’éthique, d’intégrité, de transparence et de responsabilité du groupe BEI.</w:t>
      </w:r>
    </w:p>
    <w:p w:rsidR="00EE20EB" w:rsidRPr="00EE20EB" w:rsidRDefault="00EE20EB" w:rsidP="00247A4E">
      <w:pPr>
        <w:widowControl w:val="0"/>
        <w:spacing w:after="240" w:line="240" w:lineRule="auto"/>
        <w:ind w:left="567" w:hanging="567"/>
        <w:jc w:val="both"/>
        <w:rPr>
          <w:rFonts w:eastAsia="SimSun" w:cs="Times New Roman"/>
          <w:b/>
          <w:szCs w:val="24"/>
        </w:rPr>
      </w:pPr>
      <w:r w:rsidRPr="006F47FF">
        <w:rPr>
          <w:b/>
        </w:rPr>
        <w:t>6</w:t>
      </w:r>
      <w:r>
        <w:rPr>
          <w:b/>
        </w:rPr>
        <w:t>.</w:t>
      </w:r>
      <w:r>
        <w:tab/>
      </w:r>
      <w:r>
        <w:rPr>
          <w:b/>
        </w:rPr>
        <w:t>Réponse à ces demandes et aperçu des mesures que la Commission a prises ou envisage de prendre:</w:t>
      </w:r>
    </w:p>
    <w:p w:rsidR="00EE20EB" w:rsidRPr="00EE20EB" w:rsidRDefault="00EE20EB" w:rsidP="00247A4E">
      <w:pPr>
        <w:autoSpaceDE w:val="0"/>
        <w:autoSpaceDN w:val="0"/>
        <w:adjustRightInd w:val="0"/>
        <w:spacing w:after="120" w:line="240" w:lineRule="auto"/>
        <w:jc w:val="both"/>
        <w:rPr>
          <w:rFonts w:eastAsia="Calibri" w:cs="Times New Roman"/>
          <w:i/>
          <w:szCs w:val="24"/>
        </w:rPr>
      </w:pPr>
      <w:r>
        <w:rPr>
          <w:i/>
        </w:rPr>
        <w:t>Paragraphe </w:t>
      </w:r>
      <w:r w:rsidRPr="006F47FF">
        <w:rPr>
          <w:i/>
        </w:rPr>
        <w:t>70</w:t>
      </w:r>
    </w:p>
    <w:p w:rsidR="00F36993" w:rsidRPr="00EE20EB" w:rsidRDefault="00EE20EB" w:rsidP="00247A4E">
      <w:pPr>
        <w:spacing w:after="120" w:line="240" w:lineRule="auto"/>
        <w:jc w:val="both"/>
      </w:pPr>
      <w:r>
        <w:t xml:space="preserve">La Commission européenne a examiné la demande du Parlement européen concernant une transparence totale, mais a conclu que sa pratique actuelle, qui consiste à accorder la divulgation des avis individuels émis au titre de l’article </w:t>
      </w:r>
      <w:r w:rsidRPr="006F47FF">
        <w:t>19</w:t>
      </w:r>
      <w:r>
        <w:t xml:space="preserve"> sur demande, garantit le meilleur équilibre entre les différents intérêts en jeu, à savoir, d’une part, le besoin de transparence et, d’autre part, la confidentialité et la protection des informations sensibles d’un point de vue commercial. Ces demandes de divulgation sont traitées conformément au règlement (CE) n° </w:t>
      </w:r>
      <w:r w:rsidRPr="006F47FF">
        <w:t>1049</w:t>
      </w:r>
      <w:r>
        <w:t>/</w:t>
      </w:r>
      <w:r w:rsidRPr="006F47FF">
        <w:t>2001</w:t>
      </w:r>
      <w:r>
        <w:t xml:space="preserve"> relatif à l’accès du public aux documents du Parlement européen, du Conseil et de la Commission, qui prévoit des exceptions lorsque la divulgation des documents porterait atteinte à des intérêts publics ou privés, tels que les intérêts commerciaux de promoteurs de projets privés. Cela garantit, dans le même temps, l’intérêt légitime du public à connaître le raisonnement qui sous-tend l’avis de la Commission, et la protection appropriée des droits des tiers.</w:t>
      </w:r>
    </w:p>
    <w:sectPr w:rsidR="00F36993" w:rsidRPr="00EE20EB">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0EB" w:rsidRDefault="00EE20EB" w:rsidP="00EE20EB">
      <w:pPr>
        <w:spacing w:after="0" w:line="240" w:lineRule="auto"/>
      </w:pPr>
      <w:r>
        <w:separator/>
      </w:r>
    </w:p>
  </w:endnote>
  <w:endnote w:type="continuationSeparator" w:id="0">
    <w:p w:rsidR="00EE20EB" w:rsidRDefault="00EE20EB" w:rsidP="00EE2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068303"/>
      <w:docPartObj>
        <w:docPartGallery w:val="Page Numbers (Bottom of Page)"/>
        <w:docPartUnique/>
      </w:docPartObj>
    </w:sdtPr>
    <w:sdtEndPr>
      <w:rPr>
        <w:noProof/>
      </w:rPr>
    </w:sdtEndPr>
    <w:sdtContent>
      <w:p w:rsidR="00EE20EB" w:rsidRDefault="00EE20EB">
        <w:pPr>
          <w:pStyle w:val="Footer"/>
          <w:jc w:val="center"/>
        </w:pPr>
        <w:r>
          <w:fldChar w:fldCharType="begin"/>
        </w:r>
        <w:r>
          <w:instrText xml:space="preserve"> PAGE   \* MERGEFORMAT </w:instrText>
        </w:r>
        <w:r>
          <w:fldChar w:fldCharType="separate"/>
        </w:r>
        <w:r w:rsidR="006F47FF">
          <w:rPr>
            <w:noProof/>
          </w:rPr>
          <w:t>1</w:t>
        </w:r>
        <w:r>
          <w:fldChar w:fldCharType="end"/>
        </w:r>
      </w:p>
    </w:sdtContent>
  </w:sdt>
  <w:p w:rsidR="00EE20EB" w:rsidRDefault="00EE2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0EB" w:rsidRDefault="00EE20EB" w:rsidP="00EE20EB">
      <w:pPr>
        <w:spacing w:after="0" w:line="240" w:lineRule="auto"/>
      </w:pPr>
      <w:r>
        <w:separator/>
      </w:r>
    </w:p>
  </w:footnote>
  <w:footnote w:type="continuationSeparator" w:id="0">
    <w:p w:rsidR="00EE20EB" w:rsidRDefault="00EE20EB" w:rsidP="00EE20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it-IT"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fr-FR"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EE20EB"/>
    <w:rsid w:val="000F15F1"/>
    <w:rsid w:val="0012333B"/>
    <w:rsid w:val="001E37D4"/>
    <w:rsid w:val="00247A4E"/>
    <w:rsid w:val="00301B8A"/>
    <w:rsid w:val="00512EE8"/>
    <w:rsid w:val="0065281F"/>
    <w:rsid w:val="006F47FF"/>
    <w:rsid w:val="0076069D"/>
    <w:rsid w:val="007B47C1"/>
    <w:rsid w:val="00815B75"/>
    <w:rsid w:val="008342CE"/>
    <w:rsid w:val="0095347B"/>
    <w:rsid w:val="00AF5B02"/>
    <w:rsid w:val="00DB5970"/>
    <w:rsid w:val="00EE20EB"/>
    <w:rsid w:val="00EF1DA5"/>
    <w:rsid w:val="00F1104A"/>
    <w:rsid w:val="00F36993"/>
    <w:rsid w:val="00FF2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E519B7"/>
  <w15:chartTrackingRefBased/>
  <w15:docId w15:val="{F06D6977-12FE-4A6A-84EB-E18BA2227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20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0EB"/>
  </w:style>
  <w:style w:type="paragraph" w:styleId="Footer">
    <w:name w:val="footer"/>
    <w:basedOn w:val="Normal"/>
    <w:link w:val="FooterChar"/>
    <w:uiPriority w:val="99"/>
    <w:unhideWhenUsed/>
    <w:rsid w:val="00EE20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0EB"/>
  </w:style>
  <w:style w:type="paragraph" w:styleId="BalloonText">
    <w:name w:val="Balloon Text"/>
    <w:basedOn w:val="Normal"/>
    <w:link w:val="BalloonTextChar"/>
    <w:uiPriority w:val="99"/>
    <w:semiHidden/>
    <w:unhideWhenUsed/>
    <w:rsid w:val="001233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33B"/>
    <w:rPr>
      <w:rFonts w:ascii="Segoe UI" w:hAnsi="Segoe UI" w:cs="Segoe UI"/>
      <w:sz w:val="18"/>
      <w:szCs w:val="18"/>
    </w:rPr>
  </w:style>
  <w:style w:type="character" w:customStyle="1" w:styleId="epname">
    <w:name w:val="ep_name"/>
    <w:basedOn w:val="DefaultParagraphFont"/>
    <w:rsid w:val="0012333B"/>
  </w:style>
  <w:style w:type="character" w:styleId="Hyperlink">
    <w:name w:val="Hyperlink"/>
    <w:basedOn w:val="DefaultParagraphFont"/>
    <w:uiPriority w:val="99"/>
    <w:semiHidden/>
    <w:unhideWhenUsed/>
    <w:rsid w:val="001233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341</Words>
  <Characters>1926</Characters>
  <Application>Microsoft Office Word</Application>
  <DocSecurity>0</DocSecurity>
  <Lines>29</Lines>
  <Paragraphs>11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BIANCHIN Raffaella (SG)</dc:creator>
  <cp:keywords/>
  <dc:description/>
  <cp:lastModifiedBy>BUIRON Sophie (DGT)</cp:lastModifiedBy>
  <cp:revision>7</cp:revision>
  <dcterms:created xsi:type="dcterms:W3CDTF">2022-08-09T08:20:00Z</dcterms:created>
  <dcterms:modified xsi:type="dcterms:W3CDTF">2022-10-24T14:10:00Z</dcterms:modified>
</cp:coreProperties>
</file>