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84BC68" w14:textId="7B7B4441" w:rsidR="00396784" w:rsidRPr="00331DB9" w:rsidRDefault="00396784" w:rsidP="00396784">
      <w:pPr>
        <w:spacing w:after="600"/>
        <w:jc w:val="center"/>
        <w:rPr>
          <w:b/>
        </w:rPr>
      </w:pPr>
      <w:bookmarkStart w:id="0" w:name="_GoBack"/>
      <w:bookmarkEnd w:id="0"/>
      <w:r>
        <w:rPr>
          <w:b/>
        </w:rPr>
        <w:t>Suite donnée à la résolution non législative du Parlement européen du 6 juillet 2022 sur les vétos nationaux visant à compromettre l’accord fiscal mondial</w:t>
      </w:r>
    </w:p>
    <w:p w14:paraId="4CB44BE6" w14:textId="060796CE" w:rsidR="00396784" w:rsidRPr="006F58FA" w:rsidRDefault="00D44893" w:rsidP="006F58FA">
      <w:pPr>
        <w:numPr>
          <w:ilvl w:val="0"/>
          <w:numId w:val="1"/>
        </w:numPr>
        <w:spacing w:after="240" w:line="240" w:lineRule="auto"/>
        <w:ind w:left="567" w:hanging="567"/>
        <w:jc w:val="both"/>
        <w:rPr>
          <w:b/>
          <w:szCs w:val="24"/>
        </w:rPr>
      </w:pPr>
      <w:r>
        <w:rPr>
          <w:b/>
        </w:rPr>
        <w:t>Résolution présentée, conformément à l’article 132, paragraphes 2 et 4, du règlement intérieur du Parlement européen</w:t>
      </w:r>
    </w:p>
    <w:p w14:paraId="3BD08C80" w14:textId="68667E33" w:rsidR="00396784" w:rsidRPr="00F059C8" w:rsidRDefault="00BA6274" w:rsidP="006F58FA">
      <w:pPr>
        <w:numPr>
          <w:ilvl w:val="0"/>
          <w:numId w:val="1"/>
        </w:numPr>
        <w:spacing w:after="240" w:line="240" w:lineRule="auto"/>
        <w:ind w:left="567" w:hanging="567"/>
        <w:jc w:val="both"/>
        <w:rPr>
          <w:i/>
          <w:szCs w:val="24"/>
        </w:rPr>
      </w:pPr>
      <w:r>
        <w:rPr>
          <w:b/>
        </w:rPr>
        <w:t>Numéro de référence:</w:t>
      </w:r>
      <w:r>
        <w:t xml:space="preserve"> 2022/2734 (RSP) / RC-B9-0339/2022 / P9_TA(2022)0290</w:t>
      </w:r>
    </w:p>
    <w:p w14:paraId="4AAAE217" w14:textId="611A2160" w:rsidR="00396784" w:rsidRPr="00E07C2D" w:rsidRDefault="00396784" w:rsidP="006F58FA">
      <w:pPr>
        <w:numPr>
          <w:ilvl w:val="0"/>
          <w:numId w:val="1"/>
        </w:numPr>
        <w:spacing w:after="240" w:line="240" w:lineRule="auto"/>
        <w:ind w:left="567" w:hanging="567"/>
        <w:jc w:val="both"/>
        <w:rPr>
          <w:szCs w:val="24"/>
        </w:rPr>
      </w:pPr>
      <w:r>
        <w:rPr>
          <w:b/>
        </w:rPr>
        <w:t>Date d’adoption de la résolution:</w:t>
      </w:r>
      <w:r>
        <w:t xml:space="preserve"> 6 juillet 2022</w:t>
      </w:r>
    </w:p>
    <w:p w14:paraId="443EA776" w14:textId="1C6A5904" w:rsidR="00D96684" w:rsidRPr="005A00C3" w:rsidRDefault="00396784" w:rsidP="006F58FA">
      <w:pPr>
        <w:numPr>
          <w:ilvl w:val="0"/>
          <w:numId w:val="1"/>
        </w:numPr>
        <w:spacing w:after="240" w:line="240" w:lineRule="auto"/>
        <w:ind w:left="567" w:hanging="567"/>
        <w:jc w:val="both"/>
        <w:rPr>
          <w:b/>
          <w:szCs w:val="24"/>
        </w:rPr>
      </w:pPr>
      <w:r>
        <w:rPr>
          <w:b/>
        </w:rPr>
        <w:t>Commission parlementaire compétente:</w:t>
      </w:r>
      <w:r>
        <w:t xml:space="preserve"> Sans objet</w:t>
      </w:r>
    </w:p>
    <w:p w14:paraId="32AB4338" w14:textId="1E3892B3" w:rsidR="00396784" w:rsidRPr="00656985" w:rsidRDefault="00D96684" w:rsidP="006F58FA">
      <w:pPr>
        <w:widowControl w:val="0"/>
        <w:numPr>
          <w:ilvl w:val="0"/>
          <w:numId w:val="1"/>
        </w:numPr>
        <w:spacing w:after="240" w:line="240" w:lineRule="auto"/>
        <w:ind w:left="567" w:hanging="567"/>
        <w:jc w:val="both"/>
        <w:rPr>
          <w:rFonts w:cs="Times New Roman"/>
          <w:szCs w:val="24"/>
        </w:rPr>
      </w:pPr>
      <w:r>
        <w:rPr>
          <w:b/>
        </w:rPr>
        <w:t>Analyse/évaluation succincte de la résolution et des demandes qu’elle contient</w:t>
      </w:r>
    </w:p>
    <w:p w14:paraId="34A37E40" w14:textId="427F4508" w:rsidR="00770F5B" w:rsidRDefault="004550C6" w:rsidP="006F58FA">
      <w:pPr>
        <w:spacing w:after="120" w:line="240" w:lineRule="auto"/>
        <w:jc w:val="both"/>
        <w:rPr>
          <w:rFonts w:eastAsia="Calibri" w:cs="Times New Roman"/>
        </w:rPr>
      </w:pPr>
      <w:r>
        <w:t>Dans sa résolution, le Parlement européen a, entre autres, demandé instamment à la Hongrie de mettre immédiatement fin à son blocage de la mise en œuvre de l’accord fiscal mondial au Conseil et a une nouvelle fois invité le Conseil à adopter rapidement la proposition de directive sur le pilier 2, notamment pour garantir un cadre juridique uniforme et un état de certitude pour le marché unique.</w:t>
      </w:r>
    </w:p>
    <w:p w14:paraId="6F3E7DA7" w14:textId="6806ECF0" w:rsidR="00396784" w:rsidRPr="00967BD1" w:rsidRDefault="00396784" w:rsidP="006F58FA">
      <w:pPr>
        <w:widowControl w:val="0"/>
        <w:numPr>
          <w:ilvl w:val="0"/>
          <w:numId w:val="1"/>
        </w:numPr>
        <w:spacing w:after="240" w:line="240" w:lineRule="auto"/>
        <w:ind w:left="567" w:hanging="567"/>
        <w:jc w:val="both"/>
        <w:rPr>
          <w:b/>
          <w:szCs w:val="24"/>
        </w:rPr>
      </w:pPr>
      <w:r>
        <w:rPr>
          <w:b/>
        </w:rPr>
        <w:t>Réponse à ces demandes et aperçu des mesures que la Commission a prises ou envisage de prendre</w:t>
      </w:r>
      <w:r>
        <w:t xml:space="preserve"> </w:t>
      </w:r>
    </w:p>
    <w:p w14:paraId="1B57DEBA" w14:textId="278816A1" w:rsidR="00B56ABE" w:rsidRDefault="00B56ABE" w:rsidP="006F58FA">
      <w:pPr>
        <w:spacing w:after="120" w:line="240" w:lineRule="auto"/>
        <w:jc w:val="both"/>
        <w:rPr>
          <w:rFonts w:eastAsia="Calibri" w:cs="Times New Roman"/>
        </w:rPr>
      </w:pPr>
      <w:r>
        <w:t>L’UE est pleinement déterminée à mettre en œuvre fidèlement l’accord mondial sur la fiscalité minimale dans les meilleurs délais et sans déviations importantes. Depuis l’adoption de la proposition de directive le 22 décembre 2021, les efforts concertés de la Commission et de la présidence française du Conseil ont permis de gagner le soutien de 26 États membres à un texte de compromis de la directive proposée.</w:t>
      </w:r>
    </w:p>
    <w:p w14:paraId="4959E909" w14:textId="0E54C621" w:rsidR="00B56ABE" w:rsidRDefault="00B56ABE" w:rsidP="006F58FA">
      <w:pPr>
        <w:spacing w:after="120" w:line="240" w:lineRule="auto"/>
        <w:jc w:val="both"/>
        <w:rPr>
          <w:rFonts w:eastAsia="Calibri" w:cs="Times New Roman"/>
        </w:rPr>
      </w:pPr>
      <w:r>
        <w:t>La Commission convient avec le Parlement européen de la nécessité de parvenir dès que possible à un accord unanime au sein du Conseil afin de garantir une mise en œuvre rapide de l’accord mondial. Elle poursuivra ses efforts, en étroite collaboration avec la présidence tchèque du Conseil, pour parvenir à l’approbation unanime nécessaire de la directive et se félicite des résultats des débats qui ont eu lieu au Parlement européen depuis la mi-juin, tant lors de la session plénière du 23 juin que lors de la réunion de la commission FISC du 27 juin. En particulier, dans sa résolution du 6 juillet, le Parlement européen a demandé instamment à la Hongrie de mettre immédiatement fin à son blocage de la mise en œuvre de l’accord fiscal mondial au Conseil et a une nouvelle fois invité le Conseil à adopter rapidement la proposition de directive sur le pilier 2, notamment pour garantir un cadre juridique uniforme et un état de certitude pour le marché unique.</w:t>
      </w:r>
    </w:p>
    <w:p w14:paraId="747BAFB7" w14:textId="77777777" w:rsidR="00F70F82" w:rsidRDefault="00F70F82" w:rsidP="006F58FA">
      <w:pPr>
        <w:spacing w:after="120" w:line="240" w:lineRule="auto"/>
        <w:jc w:val="both"/>
        <w:rPr>
          <w:rFonts w:cs="Times New Roman"/>
          <w:b/>
          <w:bCs/>
          <w:szCs w:val="24"/>
        </w:rPr>
      </w:pPr>
      <w:r>
        <w:rPr>
          <w:b/>
        </w:rPr>
        <w:t xml:space="preserve">Sur l’utilisation des vétos nationaux par les États membres dans le cadre de la mise en œuvre de l’accord fiscal mondial (paragraphes 13, 15 et 16) </w:t>
      </w:r>
    </w:p>
    <w:p w14:paraId="2D175064" w14:textId="75F5AF03" w:rsidR="00FA349E" w:rsidRDefault="00FA349E" w:rsidP="006F58FA">
      <w:pPr>
        <w:spacing w:after="120" w:line="240" w:lineRule="auto"/>
        <w:jc w:val="both"/>
        <w:rPr>
          <w:rFonts w:eastAsia="Calibri" w:cs="Times New Roman"/>
        </w:rPr>
      </w:pPr>
      <w:r>
        <w:t>La Commission estime que l’objectif de la directive proposée est de mettre en œuvre fidèlement l’accord mondial sur une imposition minimale effective et d’apporter des modifications uniquement lorsque cela s’avère nécessaire pour garantir la compatibilité avec le droit de l’Union. Il est essentiel de veiller à ce que la directive reste conforme aux engagements internationaux des États membres.</w:t>
      </w:r>
    </w:p>
    <w:p w14:paraId="1F3BAC9F" w14:textId="6541A1EC" w:rsidR="00B56ABE" w:rsidRPr="00480385" w:rsidRDefault="00B56ABE" w:rsidP="006F58FA">
      <w:pPr>
        <w:spacing w:after="120" w:line="240" w:lineRule="auto"/>
        <w:jc w:val="both"/>
        <w:rPr>
          <w:rFonts w:eastAsia="Calibri" w:cs="Times New Roman"/>
        </w:rPr>
      </w:pPr>
      <w:r>
        <w:t>La Commission poursuivra ses efforts, conjointement avec la présidence tchèque du Conseil, pour parvenir à l’approbation unanime nécessaire de la directive par les États membres.</w:t>
      </w:r>
    </w:p>
    <w:p w14:paraId="7FCF3134" w14:textId="1E052FCE" w:rsidR="002D3449" w:rsidRPr="004910D7" w:rsidRDefault="002D3449" w:rsidP="006F58FA">
      <w:pPr>
        <w:spacing w:after="120" w:line="240" w:lineRule="auto"/>
        <w:jc w:val="both"/>
        <w:rPr>
          <w:rFonts w:eastAsia="Calibri" w:cs="Times New Roman"/>
        </w:rPr>
      </w:pPr>
      <w:r>
        <w:lastRenderedPageBreak/>
        <w:t>La procédure de coopération renforcée prévue à l’article 20 du traité sur l’Union européenne (TUE) pour la mise en œuvre du pilier 2 dans l’UE est une possibilité prévue par le droit de l’Union. L’intérêt de recourir à cette procédure pour la mise en œuvre du pilier 2 doit toutefois faire l’objet d’une évaluation plus approfondie. La Commission ne perd pas de vue que la proposition de compromis de la présidence, qui est sur la table, bénéficie du soutien de 26 États membres, c’est-à-dire seulement un de moins que l’unanimité. Elle continuera à travailler sans relâche sur ce dossier afin de parvenir à l’unanimité.</w:t>
      </w:r>
    </w:p>
    <w:p w14:paraId="08D004EB" w14:textId="775476DD" w:rsidR="004E03F5" w:rsidRPr="004910D7" w:rsidRDefault="00FA349E" w:rsidP="006F58FA">
      <w:pPr>
        <w:spacing w:after="120" w:line="240" w:lineRule="auto"/>
        <w:jc w:val="both"/>
        <w:rPr>
          <w:rFonts w:eastAsia="Calibri" w:cs="Times New Roman"/>
        </w:rPr>
      </w:pPr>
      <w:r>
        <w:t>Si les États membres entamaient individuellement des procédures de transposition du texte actuel de la proposition de directive, cela serait extrêmement préjudiciable à la cohésion du marché unique et à la clarté de nos règles vis-à-vis des contribuables. C’est la raison pour laquelle la Commission décourage les États membres de suivre cette voie. La solution vers laquelle il faut tendre est un instrument législatif de l’UE, tel que la proposition de directive, qui garantisse un cadre juridique uniforme et la sécurité pour le marché unique et renforce le pouvoir de négociation des États membres face aux principaux partenaires commerciaux en dehors de l’UE.</w:t>
      </w:r>
    </w:p>
    <w:p w14:paraId="4E72D6CD" w14:textId="27478C0F" w:rsidR="00F70F82" w:rsidRDefault="00F70F82" w:rsidP="006F58FA">
      <w:pPr>
        <w:spacing w:after="120" w:line="240" w:lineRule="auto"/>
        <w:jc w:val="both"/>
        <w:rPr>
          <w:rFonts w:cs="Times New Roman"/>
          <w:b/>
          <w:bCs/>
          <w:szCs w:val="24"/>
        </w:rPr>
      </w:pPr>
      <w:r>
        <w:rPr>
          <w:b/>
        </w:rPr>
        <w:t>En ce qui concerne la conditionnalité et l’approbation du plan national hongrois pour la reprise et la résilience (paragraphe 14)</w:t>
      </w:r>
    </w:p>
    <w:p w14:paraId="3D5E5F51" w14:textId="7ED4F210" w:rsidR="0074712E" w:rsidRPr="00A811A5" w:rsidRDefault="0074712E" w:rsidP="006F58FA">
      <w:pPr>
        <w:spacing w:after="120" w:line="240" w:lineRule="auto"/>
        <w:jc w:val="both"/>
        <w:rPr>
          <w:rFonts w:eastAsia="Calibri" w:cs="Times New Roman"/>
        </w:rPr>
      </w:pPr>
      <w:r>
        <w:t>Tous les plans pour la reprise et la résilience des États membres sont évalués au regard des onze mêmes critères du règlement établissant la facilité pour la reprise et la résilience et tous les États membres doivent les respecter. Tous les plans devraient contribuer à relever efficacement l’ensemble ou une partie non négligeable des défis recensés dans les recommandations par pays pertinentes formulées dans le cadre du Semestre européen. En outre, la mise en place de systèmes de gouvernance et de contrôle solides pour prévenir, détecter et remédier à la corruption, la fraude et les conflits d’intérêts est une condition préalable pour recevoir des fonds au titre de la facilité pour la reprise et la résilience.</w:t>
      </w:r>
    </w:p>
    <w:p w14:paraId="687B6F41" w14:textId="1BD0D13A" w:rsidR="0074712E" w:rsidRDefault="0074712E" w:rsidP="006F58FA">
      <w:pPr>
        <w:spacing w:after="120" w:line="240" w:lineRule="auto"/>
        <w:jc w:val="both"/>
        <w:rPr>
          <w:rFonts w:ascii="Calibri" w:eastAsia="Calibri" w:hAnsi="Calibri" w:cs="Calibri"/>
        </w:rPr>
      </w:pPr>
      <w:r>
        <w:t>La Commission poursuit son évaluation du plan pour la reprise et la résilience de la Hongrie sur la base des critères énoncés dans le règlement établissant une facilité pour la reprise et la résilience.</w:t>
      </w:r>
    </w:p>
    <w:p w14:paraId="306AD828" w14:textId="77777777" w:rsidR="00660535" w:rsidRDefault="00660535" w:rsidP="006F58FA">
      <w:pPr>
        <w:spacing w:after="120" w:line="240" w:lineRule="auto"/>
        <w:jc w:val="both"/>
        <w:rPr>
          <w:rFonts w:cs="Times New Roman"/>
          <w:b/>
          <w:bCs/>
          <w:szCs w:val="24"/>
        </w:rPr>
      </w:pPr>
      <w:r>
        <w:rPr>
          <w:b/>
        </w:rPr>
        <w:t>Sur le recours au vote à la majorité qualifiée en matière fiscale (paragraphes 17, 18 et 19)</w:t>
      </w:r>
    </w:p>
    <w:p w14:paraId="54AF40AB" w14:textId="6552253F" w:rsidR="00446FBD" w:rsidRPr="004910D7" w:rsidRDefault="00C039F7" w:rsidP="006F58FA">
      <w:pPr>
        <w:spacing w:after="120" w:line="240" w:lineRule="auto"/>
        <w:jc w:val="both"/>
        <w:rPr>
          <w:rFonts w:eastAsia="Calibri" w:cs="Times New Roman"/>
          <w:szCs w:val="24"/>
        </w:rPr>
      </w:pPr>
      <w:r>
        <w:t>La Commission reste déterminée à donner suite à sa communication intitulée «Vers un processus décisionnel plus efficace et plus démocratique en matière de politique fiscale dans l’Union»</w:t>
      </w:r>
      <w:r>
        <w:rPr>
          <w:rStyle w:val="FootnoteReference0"/>
          <w:rFonts w:ascii="Times New Roman" w:eastAsia="Calibri" w:hAnsi="Times New Roman" w:cs="Times New Roman"/>
          <w:sz w:val="24"/>
          <w:szCs w:val="24"/>
          <w:lang w:val="en-US"/>
        </w:rPr>
        <w:footnoteReference w:id="2"/>
      </w:r>
      <w:r>
        <w:t>.</w:t>
      </w:r>
    </w:p>
    <w:p w14:paraId="46F16388" w14:textId="21156FD1" w:rsidR="00A600DD" w:rsidRPr="00A811A5" w:rsidRDefault="00446FBD" w:rsidP="006F58FA">
      <w:pPr>
        <w:spacing w:after="120" w:line="240" w:lineRule="auto"/>
        <w:jc w:val="both"/>
        <w:rPr>
          <w:rFonts w:cs="Times New Roman"/>
          <w:szCs w:val="24"/>
        </w:rPr>
      </w:pPr>
      <w:r>
        <w:t>Comme indiqué dans le plan d’action pour une fiscalité équitable et simplifiée de 2020</w:t>
      </w:r>
      <w:r>
        <w:rPr>
          <w:rStyle w:val="FootnoteReference0"/>
          <w:rFonts w:ascii="Times New Roman" w:eastAsia="Calibri" w:hAnsi="Times New Roman" w:cs="Times New Roman"/>
          <w:sz w:val="24"/>
          <w:szCs w:val="24"/>
          <w:lang w:val="en-US"/>
        </w:rPr>
        <w:footnoteReference w:id="3"/>
      </w:r>
      <w:r>
        <w:t>, pour pleinement mettre en œuvre le programme de l’Union en matière de fiscalité équitable, il y a lieu d’activer tous les leviers stratégiques existants. C’est dans ce contexte que la Commission étudiera comment tirer pleinement parti des dispositions du traité sur le fonctionnement de l’Union européenne (TFUE) qui permettent l’adoption de propositions en matière de fiscalité selon la procédure législative ordinaire, y compris son article 116.</w:t>
      </w:r>
    </w:p>
    <w:sectPr w:rsidR="00A600DD" w:rsidRPr="00A811A5" w:rsidSect="0038744D">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29C673" w14:textId="77777777" w:rsidR="00843922" w:rsidRDefault="00843922" w:rsidP="0076283E">
      <w:pPr>
        <w:spacing w:after="0" w:line="240" w:lineRule="auto"/>
      </w:pPr>
      <w:r>
        <w:separator/>
      </w:r>
    </w:p>
  </w:endnote>
  <w:endnote w:type="continuationSeparator" w:id="0">
    <w:p w14:paraId="13E8E409" w14:textId="77777777" w:rsidR="00843922" w:rsidRDefault="00843922" w:rsidP="0076283E">
      <w:pPr>
        <w:spacing w:after="0" w:line="240" w:lineRule="auto"/>
      </w:pPr>
      <w:r>
        <w:continuationSeparator/>
      </w:r>
    </w:p>
  </w:endnote>
  <w:endnote w:type="continuationNotice" w:id="1">
    <w:p w14:paraId="35099C3D" w14:textId="77777777" w:rsidR="00843922" w:rsidRDefault="008439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3498684"/>
      <w:docPartObj>
        <w:docPartGallery w:val="Page Numbers (Bottom of Page)"/>
        <w:docPartUnique/>
      </w:docPartObj>
    </w:sdtPr>
    <w:sdtEndPr>
      <w:rPr>
        <w:noProof/>
      </w:rPr>
    </w:sdtEndPr>
    <w:sdtContent>
      <w:p w14:paraId="477D021C" w14:textId="2B4A355D" w:rsidR="00843922" w:rsidRDefault="00843922">
        <w:pPr>
          <w:pStyle w:val="Footer"/>
          <w:jc w:val="center"/>
        </w:pPr>
        <w:r>
          <w:fldChar w:fldCharType="begin"/>
        </w:r>
        <w:r>
          <w:instrText xml:space="preserve"> PAGE   \* MERGEFORMAT </w:instrText>
        </w:r>
        <w:r>
          <w:fldChar w:fldCharType="separate"/>
        </w:r>
        <w:r w:rsidR="007B040F">
          <w:rPr>
            <w:noProof/>
          </w:rPr>
          <w:t>1</w:t>
        </w:r>
        <w:r>
          <w:fldChar w:fldCharType="end"/>
        </w:r>
      </w:p>
    </w:sdtContent>
  </w:sdt>
  <w:p w14:paraId="21C6BF58" w14:textId="77777777" w:rsidR="00843922" w:rsidRDefault="008439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E6A5C5" w14:textId="77777777" w:rsidR="00843922" w:rsidRDefault="00843922" w:rsidP="0076283E">
      <w:pPr>
        <w:spacing w:after="0" w:line="240" w:lineRule="auto"/>
      </w:pPr>
      <w:r>
        <w:separator/>
      </w:r>
    </w:p>
  </w:footnote>
  <w:footnote w:type="continuationSeparator" w:id="0">
    <w:p w14:paraId="1E92B05C" w14:textId="77777777" w:rsidR="00843922" w:rsidRDefault="00843922" w:rsidP="0076283E">
      <w:pPr>
        <w:spacing w:after="0" w:line="240" w:lineRule="auto"/>
      </w:pPr>
      <w:r>
        <w:continuationSeparator/>
      </w:r>
    </w:p>
  </w:footnote>
  <w:footnote w:type="continuationNotice" w:id="1">
    <w:p w14:paraId="00C8346B" w14:textId="77777777" w:rsidR="00843922" w:rsidRDefault="00843922">
      <w:pPr>
        <w:spacing w:after="0" w:line="240" w:lineRule="auto"/>
      </w:pPr>
    </w:p>
  </w:footnote>
  <w:footnote w:id="2">
    <w:p w14:paraId="270244F2" w14:textId="002B3C9C" w:rsidR="00446FBD" w:rsidRPr="006F58FA" w:rsidRDefault="00446FBD" w:rsidP="006F58FA">
      <w:pPr>
        <w:pStyle w:val="FootnoteText"/>
        <w:ind w:left="357" w:hanging="357"/>
        <w:jc w:val="both"/>
        <w:rPr>
          <w:rFonts w:ascii="Times New Roman" w:hAnsi="Times New Roman" w:cs="Times New Roman"/>
        </w:rPr>
      </w:pPr>
      <w:r>
        <w:rPr>
          <w:rStyle w:val="FootnoteReference0"/>
        </w:rPr>
        <w:footnoteRef/>
      </w:r>
      <w:r>
        <w:t xml:space="preserve"> </w:t>
      </w:r>
      <w:r>
        <w:tab/>
      </w:r>
      <w:r>
        <w:rPr>
          <w:rFonts w:ascii="Times New Roman" w:hAnsi="Times New Roman"/>
        </w:rPr>
        <w:t>COM(2019) 8 final</w:t>
      </w:r>
    </w:p>
  </w:footnote>
  <w:footnote w:id="3">
    <w:p w14:paraId="7A42FD1F" w14:textId="3DB8ABDA" w:rsidR="00446FBD" w:rsidRPr="006F58FA" w:rsidRDefault="00446FBD" w:rsidP="006F58FA">
      <w:pPr>
        <w:pStyle w:val="FootnoteText"/>
        <w:ind w:left="357" w:hanging="357"/>
        <w:jc w:val="both"/>
        <w:rPr>
          <w:rFonts w:ascii="Times New Roman" w:hAnsi="Times New Roman" w:cs="Times New Roman"/>
        </w:rPr>
      </w:pPr>
      <w:r>
        <w:rPr>
          <w:rStyle w:val="FootnoteReference0"/>
          <w:rFonts w:ascii="Times New Roman" w:hAnsi="Times New Roman" w:cs="Times New Roman"/>
          <w:sz w:val="20"/>
        </w:rPr>
        <w:footnoteRef/>
      </w:r>
      <w:r>
        <w:rPr>
          <w:rFonts w:ascii="Times New Roman" w:hAnsi="Times New Roman"/>
        </w:rPr>
        <w:t xml:space="preserve"> </w:t>
      </w:r>
      <w:r>
        <w:tab/>
      </w:r>
      <w:r>
        <w:rPr>
          <w:rFonts w:ascii="Times New Roman" w:hAnsi="Times New Roman"/>
        </w:rPr>
        <w:t>Communication de la Commission au Parlement européen et au Conseil – Un plan d’action pour une fiscalité équitable et simplifiée à l’appui de la stratégie de relance [COM(2020) 312 final].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354A8"/>
    <w:multiLevelType w:val="hybridMultilevel"/>
    <w:tmpl w:val="1040EDE4"/>
    <w:lvl w:ilvl="0" w:tplc="798C694C">
      <w:start w:val="10"/>
      <w:numFmt w:val="bullet"/>
      <w:lvlText w:val="-"/>
      <w:lvlJc w:val="left"/>
      <w:pPr>
        <w:ind w:left="644" w:hanging="360"/>
      </w:pPr>
      <w:rPr>
        <w:rFonts w:ascii="Arial" w:eastAsia="Times New Roman" w:hAnsi="Arial" w:cs="Aria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192973D2"/>
    <w:multiLevelType w:val="hybridMultilevel"/>
    <w:tmpl w:val="97566984"/>
    <w:lvl w:ilvl="0" w:tplc="492C7160">
      <w:start w:val="1"/>
      <w:numFmt w:val="decimal"/>
      <w:lvlText w:val="%1."/>
      <w:lvlJc w:val="left"/>
      <w:pPr>
        <w:ind w:left="862" w:hanging="720"/>
      </w:pPr>
      <w:rPr>
        <w:rFonts w:hint="default"/>
        <w:b/>
        <w:i w:val="0"/>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26AF4F76"/>
    <w:multiLevelType w:val="hybridMultilevel"/>
    <w:tmpl w:val="A98AB244"/>
    <w:lvl w:ilvl="0" w:tplc="29A62556">
      <w:start w:val="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51774"/>
    <w:multiLevelType w:val="hybridMultilevel"/>
    <w:tmpl w:val="97566984"/>
    <w:lvl w:ilvl="0" w:tplc="492C7160">
      <w:start w:val="1"/>
      <w:numFmt w:val="decimal"/>
      <w:lvlText w:val="%1."/>
      <w:lvlJc w:val="left"/>
      <w:pPr>
        <w:ind w:left="862" w:hanging="720"/>
      </w:pPr>
      <w:rPr>
        <w:rFonts w:hint="default"/>
        <w:b/>
        <w:i w:val="0"/>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15:restartNumberingAfterBreak="0">
    <w:nsid w:val="48FC35DE"/>
    <w:multiLevelType w:val="hybridMultilevel"/>
    <w:tmpl w:val="E016565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B2AE3F86">
      <w:start w:val="1"/>
      <w:numFmt w:val="lowerRoman"/>
      <w:lvlText w:val="%3."/>
      <w:lvlJc w:val="right"/>
      <w:pPr>
        <w:ind w:left="2160" w:hanging="180"/>
      </w:pPr>
    </w:lvl>
    <w:lvl w:ilvl="3" w:tplc="6E52C87C">
      <w:start w:val="1"/>
      <w:numFmt w:val="decimal"/>
      <w:lvlText w:val="%4."/>
      <w:lvlJc w:val="left"/>
      <w:pPr>
        <w:ind w:left="2880" w:hanging="360"/>
      </w:pPr>
    </w:lvl>
    <w:lvl w:ilvl="4" w:tplc="BAAE50C6">
      <w:start w:val="1"/>
      <w:numFmt w:val="lowerLetter"/>
      <w:lvlText w:val="%5."/>
      <w:lvlJc w:val="left"/>
      <w:pPr>
        <w:ind w:left="3600" w:hanging="360"/>
      </w:pPr>
    </w:lvl>
    <w:lvl w:ilvl="5" w:tplc="48E6147E">
      <w:start w:val="1"/>
      <w:numFmt w:val="lowerRoman"/>
      <w:lvlText w:val="%6."/>
      <w:lvlJc w:val="right"/>
      <w:pPr>
        <w:ind w:left="4320" w:hanging="180"/>
      </w:pPr>
    </w:lvl>
    <w:lvl w:ilvl="6" w:tplc="A73C2AA2">
      <w:start w:val="1"/>
      <w:numFmt w:val="decimal"/>
      <w:lvlText w:val="%7."/>
      <w:lvlJc w:val="left"/>
      <w:pPr>
        <w:ind w:left="5040" w:hanging="360"/>
      </w:pPr>
    </w:lvl>
    <w:lvl w:ilvl="7" w:tplc="FEE0770E">
      <w:start w:val="1"/>
      <w:numFmt w:val="lowerLetter"/>
      <w:lvlText w:val="%8."/>
      <w:lvlJc w:val="left"/>
      <w:pPr>
        <w:ind w:left="5760" w:hanging="360"/>
      </w:pPr>
    </w:lvl>
    <w:lvl w:ilvl="8" w:tplc="C5304048">
      <w:start w:val="1"/>
      <w:numFmt w:val="lowerRoman"/>
      <w:lvlText w:val="%9."/>
      <w:lvlJc w:val="right"/>
      <w:pPr>
        <w:ind w:left="6480" w:hanging="180"/>
      </w:pPr>
    </w:lvl>
  </w:abstractNum>
  <w:abstractNum w:abstractNumId="5" w15:restartNumberingAfterBreak="0">
    <w:nsid w:val="4B3D2F54"/>
    <w:multiLevelType w:val="hybridMultilevel"/>
    <w:tmpl w:val="C2860A5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7F0C3F55"/>
    <w:multiLevelType w:val="hybridMultilevel"/>
    <w:tmpl w:val="63E838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fr-BE" w:vendorID="64" w:dllVersion="6" w:nlCheck="1" w:checkStyle="0"/>
  <w:activeWritingStyle w:appName="MSWord" w:lang="en-GB" w:vendorID="64" w:dllVersion="6" w:nlCheck="1" w:checkStyle="1"/>
  <w:activeWritingStyle w:appName="MSWord" w:lang="pt-PT" w:vendorID="64" w:dllVersion="6" w:nlCheck="1" w:checkStyle="0"/>
  <w:activeWritingStyle w:appName="MSWord" w:lang="en-US" w:vendorID="64" w:dllVersion="6" w:nlCheck="1" w:checkStyle="1"/>
  <w:activeWritingStyle w:appName="MSWord" w:lang="en-GB" w:vendorID="64" w:dllVersion="0" w:nlCheck="1" w:checkStyle="0"/>
  <w:activeWritingStyle w:appName="MSWord" w:lang="fr-BE" w:vendorID="64" w:dllVersion="0" w:nlCheck="1" w:checkStyle="0"/>
  <w:activeWritingStyle w:appName="MSWord" w:lang="en-US" w:vendorID="64" w:dllVersion="0" w:nlCheck="1" w:checkStyle="0"/>
  <w:activeWritingStyle w:appName="MSWord" w:lang="en-IE" w:vendorID="64" w:dllVersion="0" w:nlCheck="1" w:checkStyle="0"/>
  <w:activeWritingStyle w:appName="MSWord" w:lang="en-IE" w:vendorID="64" w:dllVersion="6" w:nlCheck="1" w:checkStyle="1"/>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fr-FR" w:vendorID="64" w:dllVersion="131078" w:nlCheck="1" w:checkStyle="0"/>
  <w:defaultTabStop w:val="720"/>
  <w:hyphenationZone w:val="425"/>
  <w:characterSpacingControl w:val="doNotCompress"/>
  <w:hdrShapeDefaults>
    <o:shapedefaults v:ext="edit" spidmax="583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76283E"/>
    <w:rsid w:val="0001772A"/>
    <w:rsid w:val="0001792E"/>
    <w:rsid w:val="00025F9E"/>
    <w:rsid w:val="00042E7D"/>
    <w:rsid w:val="000459F7"/>
    <w:rsid w:val="00064768"/>
    <w:rsid w:val="00072F8A"/>
    <w:rsid w:val="000758B3"/>
    <w:rsid w:val="00087F3F"/>
    <w:rsid w:val="000964ED"/>
    <w:rsid w:val="000A21E4"/>
    <w:rsid w:val="000A4AE8"/>
    <w:rsid w:val="000B1D2D"/>
    <w:rsid w:val="000B2E56"/>
    <w:rsid w:val="000B6EE4"/>
    <w:rsid w:val="000C2F4F"/>
    <w:rsid w:val="000C7A33"/>
    <w:rsid w:val="000C7E5C"/>
    <w:rsid w:val="000D5D7A"/>
    <w:rsid w:val="000E0583"/>
    <w:rsid w:val="000E15B6"/>
    <w:rsid w:val="000E66E7"/>
    <w:rsid w:val="000F5865"/>
    <w:rsid w:val="00100616"/>
    <w:rsid w:val="00102211"/>
    <w:rsid w:val="00103135"/>
    <w:rsid w:val="001036E3"/>
    <w:rsid w:val="00106374"/>
    <w:rsid w:val="001127B1"/>
    <w:rsid w:val="00117F46"/>
    <w:rsid w:val="00120EC0"/>
    <w:rsid w:val="00121618"/>
    <w:rsid w:val="00125D95"/>
    <w:rsid w:val="0013220C"/>
    <w:rsid w:val="001346C1"/>
    <w:rsid w:val="0013667F"/>
    <w:rsid w:val="00140535"/>
    <w:rsid w:val="00143381"/>
    <w:rsid w:val="00144452"/>
    <w:rsid w:val="0014539A"/>
    <w:rsid w:val="00151C5E"/>
    <w:rsid w:val="00151EB4"/>
    <w:rsid w:val="001520F8"/>
    <w:rsid w:val="001539F2"/>
    <w:rsid w:val="00161911"/>
    <w:rsid w:val="001738ED"/>
    <w:rsid w:val="0017691E"/>
    <w:rsid w:val="00187414"/>
    <w:rsid w:val="001973AD"/>
    <w:rsid w:val="001A0430"/>
    <w:rsid w:val="001A3E75"/>
    <w:rsid w:val="001B1B2A"/>
    <w:rsid w:val="001B23C5"/>
    <w:rsid w:val="001B3514"/>
    <w:rsid w:val="001B652A"/>
    <w:rsid w:val="001B7BDD"/>
    <w:rsid w:val="001C12DF"/>
    <w:rsid w:val="001D639F"/>
    <w:rsid w:val="001E568C"/>
    <w:rsid w:val="001E5A2E"/>
    <w:rsid w:val="001E69CF"/>
    <w:rsid w:val="001F29B1"/>
    <w:rsid w:val="001F338B"/>
    <w:rsid w:val="001F5D99"/>
    <w:rsid w:val="00201AAA"/>
    <w:rsid w:val="00202228"/>
    <w:rsid w:val="0022255D"/>
    <w:rsid w:val="00230AE3"/>
    <w:rsid w:val="002331DB"/>
    <w:rsid w:val="00241465"/>
    <w:rsid w:val="0025157C"/>
    <w:rsid w:val="00255E77"/>
    <w:rsid w:val="00256164"/>
    <w:rsid w:val="0025773E"/>
    <w:rsid w:val="002621F4"/>
    <w:rsid w:val="0026544B"/>
    <w:rsid w:val="00272CE0"/>
    <w:rsid w:val="002767A7"/>
    <w:rsid w:val="00277F9E"/>
    <w:rsid w:val="00281DC1"/>
    <w:rsid w:val="00284886"/>
    <w:rsid w:val="00284F7C"/>
    <w:rsid w:val="002876CA"/>
    <w:rsid w:val="002A303D"/>
    <w:rsid w:val="002A4722"/>
    <w:rsid w:val="002A716F"/>
    <w:rsid w:val="002B4978"/>
    <w:rsid w:val="002C1903"/>
    <w:rsid w:val="002C6973"/>
    <w:rsid w:val="002D0186"/>
    <w:rsid w:val="002D3449"/>
    <w:rsid w:val="002D7C6F"/>
    <w:rsid w:val="002E4733"/>
    <w:rsid w:val="002E7208"/>
    <w:rsid w:val="002F49C8"/>
    <w:rsid w:val="002F52E4"/>
    <w:rsid w:val="002F641C"/>
    <w:rsid w:val="00301A3E"/>
    <w:rsid w:val="00301ECD"/>
    <w:rsid w:val="00306795"/>
    <w:rsid w:val="00321548"/>
    <w:rsid w:val="0032615F"/>
    <w:rsid w:val="00326ED1"/>
    <w:rsid w:val="0033266D"/>
    <w:rsid w:val="0033427A"/>
    <w:rsid w:val="00335954"/>
    <w:rsid w:val="00342F41"/>
    <w:rsid w:val="0034439E"/>
    <w:rsid w:val="003467A7"/>
    <w:rsid w:val="00353F15"/>
    <w:rsid w:val="0036193C"/>
    <w:rsid w:val="00361C72"/>
    <w:rsid w:val="00370717"/>
    <w:rsid w:val="00375D5C"/>
    <w:rsid w:val="00384040"/>
    <w:rsid w:val="0038744D"/>
    <w:rsid w:val="00390B7C"/>
    <w:rsid w:val="00393D86"/>
    <w:rsid w:val="00396784"/>
    <w:rsid w:val="003A2756"/>
    <w:rsid w:val="003C3F73"/>
    <w:rsid w:val="003C6958"/>
    <w:rsid w:val="003C7785"/>
    <w:rsid w:val="003D2805"/>
    <w:rsid w:val="003D74D4"/>
    <w:rsid w:val="003E1C90"/>
    <w:rsid w:val="003E1DAB"/>
    <w:rsid w:val="003E43F8"/>
    <w:rsid w:val="003E7EA7"/>
    <w:rsid w:val="003F7CBE"/>
    <w:rsid w:val="00402C19"/>
    <w:rsid w:val="004043CC"/>
    <w:rsid w:val="00417630"/>
    <w:rsid w:val="00424597"/>
    <w:rsid w:val="00432511"/>
    <w:rsid w:val="00432F21"/>
    <w:rsid w:val="004356E8"/>
    <w:rsid w:val="00444C75"/>
    <w:rsid w:val="00446FBD"/>
    <w:rsid w:val="004509A7"/>
    <w:rsid w:val="004550C6"/>
    <w:rsid w:val="004574A8"/>
    <w:rsid w:val="0046005F"/>
    <w:rsid w:val="00463184"/>
    <w:rsid w:val="00467585"/>
    <w:rsid w:val="00482817"/>
    <w:rsid w:val="004828E2"/>
    <w:rsid w:val="00482F53"/>
    <w:rsid w:val="0048677B"/>
    <w:rsid w:val="004910D7"/>
    <w:rsid w:val="00491C16"/>
    <w:rsid w:val="0049441D"/>
    <w:rsid w:val="004A2034"/>
    <w:rsid w:val="004A41B2"/>
    <w:rsid w:val="004B607C"/>
    <w:rsid w:val="004C3E3A"/>
    <w:rsid w:val="004C528E"/>
    <w:rsid w:val="004C7FC7"/>
    <w:rsid w:val="004D01EE"/>
    <w:rsid w:val="004D0695"/>
    <w:rsid w:val="004D6341"/>
    <w:rsid w:val="004E03F5"/>
    <w:rsid w:val="004E082B"/>
    <w:rsid w:val="004E255D"/>
    <w:rsid w:val="004F3B3D"/>
    <w:rsid w:val="00505090"/>
    <w:rsid w:val="00525A4D"/>
    <w:rsid w:val="00526903"/>
    <w:rsid w:val="005330E4"/>
    <w:rsid w:val="0053355A"/>
    <w:rsid w:val="005443BC"/>
    <w:rsid w:val="00544FBD"/>
    <w:rsid w:val="0055046D"/>
    <w:rsid w:val="00550ED6"/>
    <w:rsid w:val="00552F7D"/>
    <w:rsid w:val="005567C5"/>
    <w:rsid w:val="005608C1"/>
    <w:rsid w:val="00572FD5"/>
    <w:rsid w:val="00576AEB"/>
    <w:rsid w:val="00577AB9"/>
    <w:rsid w:val="00580CF5"/>
    <w:rsid w:val="00582025"/>
    <w:rsid w:val="00583521"/>
    <w:rsid w:val="00585FB0"/>
    <w:rsid w:val="005912D5"/>
    <w:rsid w:val="00592206"/>
    <w:rsid w:val="00597621"/>
    <w:rsid w:val="005B22C2"/>
    <w:rsid w:val="005B2C43"/>
    <w:rsid w:val="005B3369"/>
    <w:rsid w:val="005B6EC5"/>
    <w:rsid w:val="005C0D7C"/>
    <w:rsid w:val="005C437F"/>
    <w:rsid w:val="005D4834"/>
    <w:rsid w:val="005F2B99"/>
    <w:rsid w:val="005F3875"/>
    <w:rsid w:val="005F3B85"/>
    <w:rsid w:val="005F5A66"/>
    <w:rsid w:val="005F5C73"/>
    <w:rsid w:val="005F7245"/>
    <w:rsid w:val="00603477"/>
    <w:rsid w:val="006112EE"/>
    <w:rsid w:val="00611EA3"/>
    <w:rsid w:val="006176F7"/>
    <w:rsid w:val="00625E4C"/>
    <w:rsid w:val="006306CD"/>
    <w:rsid w:val="00632EA6"/>
    <w:rsid w:val="00634B1C"/>
    <w:rsid w:val="006352DD"/>
    <w:rsid w:val="00636C19"/>
    <w:rsid w:val="00641FFE"/>
    <w:rsid w:val="00642537"/>
    <w:rsid w:val="00656985"/>
    <w:rsid w:val="00660535"/>
    <w:rsid w:val="0066634F"/>
    <w:rsid w:val="00666829"/>
    <w:rsid w:val="00667217"/>
    <w:rsid w:val="00667C8C"/>
    <w:rsid w:val="00675273"/>
    <w:rsid w:val="00677C11"/>
    <w:rsid w:val="006977CC"/>
    <w:rsid w:val="006A0EF0"/>
    <w:rsid w:val="006A2F65"/>
    <w:rsid w:val="006A3959"/>
    <w:rsid w:val="006A5D85"/>
    <w:rsid w:val="006B12CD"/>
    <w:rsid w:val="006B2B53"/>
    <w:rsid w:val="006B3D0F"/>
    <w:rsid w:val="006B66BD"/>
    <w:rsid w:val="006B691A"/>
    <w:rsid w:val="006C2A59"/>
    <w:rsid w:val="006C6680"/>
    <w:rsid w:val="006C6F07"/>
    <w:rsid w:val="006D029B"/>
    <w:rsid w:val="006D1008"/>
    <w:rsid w:val="006E1F83"/>
    <w:rsid w:val="006F1E54"/>
    <w:rsid w:val="006F4D2B"/>
    <w:rsid w:val="006F53C0"/>
    <w:rsid w:val="006F58FA"/>
    <w:rsid w:val="00702063"/>
    <w:rsid w:val="00716ECB"/>
    <w:rsid w:val="007171DB"/>
    <w:rsid w:val="0072260E"/>
    <w:rsid w:val="007240D5"/>
    <w:rsid w:val="00727B4B"/>
    <w:rsid w:val="00733B8B"/>
    <w:rsid w:val="00735A3D"/>
    <w:rsid w:val="00735D47"/>
    <w:rsid w:val="00740068"/>
    <w:rsid w:val="007468EE"/>
    <w:rsid w:val="0074712E"/>
    <w:rsid w:val="0075421E"/>
    <w:rsid w:val="00755A63"/>
    <w:rsid w:val="007566BD"/>
    <w:rsid w:val="007622F8"/>
    <w:rsid w:val="0076283E"/>
    <w:rsid w:val="00766BA2"/>
    <w:rsid w:val="00770F5B"/>
    <w:rsid w:val="0077533E"/>
    <w:rsid w:val="00781D83"/>
    <w:rsid w:val="00793EA0"/>
    <w:rsid w:val="00794D8E"/>
    <w:rsid w:val="007A4051"/>
    <w:rsid w:val="007A415E"/>
    <w:rsid w:val="007A6DBA"/>
    <w:rsid w:val="007B040F"/>
    <w:rsid w:val="007B0EC5"/>
    <w:rsid w:val="007C102D"/>
    <w:rsid w:val="007C3A2F"/>
    <w:rsid w:val="007D437F"/>
    <w:rsid w:val="007E1BEA"/>
    <w:rsid w:val="007E24A0"/>
    <w:rsid w:val="007E5C1C"/>
    <w:rsid w:val="007F4A14"/>
    <w:rsid w:val="00803511"/>
    <w:rsid w:val="008130C5"/>
    <w:rsid w:val="0081409D"/>
    <w:rsid w:val="00820737"/>
    <w:rsid w:val="00825AC8"/>
    <w:rsid w:val="00831933"/>
    <w:rsid w:val="008328E0"/>
    <w:rsid w:val="00840FD0"/>
    <w:rsid w:val="00843922"/>
    <w:rsid w:val="00843957"/>
    <w:rsid w:val="00844CE0"/>
    <w:rsid w:val="0085039C"/>
    <w:rsid w:val="008558D2"/>
    <w:rsid w:val="008605FE"/>
    <w:rsid w:val="00867999"/>
    <w:rsid w:val="00870772"/>
    <w:rsid w:val="00873CB4"/>
    <w:rsid w:val="00876720"/>
    <w:rsid w:val="0088168A"/>
    <w:rsid w:val="00881810"/>
    <w:rsid w:val="00883722"/>
    <w:rsid w:val="00883EEE"/>
    <w:rsid w:val="008962D2"/>
    <w:rsid w:val="008A04E2"/>
    <w:rsid w:val="008A1D1F"/>
    <w:rsid w:val="008A2D89"/>
    <w:rsid w:val="008B2CAD"/>
    <w:rsid w:val="008B3C95"/>
    <w:rsid w:val="008C4652"/>
    <w:rsid w:val="008D3B37"/>
    <w:rsid w:val="008D5424"/>
    <w:rsid w:val="008E24A6"/>
    <w:rsid w:val="008F4936"/>
    <w:rsid w:val="008F59F3"/>
    <w:rsid w:val="00901129"/>
    <w:rsid w:val="00901A12"/>
    <w:rsid w:val="009144C0"/>
    <w:rsid w:val="009433AE"/>
    <w:rsid w:val="009443E8"/>
    <w:rsid w:val="009550CF"/>
    <w:rsid w:val="0095553B"/>
    <w:rsid w:val="009571F6"/>
    <w:rsid w:val="0096112B"/>
    <w:rsid w:val="009655EB"/>
    <w:rsid w:val="00967BD1"/>
    <w:rsid w:val="00974405"/>
    <w:rsid w:val="00976B31"/>
    <w:rsid w:val="0098376A"/>
    <w:rsid w:val="009864DD"/>
    <w:rsid w:val="00987613"/>
    <w:rsid w:val="00992A5F"/>
    <w:rsid w:val="0099764B"/>
    <w:rsid w:val="009B1331"/>
    <w:rsid w:val="009B5A37"/>
    <w:rsid w:val="009B79D6"/>
    <w:rsid w:val="009B7CC6"/>
    <w:rsid w:val="009C15A1"/>
    <w:rsid w:val="009C3718"/>
    <w:rsid w:val="009C4CCA"/>
    <w:rsid w:val="009D112D"/>
    <w:rsid w:val="009D7AF6"/>
    <w:rsid w:val="009E00C3"/>
    <w:rsid w:val="009E58F9"/>
    <w:rsid w:val="009F3AD6"/>
    <w:rsid w:val="009F7D57"/>
    <w:rsid w:val="00A11FC2"/>
    <w:rsid w:val="00A12CC8"/>
    <w:rsid w:val="00A13DAA"/>
    <w:rsid w:val="00A159C1"/>
    <w:rsid w:val="00A20030"/>
    <w:rsid w:val="00A268D1"/>
    <w:rsid w:val="00A338A5"/>
    <w:rsid w:val="00A46C22"/>
    <w:rsid w:val="00A51198"/>
    <w:rsid w:val="00A53A4D"/>
    <w:rsid w:val="00A549EA"/>
    <w:rsid w:val="00A562A0"/>
    <w:rsid w:val="00A600DD"/>
    <w:rsid w:val="00A6097C"/>
    <w:rsid w:val="00A639A6"/>
    <w:rsid w:val="00A731F7"/>
    <w:rsid w:val="00A811A5"/>
    <w:rsid w:val="00A86202"/>
    <w:rsid w:val="00A90448"/>
    <w:rsid w:val="00AA5880"/>
    <w:rsid w:val="00AB2897"/>
    <w:rsid w:val="00AB30C1"/>
    <w:rsid w:val="00AB75B4"/>
    <w:rsid w:val="00AB7A0F"/>
    <w:rsid w:val="00AC3461"/>
    <w:rsid w:val="00AC5192"/>
    <w:rsid w:val="00AC5ACC"/>
    <w:rsid w:val="00AC6367"/>
    <w:rsid w:val="00AD1B5B"/>
    <w:rsid w:val="00AD288F"/>
    <w:rsid w:val="00AD5A73"/>
    <w:rsid w:val="00AE38C3"/>
    <w:rsid w:val="00AF3077"/>
    <w:rsid w:val="00AF6E10"/>
    <w:rsid w:val="00AF7808"/>
    <w:rsid w:val="00B10F7E"/>
    <w:rsid w:val="00B13ACF"/>
    <w:rsid w:val="00B1598F"/>
    <w:rsid w:val="00B1707E"/>
    <w:rsid w:val="00B268D1"/>
    <w:rsid w:val="00B3622D"/>
    <w:rsid w:val="00B36BB3"/>
    <w:rsid w:val="00B37185"/>
    <w:rsid w:val="00B4060D"/>
    <w:rsid w:val="00B41DD1"/>
    <w:rsid w:val="00B47994"/>
    <w:rsid w:val="00B5197A"/>
    <w:rsid w:val="00B530A9"/>
    <w:rsid w:val="00B56ABE"/>
    <w:rsid w:val="00B57B23"/>
    <w:rsid w:val="00B806D6"/>
    <w:rsid w:val="00B81831"/>
    <w:rsid w:val="00B84DB2"/>
    <w:rsid w:val="00B91F41"/>
    <w:rsid w:val="00B9289B"/>
    <w:rsid w:val="00B92FA8"/>
    <w:rsid w:val="00B93BE2"/>
    <w:rsid w:val="00B95F0E"/>
    <w:rsid w:val="00B9695F"/>
    <w:rsid w:val="00B977FD"/>
    <w:rsid w:val="00BA54E8"/>
    <w:rsid w:val="00BA6274"/>
    <w:rsid w:val="00BA62E3"/>
    <w:rsid w:val="00BB3B15"/>
    <w:rsid w:val="00BB6184"/>
    <w:rsid w:val="00BB6E88"/>
    <w:rsid w:val="00BC1C70"/>
    <w:rsid w:val="00BC65D2"/>
    <w:rsid w:val="00BD7425"/>
    <w:rsid w:val="00BE2CB0"/>
    <w:rsid w:val="00BE4F6E"/>
    <w:rsid w:val="00BE6340"/>
    <w:rsid w:val="00BE6BC1"/>
    <w:rsid w:val="00BF36BC"/>
    <w:rsid w:val="00C001AF"/>
    <w:rsid w:val="00C039F7"/>
    <w:rsid w:val="00C04F07"/>
    <w:rsid w:val="00C0752F"/>
    <w:rsid w:val="00C2078F"/>
    <w:rsid w:val="00C227BD"/>
    <w:rsid w:val="00C270F6"/>
    <w:rsid w:val="00C27289"/>
    <w:rsid w:val="00C32E8D"/>
    <w:rsid w:val="00C368BA"/>
    <w:rsid w:val="00C412B6"/>
    <w:rsid w:val="00C428E3"/>
    <w:rsid w:val="00C715B8"/>
    <w:rsid w:val="00C725F8"/>
    <w:rsid w:val="00C733F1"/>
    <w:rsid w:val="00C81D55"/>
    <w:rsid w:val="00C8409F"/>
    <w:rsid w:val="00C964BB"/>
    <w:rsid w:val="00C9709F"/>
    <w:rsid w:val="00CA06E0"/>
    <w:rsid w:val="00CA1D98"/>
    <w:rsid w:val="00CA7675"/>
    <w:rsid w:val="00CB2B5B"/>
    <w:rsid w:val="00CC2788"/>
    <w:rsid w:val="00CC4BF8"/>
    <w:rsid w:val="00CD317B"/>
    <w:rsid w:val="00CD498A"/>
    <w:rsid w:val="00CD6800"/>
    <w:rsid w:val="00CD6BEE"/>
    <w:rsid w:val="00CD6CA8"/>
    <w:rsid w:val="00CE44EC"/>
    <w:rsid w:val="00CE545A"/>
    <w:rsid w:val="00CF16E4"/>
    <w:rsid w:val="00CF43FA"/>
    <w:rsid w:val="00D002AC"/>
    <w:rsid w:val="00D127FB"/>
    <w:rsid w:val="00D1381D"/>
    <w:rsid w:val="00D1600A"/>
    <w:rsid w:val="00D17833"/>
    <w:rsid w:val="00D239F0"/>
    <w:rsid w:val="00D2699E"/>
    <w:rsid w:val="00D309F2"/>
    <w:rsid w:val="00D31F5F"/>
    <w:rsid w:val="00D35222"/>
    <w:rsid w:val="00D36041"/>
    <w:rsid w:val="00D43B23"/>
    <w:rsid w:val="00D44893"/>
    <w:rsid w:val="00D46437"/>
    <w:rsid w:val="00D57DBB"/>
    <w:rsid w:val="00D57F5C"/>
    <w:rsid w:val="00D60F0C"/>
    <w:rsid w:val="00D6634C"/>
    <w:rsid w:val="00D665B6"/>
    <w:rsid w:val="00D66D38"/>
    <w:rsid w:val="00D85B6A"/>
    <w:rsid w:val="00D8711F"/>
    <w:rsid w:val="00D92C07"/>
    <w:rsid w:val="00D9307C"/>
    <w:rsid w:val="00D9396C"/>
    <w:rsid w:val="00D94825"/>
    <w:rsid w:val="00D96684"/>
    <w:rsid w:val="00DA28C3"/>
    <w:rsid w:val="00DA6FD1"/>
    <w:rsid w:val="00DA7D71"/>
    <w:rsid w:val="00DB2CA4"/>
    <w:rsid w:val="00DB2E4F"/>
    <w:rsid w:val="00DB451F"/>
    <w:rsid w:val="00DC1618"/>
    <w:rsid w:val="00DC2073"/>
    <w:rsid w:val="00DC59A3"/>
    <w:rsid w:val="00DD0D4D"/>
    <w:rsid w:val="00DD6BED"/>
    <w:rsid w:val="00DD73D9"/>
    <w:rsid w:val="00DE05A0"/>
    <w:rsid w:val="00DE24D8"/>
    <w:rsid w:val="00DE414A"/>
    <w:rsid w:val="00DE76D6"/>
    <w:rsid w:val="00DF52C0"/>
    <w:rsid w:val="00E07599"/>
    <w:rsid w:val="00E17AB0"/>
    <w:rsid w:val="00E22953"/>
    <w:rsid w:val="00E23333"/>
    <w:rsid w:val="00E23C7A"/>
    <w:rsid w:val="00E37568"/>
    <w:rsid w:val="00E45223"/>
    <w:rsid w:val="00E532B6"/>
    <w:rsid w:val="00E554EB"/>
    <w:rsid w:val="00E60CAC"/>
    <w:rsid w:val="00E62575"/>
    <w:rsid w:val="00E625B2"/>
    <w:rsid w:val="00E62711"/>
    <w:rsid w:val="00E63056"/>
    <w:rsid w:val="00E6383C"/>
    <w:rsid w:val="00E76FD8"/>
    <w:rsid w:val="00E831F0"/>
    <w:rsid w:val="00E9182A"/>
    <w:rsid w:val="00E9194D"/>
    <w:rsid w:val="00E919EC"/>
    <w:rsid w:val="00E91AA4"/>
    <w:rsid w:val="00E930F3"/>
    <w:rsid w:val="00EA1C09"/>
    <w:rsid w:val="00EA5136"/>
    <w:rsid w:val="00EA53DA"/>
    <w:rsid w:val="00EA744A"/>
    <w:rsid w:val="00EB3925"/>
    <w:rsid w:val="00EB3B6C"/>
    <w:rsid w:val="00EB518E"/>
    <w:rsid w:val="00EB57A2"/>
    <w:rsid w:val="00EB7381"/>
    <w:rsid w:val="00EC1EF4"/>
    <w:rsid w:val="00EC6EB3"/>
    <w:rsid w:val="00ED273D"/>
    <w:rsid w:val="00ED3D97"/>
    <w:rsid w:val="00EE3241"/>
    <w:rsid w:val="00EE7509"/>
    <w:rsid w:val="00EF3949"/>
    <w:rsid w:val="00F00532"/>
    <w:rsid w:val="00F149ED"/>
    <w:rsid w:val="00F20B0A"/>
    <w:rsid w:val="00F22D4C"/>
    <w:rsid w:val="00F318F6"/>
    <w:rsid w:val="00F3745A"/>
    <w:rsid w:val="00F43B2C"/>
    <w:rsid w:val="00F4572E"/>
    <w:rsid w:val="00F47941"/>
    <w:rsid w:val="00F50AA5"/>
    <w:rsid w:val="00F566AE"/>
    <w:rsid w:val="00F62C6C"/>
    <w:rsid w:val="00F66FD3"/>
    <w:rsid w:val="00F70F82"/>
    <w:rsid w:val="00F729F2"/>
    <w:rsid w:val="00F7358F"/>
    <w:rsid w:val="00F76D18"/>
    <w:rsid w:val="00F855F7"/>
    <w:rsid w:val="00F87D32"/>
    <w:rsid w:val="00F91D3C"/>
    <w:rsid w:val="00F96166"/>
    <w:rsid w:val="00FA349E"/>
    <w:rsid w:val="00FA561A"/>
    <w:rsid w:val="00FC57D2"/>
    <w:rsid w:val="00FD437B"/>
    <w:rsid w:val="00FD5CC1"/>
    <w:rsid w:val="00FD6548"/>
    <w:rsid w:val="00FE067B"/>
    <w:rsid w:val="00FE733D"/>
    <w:rsid w:val="793F39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4:docId w14:val="693C4C4E"/>
  <w15:chartTrackingRefBased/>
  <w15:docId w15:val="{37001218-32D4-4AEB-B5CD-5E57301A2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008"/>
    <w:rPr>
      <w:rFonts w:ascii="Times New Roman" w:hAnsi="Times New Roman"/>
      <w:sz w:val="24"/>
    </w:rPr>
  </w:style>
  <w:style w:type="paragraph" w:styleId="Heading1">
    <w:name w:val="heading 1"/>
    <w:basedOn w:val="Normal"/>
    <w:next w:val="Normal"/>
    <w:link w:val="Heading1Char"/>
    <w:uiPriority w:val="9"/>
    <w:qFormat/>
    <w:rsid w:val="004509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509A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509A7"/>
    <w:pPr>
      <w:spacing w:before="100" w:beforeAutospacing="1" w:after="100" w:afterAutospacing="1" w:line="240" w:lineRule="auto"/>
      <w:outlineLvl w:val="2"/>
    </w:pPr>
    <w:rPr>
      <w:rFonts w:eastAsia="Times New Roman" w:cs="Times New Roman"/>
      <w:b/>
      <w:bCs/>
      <w:color w:val="000000"/>
      <w:sz w:val="43"/>
      <w:szCs w:val="43"/>
      <w:lang w:eastAsia="en-GB"/>
    </w:rPr>
  </w:style>
  <w:style w:type="paragraph" w:styleId="Heading4">
    <w:name w:val="heading 4"/>
    <w:basedOn w:val="Normal"/>
    <w:next w:val="Normal"/>
    <w:link w:val="Heading4Char"/>
    <w:uiPriority w:val="9"/>
    <w:unhideWhenUsed/>
    <w:qFormat/>
    <w:rsid w:val="004509A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9A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509A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509A7"/>
    <w:rPr>
      <w:rFonts w:ascii="Times New Roman" w:eastAsia="Times New Roman" w:hAnsi="Times New Roman" w:cs="Times New Roman"/>
      <w:b/>
      <w:bCs/>
      <w:color w:val="000000"/>
      <w:sz w:val="43"/>
      <w:szCs w:val="43"/>
      <w:lang w:eastAsia="en-GB"/>
    </w:rPr>
  </w:style>
  <w:style w:type="character" w:customStyle="1" w:styleId="Heading4Char">
    <w:name w:val="Heading 4 Char"/>
    <w:basedOn w:val="DefaultParagraphFont"/>
    <w:link w:val="Heading4"/>
    <w:uiPriority w:val="9"/>
    <w:rsid w:val="004509A7"/>
    <w:rPr>
      <w:rFonts w:asciiTheme="majorHAnsi" w:eastAsiaTheme="majorEastAsia" w:hAnsiTheme="majorHAnsi" w:cstheme="majorBidi"/>
      <w:b/>
      <w:bCs/>
      <w:i/>
      <w:iCs/>
      <w:color w:val="4F81BD" w:themeColor="accent1"/>
    </w:rPr>
  </w:style>
  <w:style w:type="paragraph" w:styleId="Title">
    <w:name w:val="Title"/>
    <w:basedOn w:val="Normal"/>
    <w:next w:val="Normal"/>
    <w:link w:val="TitleChar"/>
    <w:uiPriority w:val="10"/>
    <w:qFormat/>
    <w:rsid w:val="004509A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GB"/>
    </w:rPr>
  </w:style>
  <w:style w:type="character" w:customStyle="1" w:styleId="TitleChar">
    <w:name w:val="Title Char"/>
    <w:basedOn w:val="DefaultParagraphFont"/>
    <w:link w:val="Title"/>
    <w:uiPriority w:val="10"/>
    <w:rsid w:val="004509A7"/>
    <w:rPr>
      <w:rFonts w:asciiTheme="majorHAnsi" w:eastAsiaTheme="majorEastAsia" w:hAnsiTheme="majorHAnsi" w:cstheme="majorBidi"/>
      <w:color w:val="17365D" w:themeColor="text2" w:themeShade="BF"/>
      <w:spacing w:val="5"/>
      <w:kern w:val="28"/>
      <w:sz w:val="52"/>
      <w:szCs w:val="52"/>
      <w:lang w:val="fr-FR" w:eastAsia="en-GB"/>
    </w:rPr>
  </w:style>
  <w:style w:type="character" w:styleId="Strong">
    <w:name w:val="Strong"/>
    <w:basedOn w:val="DefaultParagraphFont"/>
    <w:uiPriority w:val="22"/>
    <w:qFormat/>
    <w:rsid w:val="004509A7"/>
    <w:rPr>
      <w:b/>
      <w:bCs/>
    </w:rPr>
  </w:style>
  <w:style w:type="character" w:styleId="Emphasis">
    <w:name w:val="Emphasis"/>
    <w:basedOn w:val="DefaultParagraphFont"/>
    <w:uiPriority w:val="20"/>
    <w:qFormat/>
    <w:rsid w:val="004509A7"/>
    <w:rPr>
      <w:i/>
      <w:iCs/>
    </w:rPr>
  </w:style>
  <w:style w:type="paragraph" w:styleId="ListParagraph">
    <w:name w:val="List Paragraph"/>
    <w:aliases w:val="Listaszerű bekezdés1,List Paragraph à moi,Colorful List - Accent 11,Medium Grid 1 - Accent 21,Listaszeru bekezdés1,Colorful List - Accent 111,Dot pt,F5 List Paragraph,No Spacing1,List Paragraph Char Char Char,Bullets,L,EC,List Paragraph1"/>
    <w:basedOn w:val="Normal"/>
    <w:link w:val="ListParagraphChar"/>
    <w:uiPriority w:val="34"/>
    <w:qFormat/>
    <w:rsid w:val="004509A7"/>
    <w:pPr>
      <w:ind w:left="720"/>
      <w:contextualSpacing/>
    </w:pPr>
  </w:style>
  <w:style w:type="table" w:styleId="TableGrid">
    <w:name w:val="Table Grid"/>
    <w:basedOn w:val="TableNormal"/>
    <w:uiPriority w:val="59"/>
    <w:rsid w:val="007628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283E"/>
    <w:rPr>
      <w:color w:val="0000FF" w:themeColor="hyperlink"/>
      <w:u w:val="single"/>
    </w:rPr>
  </w:style>
  <w:style w:type="paragraph" w:styleId="Header">
    <w:name w:val="header"/>
    <w:basedOn w:val="Normal"/>
    <w:link w:val="HeaderChar"/>
    <w:uiPriority w:val="99"/>
    <w:unhideWhenUsed/>
    <w:rsid w:val="007628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83E"/>
    <w:rPr>
      <w:rFonts w:ascii="Times New Roman" w:hAnsi="Times New Roman"/>
      <w:sz w:val="24"/>
    </w:rPr>
  </w:style>
  <w:style w:type="paragraph" w:styleId="Footer">
    <w:name w:val="footer"/>
    <w:basedOn w:val="Normal"/>
    <w:link w:val="FooterChar"/>
    <w:uiPriority w:val="99"/>
    <w:unhideWhenUsed/>
    <w:rsid w:val="007628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83E"/>
    <w:rPr>
      <w:rFonts w:ascii="Times New Roman" w:hAnsi="Times New Roman"/>
      <w:sz w:val="24"/>
    </w:rPr>
  </w:style>
  <w:style w:type="paragraph" w:styleId="NoSpacing">
    <w:name w:val="No Spacing"/>
    <w:uiPriority w:val="1"/>
    <w:qFormat/>
    <w:pPr>
      <w:spacing w:after="0" w:line="240" w:lineRule="auto"/>
    </w:pPr>
  </w:style>
  <w:style w:type="paragraph" w:customStyle="1" w:styleId="ZnakZnak">
    <w:name w:val="Znak Znak"/>
    <w:basedOn w:val="Normal"/>
    <w:rsid w:val="00396784"/>
    <w:pPr>
      <w:spacing w:after="0" w:line="360" w:lineRule="auto"/>
      <w:jc w:val="both"/>
    </w:pPr>
    <w:rPr>
      <w:rFonts w:ascii="Verdana" w:eastAsia="Times New Roman" w:hAnsi="Verdana" w:cs="Times New Roman"/>
      <w:sz w:val="20"/>
      <w:szCs w:val="20"/>
      <w:lang w:eastAsia="pl-PL"/>
    </w:rPr>
  </w:style>
  <w:style w:type="character" w:customStyle="1" w:styleId="footnotereference">
    <w:name w:val="footnotereference"/>
    <w:basedOn w:val="DefaultParagraphFont"/>
    <w:rsid w:val="001A0430"/>
  </w:style>
  <w:style w:type="character" w:customStyle="1" w:styleId="epname">
    <w:name w:val="ep_name"/>
    <w:basedOn w:val="DefaultParagraphFont"/>
    <w:rsid w:val="00CC2788"/>
  </w:style>
  <w:style w:type="character" w:styleId="CommentReference">
    <w:name w:val="annotation reference"/>
    <w:basedOn w:val="DefaultParagraphFont"/>
    <w:uiPriority w:val="99"/>
    <w:semiHidden/>
    <w:unhideWhenUsed/>
    <w:rsid w:val="005C437F"/>
    <w:rPr>
      <w:sz w:val="16"/>
      <w:szCs w:val="16"/>
    </w:rPr>
  </w:style>
  <w:style w:type="paragraph" w:styleId="CommentText">
    <w:name w:val="annotation text"/>
    <w:basedOn w:val="Normal"/>
    <w:link w:val="CommentTextChar"/>
    <w:uiPriority w:val="99"/>
    <w:semiHidden/>
    <w:unhideWhenUsed/>
    <w:rsid w:val="005C437F"/>
    <w:pPr>
      <w:spacing w:line="240" w:lineRule="auto"/>
    </w:pPr>
    <w:rPr>
      <w:sz w:val="20"/>
      <w:szCs w:val="20"/>
    </w:rPr>
  </w:style>
  <w:style w:type="character" w:customStyle="1" w:styleId="CommentTextChar">
    <w:name w:val="Comment Text Char"/>
    <w:basedOn w:val="DefaultParagraphFont"/>
    <w:link w:val="CommentText"/>
    <w:uiPriority w:val="99"/>
    <w:semiHidden/>
    <w:rsid w:val="005C437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C437F"/>
    <w:rPr>
      <w:b/>
      <w:bCs/>
    </w:rPr>
  </w:style>
  <w:style w:type="character" w:customStyle="1" w:styleId="CommentSubjectChar">
    <w:name w:val="Comment Subject Char"/>
    <w:basedOn w:val="CommentTextChar"/>
    <w:link w:val="CommentSubject"/>
    <w:uiPriority w:val="99"/>
    <w:semiHidden/>
    <w:rsid w:val="005C437F"/>
    <w:rPr>
      <w:rFonts w:ascii="Times New Roman" w:hAnsi="Times New Roman"/>
      <w:b/>
      <w:bCs/>
      <w:sz w:val="20"/>
      <w:szCs w:val="20"/>
    </w:rPr>
  </w:style>
  <w:style w:type="paragraph" w:styleId="BalloonText">
    <w:name w:val="Balloon Text"/>
    <w:basedOn w:val="Normal"/>
    <w:link w:val="BalloonTextChar"/>
    <w:uiPriority w:val="99"/>
    <w:semiHidden/>
    <w:unhideWhenUsed/>
    <w:rsid w:val="005C43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37F"/>
    <w:rPr>
      <w:rFonts w:ascii="Segoe UI" w:hAnsi="Segoe UI" w:cs="Segoe UI"/>
      <w:sz w:val="18"/>
      <w:szCs w:val="18"/>
    </w:rPr>
  </w:style>
  <w:style w:type="paragraph" w:customStyle="1" w:styleId="Default">
    <w:name w:val="Default"/>
    <w:rsid w:val="004F3B3D"/>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582025"/>
    <w:pPr>
      <w:spacing w:after="0" w:line="240" w:lineRule="auto"/>
    </w:pPr>
    <w:rPr>
      <w:rFonts w:ascii="Times New Roman" w:hAnsi="Times New Roman"/>
      <w:sz w:val="24"/>
    </w:rPr>
  </w:style>
  <w:style w:type="character" w:customStyle="1" w:styleId="ListParagraphChar">
    <w:name w:val="List Paragraph Char"/>
    <w:aliases w:val="Listaszerű bekezdés1 Char,List Paragraph à moi Char,Colorful List - Accent 11 Char,Medium Grid 1 - Accent 21 Char,Listaszeru bekezdés1 Char,Colorful List - Accent 111 Char,Dot pt Char,F5 List Paragraph Char,No Spacing1 Char,L Char"/>
    <w:basedOn w:val="DefaultParagraphFont"/>
    <w:link w:val="ListParagraph"/>
    <w:uiPriority w:val="34"/>
    <w:qFormat/>
    <w:locked/>
    <w:rsid w:val="009D7AF6"/>
    <w:rPr>
      <w:rFonts w:ascii="Times New Roman" w:hAnsi="Times New Roman"/>
      <w:sz w:val="24"/>
    </w:rPr>
  </w:style>
  <w:style w:type="paragraph" w:styleId="FootnoteText">
    <w:name w:val="footnote text"/>
    <w:basedOn w:val="Normal"/>
    <w:link w:val="FootnoteTextChar"/>
    <w:uiPriority w:val="99"/>
    <w:semiHidden/>
    <w:unhideWhenUsed/>
    <w:rsid w:val="0048677B"/>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48677B"/>
    <w:rPr>
      <w:sz w:val="20"/>
      <w:szCs w:val="20"/>
    </w:rPr>
  </w:style>
  <w:style w:type="character" w:styleId="FootnoteReference0">
    <w:name w:val="footnote reference"/>
    <w:uiPriority w:val="99"/>
    <w:rsid w:val="0048677B"/>
    <w:rPr>
      <w:rFonts w:ascii="Arial" w:hAnsi="Arial" w:cs="Arial"/>
      <w:b w:val="0"/>
      <w:i w:val="0"/>
      <w:caps w:val="0"/>
      <w:smallCaps w:val="0"/>
      <w:strike w:val="0"/>
      <w:dstrike w:val="0"/>
      <w:vanish w:val="0"/>
      <w:color w:val="auto"/>
      <w:spacing w:val="0"/>
      <w:w w:val="100"/>
      <w:kern w:val="0"/>
      <w:position w:val="0"/>
      <w:sz w:val="18"/>
      <w:u w:val="none"/>
      <w:effect w:val="none"/>
      <w:vertAlign w:val="superscript"/>
    </w:rPr>
  </w:style>
  <w:style w:type="paragraph" w:styleId="NormalWeb">
    <w:name w:val="Normal (Web)"/>
    <w:basedOn w:val="Normal"/>
    <w:uiPriority w:val="99"/>
    <w:unhideWhenUsed/>
    <w:rsid w:val="00EB57A2"/>
    <w:pPr>
      <w:spacing w:before="100" w:beforeAutospacing="1" w:after="100" w:afterAutospacing="1" w:line="240" w:lineRule="auto"/>
    </w:pPr>
    <w:rPr>
      <w:rFonts w:eastAsia="Times New Roman" w:cs="Times New Roman"/>
      <w:szCs w:val="24"/>
    </w:rPr>
  </w:style>
  <w:style w:type="character" w:customStyle="1" w:styleId="UnresolvedMention1">
    <w:name w:val="Unresolved Mention1"/>
    <w:basedOn w:val="DefaultParagraphFont"/>
    <w:uiPriority w:val="99"/>
    <w:semiHidden/>
    <w:unhideWhenUsed/>
    <w:rsid w:val="00770F5B"/>
    <w:rPr>
      <w:color w:val="605E5C"/>
      <w:shd w:val="clear" w:color="auto" w:fill="E1DFDD"/>
    </w:rPr>
  </w:style>
  <w:style w:type="character" w:styleId="FollowedHyperlink">
    <w:name w:val="FollowedHyperlink"/>
    <w:basedOn w:val="DefaultParagraphFont"/>
    <w:uiPriority w:val="99"/>
    <w:semiHidden/>
    <w:unhideWhenUsed/>
    <w:rsid w:val="00BA62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25610">
      <w:bodyDiv w:val="1"/>
      <w:marLeft w:val="0"/>
      <w:marRight w:val="0"/>
      <w:marTop w:val="0"/>
      <w:marBottom w:val="0"/>
      <w:divBdr>
        <w:top w:val="none" w:sz="0" w:space="0" w:color="auto"/>
        <w:left w:val="none" w:sz="0" w:space="0" w:color="auto"/>
        <w:bottom w:val="none" w:sz="0" w:space="0" w:color="auto"/>
        <w:right w:val="none" w:sz="0" w:space="0" w:color="auto"/>
      </w:divBdr>
    </w:div>
    <w:div w:id="203248984">
      <w:bodyDiv w:val="1"/>
      <w:marLeft w:val="0"/>
      <w:marRight w:val="0"/>
      <w:marTop w:val="0"/>
      <w:marBottom w:val="0"/>
      <w:divBdr>
        <w:top w:val="none" w:sz="0" w:space="0" w:color="auto"/>
        <w:left w:val="none" w:sz="0" w:space="0" w:color="auto"/>
        <w:bottom w:val="none" w:sz="0" w:space="0" w:color="auto"/>
        <w:right w:val="none" w:sz="0" w:space="0" w:color="auto"/>
      </w:divBdr>
    </w:div>
    <w:div w:id="213471113">
      <w:bodyDiv w:val="1"/>
      <w:marLeft w:val="0"/>
      <w:marRight w:val="0"/>
      <w:marTop w:val="0"/>
      <w:marBottom w:val="0"/>
      <w:divBdr>
        <w:top w:val="none" w:sz="0" w:space="0" w:color="auto"/>
        <w:left w:val="none" w:sz="0" w:space="0" w:color="auto"/>
        <w:bottom w:val="none" w:sz="0" w:space="0" w:color="auto"/>
        <w:right w:val="none" w:sz="0" w:space="0" w:color="auto"/>
      </w:divBdr>
    </w:div>
    <w:div w:id="988365227">
      <w:bodyDiv w:val="1"/>
      <w:marLeft w:val="0"/>
      <w:marRight w:val="0"/>
      <w:marTop w:val="0"/>
      <w:marBottom w:val="0"/>
      <w:divBdr>
        <w:top w:val="none" w:sz="0" w:space="0" w:color="auto"/>
        <w:left w:val="none" w:sz="0" w:space="0" w:color="auto"/>
        <w:bottom w:val="none" w:sz="0" w:space="0" w:color="auto"/>
        <w:right w:val="none" w:sz="0" w:space="0" w:color="auto"/>
      </w:divBdr>
    </w:div>
    <w:div w:id="1040520096">
      <w:bodyDiv w:val="1"/>
      <w:marLeft w:val="0"/>
      <w:marRight w:val="0"/>
      <w:marTop w:val="0"/>
      <w:marBottom w:val="0"/>
      <w:divBdr>
        <w:top w:val="none" w:sz="0" w:space="0" w:color="auto"/>
        <w:left w:val="none" w:sz="0" w:space="0" w:color="auto"/>
        <w:bottom w:val="none" w:sz="0" w:space="0" w:color="auto"/>
        <w:right w:val="none" w:sz="0" w:space="0" w:color="auto"/>
      </w:divBdr>
    </w:div>
    <w:div w:id="1098449559">
      <w:bodyDiv w:val="1"/>
      <w:marLeft w:val="0"/>
      <w:marRight w:val="0"/>
      <w:marTop w:val="0"/>
      <w:marBottom w:val="0"/>
      <w:divBdr>
        <w:top w:val="none" w:sz="0" w:space="0" w:color="auto"/>
        <w:left w:val="none" w:sz="0" w:space="0" w:color="auto"/>
        <w:bottom w:val="none" w:sz="0" w:space="0" w:color="auto"/>
        <w:right w:val="none" w:sz="0" w:space="0" w:color="auto"/>
      </w:divBdr>
    </w:div>
    <w:div w:id="1690914091">
      <w:bodyDiv w:val="1"/>
      <w:marLeft w:val="0"/>
      <w:marRight w:val="0"/>
      <w:marTop w:val="0"/>
      <w:marBottom w:val="0"/>
      <w:divBdr>
        <w:top w:val="none" w:sz="0" w:space="0" w:color="auto"/>
        <w:left w:val="none" w:sz="0" w:space="0" w:color="auto"/>
        <w:bottom w:val="none" w:sz="0" w:space="0" w:color="auto"/>
        <w:right w:val="none" w:sz="0" w:space="0" w:color="auto"/>
      </w:divBdr>
    </w:div>
    <w:div w:id="1792822092">
      <w:bodyDiv w:val="1"/>
      <w:marLeft w:val="0"/>
      <w:marRight w:val="0"/>
      <w:marTop w:val="0"/>
      <w:marBottom w:val="0"/>
      <w:divBdr>
        <w:top w:val="none" w:sz="0" w:space="0" w:color="auto"/>
        <w:left w:val="none" w:sz="0" w:space="0" w:color="auto"/>
        <w:bottom w:val="none" w:sz="0" w:space="0" w:color="auto"/>
        <w:right w:val="none" w:sz="0" w:space="0" w:color="auto"/>
      </w:divBdr>
    </w:div>
    <w:div w:id="1825703817">
      <w:bodyDiv w:val="1"/>
      <w:marLeft w:val="0"/>
      <w:marRight w:val="0"/>
      <w:marTop w:val="0"/>
      <w:marBottom w:val="0"/>
      <w:divBdr>
        <w:top w:val="none" w:sz="0" w:space="0" w:color="auto"/>
        <w:left w:val="none" w:sz="0" w:space="0" w:color="auto"/>
        <w:bottom w:val="none" w:sz="0" w:space="0" w:color="auto"/>
        <w:right w:val="none" w:sz="0" w:space="0" w:color="auto"/>
      </w:divBdr>
    </w:div>
    <w:div w:id="202154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C_Collab_DocumentLanguage xmlns="f1d1c2da-75cb-41cb-baf6-7525fa9bd5bd">EP</EC_Collab_DocumentLanguage>
    <Assoc xmlns="f1d1c2da-75cb-41cb-baf6-7525fa9bd5bd"/>
    <DDL_x0020_Dir_x002e_ xmlns="f1d1c2da-75cb-41cb-baf6-7525fa9bd5bd">2022-08-16T22:00:00+00:00</DDL_x0020_Dir_x002e_>
    <CF xmlns="f1d1c2da-75cb-41cb-baf6-7525fa9bd5bd">Dir D</CF>
    <Contact_x0020_point xmlns="f1d1c2da-75cb-41cb-baf6-7525fa9bd5bd">A. Cernea</Contact_x0020_point>
    <Event_x0020_date xmlns="f1d1c2da-75cb-41cb-baf6-7525fa9bd5bd">2022-08-16T22:00:00+00:00</Event_x0020_date>
    <SharedWithUsers xmlns="1d142d18-c287-4f17-9874-70eb1e228694">
      <UserInfo>
        <DisplayName>EC - All</DisplayName>
        <AccountId>3481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F11F20A20A8004F886D479660A56DBE" ma:contentTypeVersion="18" ma:contentTypeDescription="Create a new document in this library." ma:contentTypeScope="" ma:versionID="97277cb5df114d8a9a8c6a883929674b">
  <xsd:schema xmlns:xsd="http://www.w3.org/2001/XMLSchema" xmlns:xs="http://www.w3.org/2001/XMLSchema" xmlns:p="http://schemas.microsoft.com/office/2006/metadata/properties" xmlns:ns3="f1d1c2da-75cb-41cb-baf6-7525fa9bd5bd" xmlns:ns4="1d142d18-c287-4f17-9874-70eb1e228694" targetNamespace="http://schemas.microsoft.com/office/2006/metadata/properties" ma:root="true" ma:fieldsID="30aacb29aec955c14511bab5f96e938a" ns3:_="" ns4:_="">
    <xsd:import namespace="f1d1c2da-75cb-41cb-baf6-7525fa9bd5bd"/>
    <xsd:import namespace="1d142d18-c287-4f17-9874-70eb1e228694"/>
    <xsd:element name="properties">
      <xsd:complexType>
        <xsd:sequence>
          <xsd:element name="documentManagement">
            <xsd:complexType>
              <xsd:all>
                <xsd:element ref="ns3:EC_Collab_DocumentLanguage"/>
                <xsd:element ref="ns3:CF" minOccurs="0"/>
                <xsd:element ref="ns3:Assoc" minOccurs="0"/>
                <xsd:element ref="ns3:Event_x0020_date"/>
                <xsd:element ref="ns3:Contact_x0020_point"/>
                <xsd:element ref="ns3:DDL_x0020_Dir_x002e_"/>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d1c2da-75cb-41cb-baf6-7525fa9bd5bd" elementFormDefault="qualified">
    <xsd:import namespace="http://schemas.microsoft.com/office/2006/documentManagement/types"/>
    <xsd:import namespace="http://schemas.microsoft.com/office/infopath/2007/PartnerControls"/>
    <xsd:element name="EC_Collab_DocumentLanguage" ma:index="12" ma:displayName="Institution" ma:format="Dropdown" ma:internalName="EC_Collab_DocumentLanguage">
      <xsd:simpleType>
        <xsd:restriction base="dms:Choice">
          <xsd:enumeration value="Choose"/>
          <xsd:enumeration value="Council"/>
          <xsd:enumeration value="EP"/>
          <xsd:enumeration value="EESC"/>
          <xsd:enumeration value="EPPO"/>
          <xsd:enumeration value="GRI"/>
          <xsd:enumeration value="Presidency"/>
          <xsd:enumeration value="CoR"/>
          <xsd:enumeration value="Other"/>
        </xsd:restriction>
      </xsd:simpleType>
    </xsd:element>
    <xsd:element name="CF" ma:index="13" nillable="true" ma:displayName="CF" ma:format="Dropdown" ma:internalName="CF">
      <xsd:simpleType>
        <xsd:restriction base="dms:Choice">
          <xsd:enumeration value="DG"/>
          <xsd:enumeration value="Dir A"/>
          <xsd:enumeration value="Dir B"/>
          <xsd:enumeration value="Dir C"/>
          <xsd:enumeration value="Dir D"/>
          <xsd:enumeration value="Dir R"/>
          <xsd:enumeration value="A1"/>
          <xsd:enumeration value="A2"/>
          <xsd:enumeration value="A3"/>
          <xsd:enumeration value="A4"/>
          <xsd:enumeration value="A5"/>
          <xsd:enumeration value="B1"/>
          <xsd:enumeration value="B2"/>
          <xsd:enumeration value="B3"/>
          <xsd:enumeration value="B4"/>
          <xsd:enumeration value="B-TF"/>
          <xsd:enumeration value="C1"/>
          <xsd:enumeration value="C2"/>
          <xsd:enumeration value="C3"/>
          <xsd:enumeration value="C4"/>
          <xsd:enumeration value="C5"/>
          <xsd:enumeration value="D1"/>
          <xsd:enumeration value="D2"/>
          <xsd:enumeration value="D3"/>
          <xsd:enumeration value="D4"/>
          <xsd:enumeration value="R1"/>
          <xsd:enumeration value="R2"/>
          <xsd:enumeration value="R3"/>
        </xsd:restriction>
      </xsd:simpleType>
    </xsd:element>
    <xsd:element name="Assoc" ma:index="14" nillable="true" ma:displayName="Assoc" ma:internalName="Assoc">
      <xsd:complexType>
        <xsd:complexContent>
          <xsd:extension base="dms:MultiChoice">
            <xsd:sequence>
              <xsd:element name="Value" maxOccurs="unbounded" minOccurs="0" nillable="true">
                <xsd:simpleType>
                  <xsd:restriction base="dms:Choice">
                    <xsd:enumeration value="DG"/>
                    <xsd:enumeration value="Dir A"/>
                    <xsd:enumeration value="Dir B"/>
                    <xsd:enumeration value="Dir C"/>
                    <xsd:enumeration value="Dir D"/>
                    <xsd:enumeration value="Dir R"/>
                    <xsd:enumeration value="A1"/>
                    <xsd:enumeration value="A2"/>
                    <xsd:enumeration value="A3"/>
                    <xsd:enumeration value="A4"/>
                    <xsd:enumeration value="A5"/>
                    <xsd:enumeration value="B1"/>
                    <xsd:enumeration value="B2"/>
                    <xsd:enumeration value="B3"/>
                    <xsd:enumeration value="B4"/>
                    <xsd:enumeration value="B-TF"/>
                    <xsd:enumeration value="C1"/>
                    <xsd:enumeration value="C2"/>
                    <xsd:enumeration value="C3"/>
                    <xsd:enumeration value="C4"/>
                    <xsd:enumeration value="C5"/>
                    <xsd:enumeration value="D1"/>
                    <xsd:enumeration value="D2"/>
                    <xsd:enumeration value="D3"/>
                    <xsd:enumeration value="D4"/>
                    <xsd:enumeration value="R1"/>
                    <xsd:enumeration value="R2"/>
                    <xsd:enumeration value="R3"/>
                  </xsd:restriction>
                </xsd:simpleType>
              </xsd:element>
            </xsd:sequence>
          </xsd:extension>
        </xsd:complexContent>
      </xsd:complexType>
    </xsd:element>
    <xsd:element name="Event_x0020_date" ma:index="15" ma:displayName="Event date" ma:format="DateOnly" ma:internalName="Event_x0020_date">
      <xsd:simpleType>
        <xsd:restriction base="dms:DateTime"/>
      </xsd:simpleType>
    </xsd:element>
    <xsd:element name="Contact_x0020_point" ma:index="16" ma:displayName="Contact point" ma:format="Dropdown" ma:internalName="Contact_x0020_point">
      <xsd:simpleType>
        <xsd:restriction base="dms:Choice">
          <xsd:enumeration value="M. Whitehouse"/>
          <xsd:enumeration value="A. Cernea"/>
          <xsd:enumeration value="A. Kotyashko"/>
          <xsd:enumeration value="Directorate"/>
          <xsd:enumeration value="DG"/>
        </xsd:restriction>
      </xsd:simpleType>
    </xsd:element>
    <xsd:element name="DDL_x0020_Dir_x002e_" ma:index="17" ma:displayName="DDL Dir." ma:format="DateOnly" ma:internalName="DDL_x0020_Dir_x002e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d142d18-c287-4f17-9874-70eb1e22869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943DA-DE4C-4DC0-9DFF-D41893FE6546}">
  <ds:schemaRefs>
    <ds:schemaRef ds:uri="http://schemas.microsoft.com/sharepoint/v3/contenttype/forms"/>
  </ds:schemaRefs>
</ds:datastoreItem>
</file>

<file path=customXml/itemProps2.xml><?xml version="1.0" encoding="utf-8"?>
<ds:datastoreItem xmlns:ds="http://schemas.openxmlformats.org/officeDocument/2006/customXml" ds:itemID="{5B3B5DDA-3412-408C-895A-21ECADAF3AE7}">
  <ds:schemaRefs>
    <ds:schemaRef ds:uri="http://schemas.microsoft.com/office/2006/metadata/properties"/>
    <ds:schemaRef ds:uri="1d142d18-c287-4f17-9874-70eb1e228694"/>
    <ds:schemaRef ds:uri="f1d1c2da-75cb-41cb-baf6-7525fa9bd5b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3379CD4C-0856-46BA-A692-8429A11E5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d1c2da-75cb-41cb-baf6-7525fa9bd5bd"/>
    <ds:schemaRef ds:uri="1d142d18-c287-4f17-9874-70eb1e2286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FC92BA-AF13-4CA8-8CEA-F685049F5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1002</Words>
  <Characters>5272</Characters>
  <Application>Microsoft Office Word</Application>
  <DocSecurity>0</DocSecurity>
  <Lines>79</Lines>
  <Paragraphs>24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SANITERNIK Rafal (TAXUD)</dc:creator>
  <cp:keywords/>
  <dc:description/>
  <cp:lastModifiedBy>DODEKOVA Gabriela (SG)</cp:lastModifiedBy>
  <cp:revision>2</cp:revision>
  <dcterms:created xsi:type="dcterms:W3CDTF">2022-09-13T19:24:00Z</dcterms:created>
  <dcterms:modified xsi:type="dcterms:W3CDTF">2022-09-13T19:24:00Z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0x010100258AA79CEB83498886A3A0868112325000CF11F20A20A8004F886D479660A56DBE</vt:lpwstr>
  </property>
  <property fmtid="{D5CDD505-2E9C-101B-9397-08002B2CF9AE}" pid="3" name="MSIP_Label_6bd9ddd1-4d20-43f6-abfa-fc3c07406f94_Enabled">
    <vt:lpwstr>true</vt:lpwstr>
  </property>
  <property fmtid="{D5CDD505-2E9C-101B-9397-08002B2CF9AE}" pid="4" name="MSIP_Label_6bd9ddd1-4d20-43f6-abfa-fc3c07406f94_SetDate">
    <vt:lpwstr>2022-07-13T08:21:39Z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aa9e07cb-04d7-400b-9cdf-67832cbbcdc2</vt:lpwstr>
  </property>
  <property fmtid="{D5CDD505-2E9C-101B-9397-08002B2CF9AE}" pid="9" name="MSIP_Label_6bd9ddd1-4d20-43f6-abfa-fc3c07406f94_ContentBits">
    <vt:lpwstr>0</vt:lpwstr>
  </property>
</Properties>
</file>