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B2B64" w14:textId="412268F0" w:rsidR="00963420" w:rsidRPr="006043DD" w:rsidRDefault="00963420" w:rsidP="00C202F9">
      <w:pPr>
        <w:spacing w:after="600"/>
        <w:jc w:val="center"/>
        <w:rPr>
          <w:rFonts w:ascii="Times New Roman" w:hAnsi="Times New Roman"/>
          <w:b/>
          <w:bCs/>
          <w:szCs w:val="24"/>
        </w:rPr>
      </w:pPr>
      <w:r w:rsidRPr="006043DD">
        <w:rPr>
          <w:rFonts w:ascii="Times New Roman" w:hAnsi="Times New Roman"/>
          <w:b/>
          <w:szCs w:val="24"/>
        </w:rPr>
        <w:t xml:space="preserve">Follow-up to the European Parliament non-legislative resolution </w:t>
      </w:r>
      <w:r w:rsidRPr="006043DD">
        <w:rPr>
          <w:rFonts w:ascii="Times New Roman" w:hAnsi="Times New Roman"/>
          <w:b/>
          <w:bCs/>
          <w:szCs w:val="24"/>
        </w:rPr>
        <w:t xml:space="preserve">on </w:t>
      </w:r>
      <w:r w:rsidR="0077644E" w:rsidRPr="006043DD">
        <w:rPr>
          <w:rFonts w:ascii="Times New Roman" w:hAnsi="Times New Roman"/>
          <w:b/>
          <w:bCs/>
          <w:szCs w:val="24"/>
        </w:rPr>
        <w:t xml:space="preserve">the </w:t>
      </w:r>
      <w:r w:rsidR="00177A84">
        <w:rPr>
          <w:rFonts w:ascii="Times New Roman" w:hAnsi="Times New Roman"/>
          <w:b/>
          <w:bCs/>
          <w:szCs w:val="24"/>
        </w:rPr>
        <w:br/>
      </w:r>
      <w:r w:rsidR="0077644E" w:rsidRPr="006043DD">
        <w:rPr>
          <w:rFonts w:ascii="Times New Roman" w:hAnsi="Times New Roman"/>
          <w:b/>
          <w:bCs/>
          <w:szCs w:val="24"/>
        </w:rPr>
        <w:t xml:space="preserve">EU </w:t>
      </w:r>
      <w:r w:rsidR="0077644E" w:rsidRPr="006043DD">
        <w:rPr>
          <w:rFonts w:ascii="Times New Roman" w:hAnsi="Times New Roman"/>
          <w:b/>
        </w:rPr>
        <w:t>candidate status of Ukraine, the Republic of Moldova and Georgia</w:t>
      </w:r>
    </w:p>
    <w:p w14:paraId="7DE71177" w14:textId="14810D4F" w:rsidR="00D76789" w:rsidRPr="00C202F9" w:rsidRDefault="00D76789" w:rsidP="0052072B">
      <w:pPr>
        <w:pStyle w:val="Default"/>
        <w:numPr>
          <w:ilvl w:val="0"/>
          <w:numId w:val="34"/>
        </w:numPr>
        <w:spacing w:after="240"/>
        <w:ind w:left="567" w:hanging="567"/>
        <w:jc w:val="both"/>
        <w:rPr>
          <w:rFonts w:eastAsia="Calibri"/>
          <w:bCs/>
          <w:i/>
          <w:lang w:val="en-GB" w:eastAsia="en-US"/>
        </w:rPr>
      </w:pPr>
      <w:r w:rsidRPr="00FE57DD">
        <w:rPr>
          <w:b/>
          <w:lang w:val="en-IE"/>
        </w:rPr>
        <w:t>Resolution tabled pursuant to Rules 1</w:t>
      </w:r>
      <w:r>
        <w:rPr>
          <w:b/>
          <w:lang w:val="en-IE"/>
        </w:rPr>
        <w:t>3</w:t>
      </w:r>
      <w:r w:rsidRPr="00FE57DD">
        <w:rPr>
          <w:b/>
          <w:lang w:val="en-IE"/>
        </w:rPr>
        <w:t>2(2) and (</w:t>
      </w:r>
      <w:r>
        <w:rPr>
          <w:b/>
          <w:lang w:val="en-IE"/>
        </w:rPr>
        <w:t>4</w:t>
      </w:r>
      <w:r w:rsidRPr="00FE57DD">
        <w:rPr>
          <w:b/>
          <w:lang w:val="en-IE"/>
        </w:rPr>
        <w:t>) of the European Parliament’s Rules of procedure</w:t>
      </w:r>
    </w:p>
    <w:p w14:paraId="4F7728B5" w14:textId="4EE35C3F" w:rsidR="00963420" w:rsidRPr="006043DD" w:rsidRDefault="00063DCE" w:rsidP="0052072B">
      <w:pPr>
        <w:pStyle w:val="Default"/>
        <w:numPr>
          <w:ilvl w:val="0"/>
          <w:numId w:val="34"/>
        </w:numPr>
        <w:spacing w:after="240"/>
        <w:ind w:left="567" w:hanging="567"/>
        <w:jc w:val="both"/>
        <w:rPr>
          <w:rFonts w:eastAsia="Calibri"/>
          <w:bCs/>
          <w:i/>
          <w:lang w:val="en-GB" w:eastAsia="en-US"/>
        </w:rPr>
      </w:pPr>
      <w:r w:rsidRPr="006043DD">
        <w:rPr>
          <w:b/>
          <w:color w:val="auto"/>
          <w:lang w:val="en-GB"/>
        </w:rPr>
        <w:t>R</w:t>
      </w:r>
      <w:r w:rsidR="00963420" w:rsidRPr="006043DD">
        <w:rPr>
          <w:b/>
          <w:color w:val="auto"/>
          <w:lang w:val="en-GB"/>
        </w:rPr>
        <w:t xml:space="preserve">eference number: </w:t>
      </w:r>
      <w:r w:rsidR="0005010F" w:rsidRPr="006043DD">
        <w:rPr>
          <w:rFonts w:eastAsia="Calibri"/>
          <w:bCs/>
          <w:lang w:val="en-GB" w:eastAsia="en-US"/>
        </w:rPr>
        <w:t>2022/2716 (RSP)</w:t>
      </w:r>
      <w:r w:rsidR="00D76789">
        <w:rPr>
          <w:rFonts w:eastAsia="Calibri"/>
          <w:bCs/>
          <w:lang w:val="en-GB" w:eastAsia="en-US"/>
        </w:rPr>
        <w:t xml:space="preserve"> / RC9-0331/2022 </w:t>
      </w:r>
      <w:r w:rsidR="0005010F" w:rsidRPr="006043DD">
        <w:rPr>
          <w:rFonts w:eastAsia="Calibri"/>
          <w:bCs/>
          <w:lang w:val="en-GB" w:eastAsia="en-US"/>
        </w:rPr>
        <w:t xml:space="preserve">/ </w:t>
      </w:r>
      <w:r w:rsidR="0052072B" w:rsidRPr="006043DD">
        <w:rPr>
          <w:rFonts w:eastAsia="Calibri"/>
          <w:bCs/>
          <w:lang w:val="en-GB" w:eastAsia="en-US"/>
        </w:rPr>
        <w:t>P9_TA(2022)0249</w:t>
      </w:r>
    </w:p>
    <w:p w14:paraId="29617A7A" w14:textId="0356ADE3" w:rsidR="001F0B89" w:rsidRPr="006043DD" w:rsidRDefault="00963420" w:rsidP="0084310E">
      <w:pPr>
        <w:numPr>
          <w:ilvl w:val="0"/>
          <w:numId w:val="34"/>
        </w:numPr>
        <w:ind w:left="567" w:hanging="567"/>
        <w:rPr>
          <w:rFonts w:ascii="Times New Roman" w:hAnsi="Times New Roman"/>
          <w:szCs w:val="24"/>
        </w:rPr>
      </w:pPr>
      <w:r w:rsidRPr="006043DD">
        <w:rPr>
          <w:rFonts w:ascii="Times New Roman" w:hAnsi="Times New Roman"/>
          <w:b/>
          <w:szCs w:val="24"/>
        </w:rPr>
        <w:t>Date of adoption of the resolution:</w:t>
      </w:r>
      <w:r w:rsidRPr="006043DD">
        <w:rPr>
          <w:rFonts w:ascii="Times New Roman" w:hAnsi="Times New Roman"/>
          <w:szCs w:val="24"/>
        </w:rPr>
        <w:t xml:space="preserve"> </w:t>
      </w:r>
      <w:r w:rsidR="0052072B" w:rsidRPr="006043DD">
        <w:rPr>
          <w:rFonts w:ascii="Times New Roman" w:hAnsi="Times New Roman"/>
          <w:szCs w:val="24"/>
        </w:rPr>
        <w:t>23</w:t>
      </w:r>
      <w:r w:rsidR="00D76789">
        <w:rPr>
          <w:rFonts w:ascii="Times New Roman" w:hAnsi="Times New Roman"/>
          <w:szCs w:val="24"/>
        </w:rPr>
        <w:t xml:space="preserve"> June </w:t>
      </w:r>
      <w:r w:rsidR="0052072B" w:rsidRPr="006043DD">
        <w:rPr>
          <w:rFonts w:ascii="Times New Roman" w:hAnsi="Times New Roman"/>
          <w:szCs w:val="24"/>
        </w:rPr>
        <w:t>2022</w:t>
      </w:r>
    </w:p>
    <w:p w14:paraId="1BA4622E" w14:textId="2F599E81" w:rsidR="00963420" w:rsidRPr="006043DD" w:rsidRDefault="00963420" w:rsidP="0084310E">
      <w:pPr>
        <w:numPr>
          <w:ilvl w:val="0"/>
          <w:numId w:val="34"/>
        </w:numPr>
        <w:ind w:left="567" w:hanging="567"/>
        <w:rPr>
          <w:rFonts w:ascii="Times New Roman" w:hAnsi="Times New Roman"/>
          <w:szCs w:val="24"/>
        </w:rPr>
      </w:pPr>
      <w:r w:rsidRPr="006043DD">
        <w:rPr>
          <w:rFonts w:ascii="Times New Roman" w:hAnsi="Times New Roman"/>
          <w:b/>
          <w:szCs w:val="24"/>
        </w:rPr>
        <w:t>Competent Parliamentary Committee:</w:t>
      </w:r>
      <w:r w:rsidR="0005010F" w:rsidRPr="006043DD">
        <w:rPr>
          <w:rFonts w:ascii="Times New Roman" w:hAnsi="Times New Roman"/>
          <w:b/>
          <w:szCs w:val="24"/>
        </w:rPr>
        <w:t xml:space="preserve"> </w:t>
      </w:r>
      <w:r w:rsidR="00D76789">
        <w:rPr>
          <w:rFonts w:ascii="Times New Roman" w:hAnsi="Times New Roman"/>
          <w:szCs w:val="24"/>
        </w:rPr>
        <w:t>N/A</w:t>
      </w:r>
    </w:p>
    <w:p w14:paraId="0C57399C" w14:textId="0040134F" w:rsidR="001E7C9D" w:rsidRPr="006043DD" w:rsidRDefault="00963420" w:rsidP="00705CE9">
      <w:pPr>
        <w:widowControl w:val="0"/>
        <w:numPr>
          <w:ilvl w:val="0"/>
          <w:numId w:val="34"/>
        </w:numPr>
        <w:ind w:left="567" w:hanging="567"/>
        <w:rPr>
          <w:rFonts w:ascii="Times New Roman" w:hAnsi="Times New Roman"/>
          <w:i/>
          <w:szCs w:val="24"/>
        </w:rPr>
      </w:pPr>
      <w:r w:rsidRPr="006043DD">
        <w:rPr>
          <w:rFonts w:ascii="Times New Roman" w:hAnsi="Times New Roman"/>
          <w:b/>
          <w:szCs w:val="24"/>
        </w:rPr>
        <w:t>Brief analysis/</w:t>
      </w:r>
      <w:r w:rsidR="00AB3960" w:rsidRPr="006043DD">
        <w:rPr>
          <w:rFonts w:ascii="Times New Roman" w:hAnsi="Times New Roman"/>
          <w:b/>
          <w:szCs w:val="24"/>
        </w:rPr>
        <w:t xml:space="preserve"> </w:t>
      </w:r>
      <w:r w:rsidRPr="006043DD">
        <w:rPr>
          <w:rFonts w:ascii="Times New Roman" w:hAnsi="Times New Roman"/>
          <w:b/>
          <w:szCs w:val="24"/>
        </w:rPr>
        <w:t>assessment of the resolution and requests made in it:</w:t>
      </w:r>
      <w:r w:rsidR="00146971" w:rsidRPr="006043DD">
        <w:rPr>
          <w:rFonts w:ascii="Times New Roman" w:hAnsi="Times New Roman"/>
          <w:b/>
          <w:szCs w:val="24"/>
        </w:rPr>
        <w:t xml:space="preserve"> </w:t>
      </w:r>
    </w:p>
    <w:p w14:paraId="5351F361" w14:textId="77777777" w:rsidR="007B63D8" w:rsidRPr="006043DD" w:rsidRDefault="007B63D8" w:rsidP="007B63D8">
      <w:pPr>
        <w:widowControl w:val="0"/>
        <w:spacing w:after="120"/>
        <w:rPr>
          <w:rFonts w:ascii="Times New Roman" w:hAnsi="Times New Roman"/>
          <w:szCs w:val="24"/>
        </w:rPr>
      </w:pPr>
      <w:r w:rsidRPr="006043DD">
        <w:rPr>
          <w:rFonts w:ascii="Times New Roman" w:hAnsi="Times New Roman"/>
          <w:szCs w:val="24"/>
        </w:rPr>
        <w:t xml:space="preserve">The resolution adopted by the European Parliament welcomes the membership applications of Ukraine, Republic of Moldova (hereinafter Moldova) and Georgia and is supportive of the countries’ aspirations to become EU members. The resolution calls on the Member States to grant EU candidate status to Ukraine and Moldova and to do the same for Georgia after the country fulfils the conditions outlined in the relevant Commission’s Opinion. The document stresses that such decision would reinforce the European Union’s role as a geopolitical actor and would send a clear signal on the EU’s stance in the context of Russia’s war of aggression against Ukraine. </w:t>
      </w:r>
    </w:p>
    <w:p w14:paraId="09F2B6F8" w14:textId="77777777" w:rsidR="007B63D8" w:rsidRPr="006043DD" w:rsidRDefault="007B63D8" w:rsidP="007B63D8">
      <w:pPr>
        <w:widowControl w:val="0"/>
        <w:spacing w:after="120"/>
        <w:rPr>
          <w:rFonts w:ascii="Times New Roman" w:hAnsi="Times New Roman"/>
          <w:szCs w:val="24"/>
        </w:rPr>
      </w:pPr>
      <w:r w:rsidRPr="006043DD">
        <w:rPr>
          <w:rFonts w:ascii="Times New Roman" w:hAnsi="Times New Roman"/>
          <w:szCs w:val="24"/>
        </w:rPr>
        <w:t xml:space="preserve">The resolution calls for the revival of the EU enlargement process and to maintain the commitments towards the Western Balkans with more dynamism. It also recalls that the EU enlargement process remains merit-based and requires the implementation of relevant reforms and of the EU </w:t>
      </w:r>
      <w:r w:rsidRPr="00DA147D">
        <w:rPr>
          <w:rFonts w:ascii="Times New Roman" w:hAnsi="Times New Roman"/>
          <w:i/>
          <w:iCs/>
          <w:szCs w:val="24"/>
        </w:rPr>
        <w:t>acquis</w:t>
      </w:r>
      <w:r w:rsidRPr="006043DD">
        <w:rPr>
          <w:rFonts w:ascii="Times New Roman" w:hAnsi="Times New Roman"/>
          <w:szCs w:val="24"/>
        </w:rPr>
        <w:t xml:space="preserve">. </w:t>
      </w:r>
    </w:p>
    <w:p w14:paraId="3F61FCB2" w14:textId="77777777" w:rsidR="007B63D8" w:rsidRPr="006043DD" w:rsidRDefault="007B63D8" w:rsidP="007B63D8">
      <w:pPr>
        <w:widowControl w:val="0"/>
        <w:spacing w:after="120"/>
        <w:rPr>
          <w:rFonts w:ascii="Times New Roman" w:hAnsi="Times New Roman"/>
          <w:szCs w:val="24"/>
        </w:rPr>
      </w:pPr>
      <w:r w:rsidRPr="006043DD">
        <w:rPr>
          <w:rFonts w:ascii="Times New Roman" w:hAnsi="Times New Roman"/>
          <w:szCs w:val="24"/>
        </w:rPr>
        <w:t xml:space="preserve">The resolution calls upon the European Commission and the Member States to consider additional resources necessary to prepare their internal structure and provide technical assistance to Ukraine, Moldova and Georgia. It also calls for an update of the Eastern Partnership (EaP) policy in order for it to remain a meaningful instrument in the current context and stresses the need for regional cooperation between the EaP countries. </w:t>
      </w:r>
    </w:p>
    <w:p w14:paraId="1F1F6B0E" w14:textId="76C47890" w:rsidR="00EC4D56" w:rsidRPr="006043DD" w:rsidRDefault="007B63D8" w:rsidP="00C202F9">
      <w:pPr>
        <w:widowControl w:val="0"/>
        <w:spacing w:after="120"/>
        <w:rPr>
          <w:rFonts w:ascii="Times New Roman" w:hAnsi="Times New Roman"/>
          <w:szCs w:val="24"/>
        </w:rPr>
      </w:pPr>
      <w:r w:rsidRPr="006043DD">
        <w:rPr>
          <w:rFonts w:ascii="Times New Roman" w:hAnsi="Times New Roman"/>
          <w:szCs w:val="24"/>
        </w:rPr>
        <w:t>Finally, the resolution calls upon the European Commission and the Council to establish an enhanced structured political dialogue with the three countries to advance their gradual inclusion in the EU institutions’ work. It also states that the prospect of full EU membership for those countries that wish to become EU members is in the EU’s own interest.</w:t>
      </w:r>
    </w:p>
    <w:p w14:paraId="135AA81E" w14:textId="45FE9749" w:rsidR="00963420" w:rsidRPr="006043DD" w:rsidRDefault="00963420" w:rsidP="0084310E">
      <w:pPr>
        <w:widowControl w:val="0"/>
        <w:numPr>
          <w:ilvl w:val="0"/>
          <w:numId w:val="34"/>
        </w:numPr>
        <w:ind w:left="567" w:hanging="567"/>
        <w:rPr>
          <w:rFonts w:ascii="Times New Roman" w:hAnsi="Times New Roman"/>
          <w:b/>
          <w:szCs w:val="24"/>
        </w:rPr>
      </w:pPr>
      <w:r w:rsidRPr="006043DD">
        <w:rPr>
          <w:rFonts w:ascii="Times New Roman" w:hAnsi="Times New Roman"/>
          <w:b/>
          <w:szCs w:val="24"/>
        </w:rPr>
        <w:t>Response to requests and overview of action taken, or intended to be taken, by the Commission:</w:t>
      </w:r>
      <w:r w:rsidR="00146971" w:rsidRPr="006043DD">
        <w:rPr>
          <w:rFonts w:ascii="Times New Roman" w:hAnsi="Times New Roman"/>
          <w:b/>
          <w:szCs w:val="24"/>
        </w:rPr>
        <w:t xml:space="preserve"> </w:t>
      </w:r>
    </w:p>
    <w:p w14:paraId="29EC2D1C" w14:textId="793C7D8F" w:rsidR="00177A84" w:rsidRDefault="007B63D8" w:rsidP="00C202F9">
      <w:pPr>
        <w:widowControl w:val="0"/>
        <w:spacing w:after="120"/>
        <w:rPr>
          <w:rFonts w:ascii="Times New Roman" w:hAnsi="Times New Roman"/>
          <w:i/>
          <w:szCs w:val="24"/>
        </w:rPr>
      </w:pPr>
      <w:r w:rsidRPr="006043DD">
        <w:rPr>
          <w:rFonts w:ascii="Times New Roman" w:hAnsi="Times New Roman"/>
          <w:szCs w:val="24"/>
        </w:rPr>
        <w:t>On 23 June 2022, the European Council recognised the European perspective of Ukraine, the Republic of Moldova and Georgia</w:t>
      </w:r>
      <w:r>
        <w:rPr>
          <w:rFonts w:ascii="Times New Roman" w:hAnsi="Times New Roman"/>
          <w:szCs w:val="24"/>
        </w:rPr>
        <w:t xml:space="preserve"> and stated that the future of those countries </w:t>
      </w:r>
      <w:r w:rsidRPr="007C4A69">
        <w:rPr>
          <w:rFonts w:ascii="Times New Roman" w:hAnsi="Times New Roman"/>
          <w:szCs w:val="24"/>
        </w:rPr>
        <w:t>and their citizens lies within the European Union.</w:t>
      </w:r>
      <w:r w:rsidRPr="006043DD">
        <w:rPr>
          <w:rFonts w:ascii="Times New Roman" w:hAnsi="Times New Roman"/>
          <w:szCs w:val="24"/>
        </w:rPr>
        <w:t xml:space="preserve"> It also decided to grant the status of candidate country to Ukraine and to Moldova</w:t>
      </w:r>
      <w:r>
        <w:rPr>
          <w:rFonts w:ascii="Times New Roman" w:hAnsi="Times New Roman"/>
          <w:szCs w:val="24"/>
        </w:rPr>
        <w:t xml:space="preserve"> and invited the Commission to </w:t>
      </w:r>
      <w:r w:rsidRPr="009F0599">
        <w:rPr>
          <w:rFonts w:ascii="Times New Roman" w:hAnsi="Times New Roman"/>
          <w:szCs w:val="24"/>
        </w:rPr>
        <w:t xml:space="preserve">report to the Council on the fulfilment of the conditions specified in the Commission’s </w:t>
      </w:r>
      <w:r>
        <w:rPr>
          <w:rFonts w:ascii="Times New Roman" w:hAnsi="Times New Roman"/>
          <w:szCs w:val="24"/>
        </w:rPr>
        <w:t>O</w:t>
      </w:r>
      <w:r w:rsidRPr="009F0599">
        <w:rPr>
          <w:rFonts w:ascii="Times New Roman" w:hAnsi="Times New Roman"/>
          <w:szCs w:val="24"/>
        </w:rPr>
        <w:t>pinions on the respective membership applications as part of its regular enlargement package. The Council will decide on further steps once all</w:t>
      </w:r>
      <w:r>
        <w:rPr>
          <w:rFonts w:ascii="Times New Roman" w:hAnsi="Times New Roman"/>
          <w:szCs w:val="24"/>
        </w:rPr>
        <w:t xml:space="preserve"> these conditions are fully met. </w:t>
      </w:r>
      <w:r w:rsidRPr="006043DD">
        <w:rPr>
          <w:rFonts w:ascii="Times New Roman" w:hAnsi="Times New Roman"/>
          <w:szCs w:val="24"/>
        </w:rPr>
        <w:t>Regarding Georgia, the European Council expressed readiness to consider granting the status of candidate country once priorities specified in the Commission’s Opinion on Georgia’s membership are addressed. It recalled that the accession process will depend on successfully meeting the Copenhagen criteria and taking into consideration the EU’s capacity to absorb new members</w:t>
      </w:r>
      <w:r>
        <w:rPr>
          <w:rFonts w:ascii="Times New Roman" w:hAnsi="Times New Roman"/>
          <w:szCs w:val="24"/>
        </w:rPr>
        <w:t xml:space="preserve"> </w:t>
      </w:r>
      <w:r w:rsidRPr="00F6100A">
        <w:rPr>
          <w:rFonts w:ascii="Times New Roman" w:hAnsi="Times New Roman"/>
          <w:i/>
          <w:szCs w:val="24"/>
        </w:rPr>
        <w:t>(para</w:t>
      </w:r>
      <w:r>
        <w:rPr>
          <w:rFonts w:ascii="Times New Roman" w:hAnsi="Times New Roman"/>
          <w:i/>
          <w:szCs w:val="24"/>
        </w:rPr>
        <w:t>graphs</w:t>
      </w:r>
      <w:r w:rsidRPr="00F6100A">
        <w:rPr>
          <w:rFonts w:ascii="Times New Roman" w:hAnsi="Times New Roman"/>
          <w:i/>
          <w:szCs w:val="24"/>
        </w:rPr>
        <w:t xml:space="preserve"> 3</w:t>
      </w:r>
      <w:r>
        <w:rPr>
          <w:rFonts w:ascii="Times New Roman" w:hAnsi="Times New Roman"/>
          <w:i/>
          <w:szCs w:val="24"/>
        </w:rPr>
        <w:t xml:space="preserve"> and 7</w:t>
      </w:r>
      <w:r w:rsidRPr="00F6100A">
        <w:rPr>
          <w:rFonts w:ascii="Times New Roman" w:hAnsi="Times New Roman"/>
          <w:i/>
          <w:szCs w:val="24"/>
        </w:rPr>
        <w:t>)</w:t>
      </w:r>
      <w:r>
        <w:rPr>
          <w:rFonts w:ascii="Times New Roman" w:hAnsi="Times New Roman"/>
          <w:i/>
          <w:szCs w:val="24"/>
        </w:rPr>
        <w:t>.</w:t>
      </w:r>
    </w:p>
    <w:p w14:paraId="648B6229" w14:textId="040F8349" w:rsidR="007B63D8" w:rsidRPr="00C6639A" w:rsidRDefault="00177A84" w:rsidP="00C202F9">
      <w:pPr>
        <w:widowControl w:val="0"/>
        <w:spacing w:after="120"/>
        <w:rPr>
          <w:rFonts w:ascii="Times New Roman" w:hAnsi="Times New Roman"/>
          <w:szCs w:val="24"/>
        </w:rPr>
      </w:pPr>
      <w:r>
        <w:rPr>
          <w:rFonts w:ascii="Times New Roman" w:hAnsi="Times New Roman"/>
          <w:i/>
          <w:szCs w:val="24"/>
        </w:rPr>
        <w:br w:type="page"/>
      </w:r>
      <w:bookmarkStart w:id="0" w:name="_GoBack"/>
      <w:bookmarkEnd w:id="0"/>
      <w:r w:rsidR="007B63D8" w:rsidRPr="00625980">
        <w:rPr>
          <w:rFonts w:ascii="Times New Roman" w:hAnsi="Times New Roman"/>
          <w:szCs w:val="24"/>
        </w:rPr>
        <w:t xml:space="preserve">All three countries have demonstrated strong political will to advance with the European </w:t>
      </w:r>
      <w:r w:rsidR="007B63D8" w:rsidRPr="00625980">
        <w:rPr>
          <w:rFonts w:ascii="Times New Roman" w:hAnsi="Times New Roman"/>
          <w:szCs w:val="24"/>
        </w:rPr>
        <w:lastRenderedPageBreak/>
        <w:t>path having started the necessary preparations to comply with the Opinions.</w:t>
      </w:r>
      <w:r w:rsidR="007B63D8" w:rsidRPr="00493FFF">
        <w:rPr>
          <w:rFonts w:ascii="Times New Roman" w:hAnsi="Times New Roman"/>
          <w:szCs w:val="24"/>
          <w:lang w:eastAsia="de-AT"/>
        </w:rPr>
        <w:t xml:space="preserve"> </w:t>
      </w:r>
      <w:r w:rsidR="007B63D8" w:rsidRPr="00C6639A">
        <w:rPr>
          <w:rFonts w:ascii="Times New Roman" w:hAnsi="Times New Roman"/>
          <w:szCs w:val="24"/>
          <w:lang w:eastAsia="de-AT"/>
        </w:rPr>
        <w:t xml:space="preserve">The Commission </w:t>
      </w:r>
      <w:r w:rsidR="007B63D8">
        <w:rPr>
          <w:rFonts w:ascii="Times New Roman" w:hAnsi="Times New Roman"/>
          <w:szCs w:val="24"/>
          <w:lang w:eastAsia="de-AT"/>
        </w:rPr>
        <w:t>is in regular contact with the</w:t>
      </w:r>
      <w:r w:rsidR="007B63D8" w:rsidRPr="00C6639A">
        <w:rPr>
          <w:rFonts w:ascii="Times New Roman" w:hAnsi="Times New Roman"/>
          <w:szCs w:val="24"/>
          <w:lang w:eastAsia="de-AT"/>
        </w:rPr>
        <w:t xml:space="preserve"> authorities </w:t>
      </w:r>
      <w:r w:rsidR="007B63D8">
        <w:rPr>
          <w:rFonts w:ascii="Times New Roman" w:hAnsi="Times New Roman"/>
          <w:szCs w:val="24"/>
          <w:lang w:eastAsia="de-AT"/>
        </w:rPr>
        <w:t xml:space="preserve">of the three countries </w:t>
      </w:r>
      <w:r w:rsidR="007B63D8" w:rsidRPr="00C6639A">
        <w:rPr>
          <w:rFonts w:ascii="Times New Roman" w:hAnsi="Times New Roman"/>
          <w:szCs w:val="24"/>
          <w:lang w:eastAsia="de-AT"/>
        </w:rPr>
        <w:t xml:space="preserve">to </w:t>
      </w:r>
      <w:r w:rsidR="007B63D8">
        <w:rPr>
          <w:rFonts w:ascii="Times New Roman" w:hAnsi="Times New Roman"/>
          <w:szCs w:val="24"/>
          <w:lang w:eastAsia="de-AT"/>
        </w:rPr>
        <w:t xml:space="preserve">provide guidance </w:t>
      </w:r>
      <w:r w:rsidR="007B63D8" w:rsidRPr="00C6639A">
        <w:rPr>
          <w:rFonts w:ascii="Times New Roman" w:hAnsi="Times New Roman"/>
          <w:szCs w:val="24"/>
        </w:rPr>
        <w:t xml:space="preserve">for implementing the </w:t>
      </w:r>
      <w:r w:rsidR="007B63D8" w:rsidRPr="00C7503E">
        <w:rPr>
          <w:rFonts w:ascii="Times New Roman" w:eastAsia="Calibri" w:hAnsi="Times New Roman"/>
          <w:szCs w:val="24"/>
          <w:lang w:eastAsia="en-US"/>
        </w:rPr>
        <w:t xml:space="preserve">priorities </w:t>
      </w:r>
      <w:r w:rsidR="007B63D8">
        <w:rPr>
          <w:rFonts w:ascii="Times New Roman" w:eastAsia="Calibri" w:hAnsi="Times New Roman"/>
          <w:szCs w:val="24"/>
          <w:lang w:eastAsia="en-US"/>
        </w:rPr>
        <w:t xml:space="preserve">and steps identified in the Opinions </w:t>
      </w:r>
      <w:r w:rsidR="007B63D8" w:rsidRPr="00F6100A">
        <w:rPr>
          <w:rFonts w:ascii="Times New Roman" w:eastAsia="Calibri" w:hAnsi="Times New Roman"/>
          <w:i/>
          <w:szCs w:val="24"/>
          <w:lang w:eastAsia="en-US"/>
        </w:rPr>
        <w:t>(paragraph 8)</w:t>
      </w:r>
      <w:r w:rsidR="007B63D8" w:rsidRPr="00F6100A">
        <w:rPr>
          <w:rFonts w:ascii="Times New Roman" w:eastAsia="Calibri" w:hAnsi="Times New Roman"/>
          <w:szCs w:val="24"/>
          <w:lang w:eastAsia="en-US"/>
        </w:rPr>
        <w:t>.</w:t>
      </w:r>
    </w:p>
    <w:p w14:paraId="5241BAAD" w14:textId="1C2287D1" w:rsidR="007B63D8" w:rsidRDefault="007B63D8" w:rsidP="00C202F9">
      <w:pPr>
        <w:spacing w:after="120"/>
        <w:rPr>
          <w:rFonts w:ascii="Times New Roman" w:hAnsi="Times New Roman"/>
          <w:szCs w:val="24"/>
        </w:rPr>
      </w:pPr>
      <w:r w:rsidRPr="00C6639A">
        <w:rPr>
          <w:rFonts w:ascii="Times New Roman" w:hAnsi="Times New Roman"/>
          <w:szCs w:val="24"/>
        </w:rPr>
        <w:t xml:space="preserve">The Opinion on </w:t>
      </w:r>
      <w:r w:rsidRPr="00C6639A">
        <w:rPr>
          <w:rFonts w:ascii="Times New Roman" w:hAnsi="Times New Roman"/>
          <w:b/>
          <w:szCs w:val="24"/>
        </w:rPr>
        <w:t>Ukraine</w:t>
      </w:r>
      <w:r w:rsidRPr="00C6639A">
        <w:rPr>
          <w:rFonts w:ascii="Times New Roman" w:hAnsi="Times New Roman"/>
          <w:szCs w:val="24"/>
        </w:rPr>
        <w:t xml:space="preserve"> defines </w:t>
      </w:r>
      <w:r w:rsidRPr="00C6639A">
        <w:rPr>
          <w:rFonts w:ascii="Times New Roman" w:hAnsi="Times New Roman"/>
          <w:szCs w:val="24"/>
          <w:lang w:eastAsia="de-AT"/>
        </w:rPr>
        <w:t>seven priority reform areas to be addressed by the Ukrainian Government</w:t>
      </w:r>
      <w:r w:rsidRPr="00C6639A">
        <w:rPr>
          <w:rFonts w:ascii="Times New Roman" w:hAnsi="Times New Roman"/>
          <w:szCs w:val="24"/>
        </w:rPr>
        <w:t xml:space="preserve">. Ukraine has shown its commitment to the swift fulfilment of the steps outlined in the Opinion by immediately relaunching legislation and key reforms in the rule of law sector. Several meetings took place </w:t>
      </w:r>
      <w:r>
        <w:rPr>
          <w:rFonts w:ascii="Times New Roman" w:hAnsi="Times New Roman"/>
          <w:szCs w:val="24"/>
        </w:rPr>
        <w:t xml:space="preserve">already </w:t>
      </w:r>
      <w:r w:rsidRPr="00C6639A">
        <w:rPr>
          <w:rFonts w:ascii="Times New Roman" w:hAnsi="Times New Roman"/>
          <w:szCs w:val="24"/>
        </w:rPr>
        <w:t xml:space="preserve">in July 2022 with the Commission to discuss concrete elements related to judiciary reform, fight against corruption, anti-money laundering, media law and national minorities. In this process, close cooperation with the Venice Commission </w:t>
      </w:r>
      <w:r>
        <w:rPr>
          <w:rFonts w:ascii="Times New Roman" w:hAnsi="Times New Roman"/>
          <w:szCs w:val="24"/>
        </w:rPr>
        <w:t xml:space="preserve">and the Council of Europe </w:t>
      </w:r>
      <w:r w:rsidRPr="00C6639A">
        <w:rPr>
          <w:rFonts w:ascii="Times New Roman" w:hAnsi="Times New Roman"/>
          <w:szCs w:val="24"/>
        </w:rPr>
        <w:t xml:space="preserve">is foreseen in the fields of national minorities’ and media legislation, Constitutional Court reform and anti-corruption - </w:t>
      </w:r>
      <w:r w:rsidRPr="00C7503E">
        <w:rPr>
          <w:rFonts w:ascii="Times New Roman" w:hAnsi="Times New Roman"/>
          <w:i/>
          <w:iCs/>
          <w:szCs w:val="24"/>
        </w:rPr>
        <w:t>inter alia</w:t>
      </w:r>
      <w:r w:rsidRPr="00C6639A">
        <w:rPr>
          <w:rFonts w:ascii="Times New Roman" w:hAnsi="Times New Roman"/>
          <w:szCs w:val="24"/>
        </w:rPr>
        <w:t xml:space="preserve"> for the implementation of an Anti-Oligarch law - to ensure the best possible results in fulfilling the steps.</w:t>
      </w:r>
    </w:p>
    <w:p w14:paraId="3EA35B62" w14:textId="73C1254E" w:rsidR="007B63D8" w:rsidRPr="00C7503E" w:rsidRDefault="007B63D8" w:rsidP="00C202F9">
      <w:pPr>
        <w:spacing w:after="120"/>
        <w:rPr>
          <w:rFonts w:ascii="Times New Roman" w:eastAsia="Calibri" w:hAnsi="Times New Roman"/>
          <w:szCs w:val="24"/>
          <w:lang w:eastAsia="en-US"/>
        </w:rPr>
      </w:pPr>
      <w:r w:rsidRPr="00C6639A">
        <w:rPr>
          <w:rFonts w:ascii="Times New Roman" w:hAnsi="Times New Roman"/>
          <w:szCs w:val="24"/>
        </w:rPr>
        <w:t>Ukraine has also prepared an Action Plan for the implementation of the recommendation on compliance with the Financial Action Task Force regarding the anti-money laundering legislation. The appointment at the end of July 2022 of the Head of the Specialised Anti-Corruption Prosecutor’s Office (SAPO)</w:t>
      </w:r>
      <w:r>
        <w:rPr>
          <w:rFonts w:ascii="Times New Roman" w:hAnsi="Times New Roman"/>
          <w:szCs w:val="24"/>
        </w:rPr>
        <w:t xml:space="preserve">, </w:t>
      </w:r>
      <w:r w:rsidRPr="00C6639A">
        <w:rPr>
          <w:rFonts w:ascii="Times New Roman" w:hAnsi="Times New Roman"/>
          <w:szCs w:val="24"/>
        </w:rPr>
        <w:t xml:space="preserve">the launch of the selection for the </w:t>
      </w:r>
      <w:r>
        <w:rPr>
          <w:rFonts w:ascii="Times New Roman" w:hAnsi="Times New Roman"/>
          <w:szCs w:val="24"/>
        </w:rPr>
        <w:t>H</w:t>
      </w:r>
      <w:r w:rsidRPr="00C6639A">
        <w:rPr>
          <w:rFonts w:ascii="Times New Roman" w:hAnsi="Times New Roman"/>
          <w:szCs w:val="24"/>
        </w:rPr>
        <w:t xml:space="preserve">ead of the National Anti-Corruption Bureau of Ukraine (NABU) </w:t>
      </w:r>
      <w:r>
        <w:rPr>
          <w:rFonts w:ascii="Times New Roman" w:hAnsi="Times New Roman"/>
          <w:szCs w:val="24"/>
        </w:rPr>
        <w:t xml:space="preserve">and the </w:t>
      </w:r>
      <w:r w:rsidRPr="007D6D06">
        <w:rPr>
          <w:rFonts w:ascii="Times New Roman" w:hAnsi="Times New Roman"/>
          <w:szCs w:val="24"/>
        </w:rPr>
        <w:t>new High Council of Justice members of high integrity</w:t>
      </w:r>
      <w:r>
        <w:rPr>
          <w:rFonts w:ascii="Times New Roman" w:hAnsi="Times New Roman"/>
          <w:szCs w:val="24"/>
        </w:rPr>
        <w:t xml:space="preserve"> have been important steps in </w:t>
      </w:r>
      <w:r w:rsidRPr="00C6639A">
        <w:rPr>
          <w:rFonts w:ascii="Times New Roman" w:hAnsi="Times New Roman"/>
          <w:szCs w:val="24"/>
        </w:rPr>
        <w:t>implementing the Commission</w:t>
      </w:r>
      <w:r>
        <w:rPr>
          <w:rFonts w:ascii="Times New Roman" w:hAnsi="Times New Roman"/>
          <w:szCs w:val="24"/>
        </w:rPr>
        <w:t>’s</w:t>
      </w:r>
      <w:r w:rsidRPr="00C6639A">
        <w:rPr>
          <w:rFonts w:ascii="Times New Roman" w:hAnsi="Times New Roman"/>
          <w:szCs w:val="24"/>
        </w:rPr>
        <w:t xml:space="preserve"> Opinion on Ukraine’s application for membership of the EU</w:t>
      </w:r>
      <w:r>
        <w:rPr>
          <w:rFonts w:ascii="Times New Roman" w:hAnsi="Times New Roman"/>
          <w:szCs w:val="24"/>
        </w:rPr>
        <w:t xml:space="preserve">. In the </w:t>
      </w:r>
      <w:r w:rsidRPr="00C6639A">
        <w:rPr>
          <w:rFonts w:ascii="Times New Roman" w:hAnsi="Times New Roman"/>
          <w:szCs w:val="24"/>
        </w:rPr>
        <w:t>margins of the EU-Ukraine Association Council on 5 September</w:t>
      </w:r>
      <w:r>
        <w:rPr>
          <w:rFonts w:ascii="Times New Roman" w:hAnsi="Times New Roman"/>
          <w:szCs w:val="24"/>
        </w:rPr>
        <w:t xml:space="preserve"> 2022, Ukraine signed three agreements associating itself with European programmes</w:t>
      </w:r>
      <w:r w:rsidRPr="00C6639A">
        <w:rPr>
          <w:rFonts w:ascii="Times New Roman" w:hAnsi="Times New Roman"/>
          <w:szCs w:val="24"/>
        </w:rPr>
        <w:t xml:space="preserve"> - </w:t>
      </w:r>
      <w:r w:rsidRPr="00C6639A">
        <w:rPr>
          <w:rFonts w:ascii="Times New Roman" w:hAnsi="Times New Roman"/>
          <w:szCs w:val="24"/>
          <w:lang w:eastAsia="de-AT"/>
        </w:rPr>
        <w:t>the Digital Europe Programme, the EU Customs programme</w:t>
      </w:r>
      <w:r>
        <w:rPr>
          <w:rFonts w:ascii="Times New Roman" w:hAnsi="Times New Roman"/>
          <w:szCs w:val="24"/>
          <w:lang w:eastAsia="de-AT"/>
        </w:rPr>
        <w:t xml:space="preserve"> and</w:t>
      </w:r>
      <w:r w:rsidRPr="00C6639A">
        <w:rPr>
          <w:rFonts w:ascii="Times New Roman" w:hAnsi="Times New Roman"/>
          <w:szCs w:val="24"/>
          <w:lang w:eastAsia="de-AT"/>
        </w:rPr>
        <w:t xml:space="preserve"> the EU Fiscalis</w:t>
      </w:r>
      <w:r>
        <w:rPr>
          <w:rFonts w:ascii="Times New Roman" w:hAnsi="Times New Roman"/>
          <w:szCs w:val="24"/>
          <w:lang w:eastAsia="de-AT"/>
        </w:rPr>
        <w:t xml:space="preserve"> </w:t>
      </w:r>
      <w:r w:rsidRPr="00FD3CE9">
        <w:rPr>
          <w:rFonts w:ascii="Times New Roman" w:hAnsi="Times New Roman"/>
          <w:i/>
          <w:szCs w:val="24"/>
          <w:lang w:eastAsia="de-AT"/>
        </w:rPr>
        <w:t>(paragraph 13)</w:t>
      </w:r>
      <w:r w:rsidRPr="00FD3CE9">
        <w:rPr>
          <w:rFonts w:ascii="Times New Roman" w:hAnsi="Times New Roman"/>
          <w:szCs w:val="24"/>
          <w:lang w:eastAsia="de-AT"/>
        </w:rPr>
        <w:t>.</w:t>
      </w:r>
    </w:p>
    <w:p w14:paraId="1BF5A4F5" w14:textId="53C10D02" w:rsidR="007B63D8" w:rsidRPr="006043DD" w:rsidRDefault="007B63D8" w:rsidP="00C202F9">
      <w:pPr>
        <w:spacing w:after="120"/>
        <w:rPr>
          <w:rFonts w:ascii="Times New Roman" w:eastAsia="Calibri" w:hAnsi="Times New Roman"/>
          <w:szCs w:val="24"/>
          <w:lang w:eastAsia="en-US"/>
        </w:rPr>
      </w:pPr>
      <w:r w:rsidRPr="006043DD">
        <w:rPr>
          <w:rFonts w:ascii="Times New Roman" w:eastAsia="Calibri" w:hAnsi="Times New Roman"/>
          <w:szCs w:val="24"/>
          <w:lang w:eastAsia="en-US"/>
        </w:rPr>
        <w:t xml:space="preserve">In the case of </w:t>
      </w:r>
      <w:r w:rsidRPr="006043DD">
        <w:rPr>
          <w:rFonts w:ascii="Times New Roman" w:eastAsia="Calibri" w:hAnsi="Times New Roman"/>
          <w:b/>
          <w:szCs w:val="24"/>
          <w:lang w:eastAsia="en-US"/>
        </w:rPr>
        <w:t>Moldova</w:t>
      </w:r>
      <w:r w:rsidRPr="006043DD">
        <w:rPr>
          <w:rFonts w:ascii="Times New Roman" w:eastAsia="Calibri" w:hAnsi="Times New Roman"/>
          <w:szCs w:val="24"/>
          <w:lang w:eastAsia="en-US"/>
        </w:rPr>
        <w:t xml:space="preserve">, the Opinion </w:t>
      </w:r>
      <w:r>
        <w:rPr>
          <w:rFonts w:ascii="Times New Roman" w:eastAsia="Calibri" w:hAnsi="Times New Roman"/>
          <w:szCs w:val="24"/>
          <w:lang w:eastAsia="en-US"/>
        </w:rPr>
        <w:t>outlined</w:t>
      </w:r>
      <w:r w:rsidRPr="006043DD">
        <w:rPr>
          <w:rFonts w:ascii="Times New Roman" w:eastAsia="Calibri" w:hAnsi="Times New Roman"/>
          <w:szCs w:val="24"/>
          <w:lang w:eastAsia="en-US"/>
        </w:rPr>
        <w:t xml:space="preserve"> nine </w:t>
      </w:r>
      <w:r>
        <w:rPr>
          <w:rFonts w:ascii="Times New Roman" w:eastAsia="Calibri" w:hAnsi="Times New Roman"/>
          <w:szCs w:val="24"/>
          <w:lang w:eastAsia="en-US"/>
        </w:rPr>
        <w:t>priorities</w:t>
      </w:r>
      <w:r w:rsidRPr="006043DD">
        <w:rPr>
          <w:rFonts w:ascii="Times New Roman" w:eastAsia="Calibri" w:hAnsi="Times New Roman"/>
          <w:szCs w:val="24"/>
          <w:lang w:eastAsia="en-US"/>
        </w:rPr>
        <w:t>. The</w:t>
      </w:r>
      <w:r>
        <w:rPr>
          <w:rFonts w:ascii="Times New Roman" w:eastAsia="Calibri" w:hAnsi="Times New Roman"/>
          <w:szCs w:val="24"/>
          <w:lang w:eastAsia="en-US"/>
        </w:rPr>
        <w:t xml:space="preserve">se include </w:t>
      </w:r>
      <w:r w:rsidRPr="006043DD">
        <w:rPr>
          <w:rFonts w:ascii="Times New Roman" w:eastAsia="Calibri" w:hAnsi="Times New Roman"/>
          <w:szCs w:val="24"/>
          <w:lang w:eastAsia="en-US"/>
        </w:rPr>
        <w:t>delivering comprehensive justice reform and fight</w:t>
      </w:r>
      <w:r>
        <w:rPr>
          <w:rFonts w:ascii="Times New Roman" w:eastAsia="Calibri" w:hAnsi="Times New Roman"/>
          <w:szCs w:val="24"/>
          <w:lang w:eastAsia="en-US"/>
        </w:rPr>
        <w:t>ing</w:t>
      </w:r>
      <w:r w:rsidRPr="006043DD">
        <w:rPr>
          <w:rFonts w:ascii="Times New Roman" w:eastAsia="Calibri" w:hAnsi="Times New Roman"/>
          <w:szCs w:val="24"/>
          <w:lang w:eastAsia="en-US"/>
        </w:rPr>
        <w:t xml:space="preserve"> against corruption, implementing commitments on “de-oligarchisation”, bringing anti-money laundering legislation in compliance with the Financial Action Task Force standards, improving the institutional capacity to deliver on reforms, enhancing civil society participation in the decision-making process and strengthening the protection of human rights. Action related to the Electoral Code will require the close involvement of the OSCE</w:t>
      </w:r>
      <w:r>
        <w:rPr>
          <w:rFonts w:ascii="Times New Roman" w:eastAsia="Calibri" w:hAnsi="Times New Roman"/>
          <w:szCs w:val="24"/>
          <w:lang w:eastAsia="en-US"/>
        </w:rPr>
        <w:t>/ODIHR (Organisation for Security and Cooperation in Europe</w:t>
      </w:r>
      <w:r w:rsidRPr="006043DD">
        <w:rPr>
          <w:rFonts w:ascii="Times New Roman" w:eastAsia="Calibri" w:hAnsi="Times New Roman"/>
          <w:szCs w:val="24"/>
          <w:lang w:eastAsia="en-US"/>
        </w:rPr>
        <w:t>/</w:t>
      </w:r>
      <w:r w:rsidRPr="006043DD" w:rsidDel="00554ECC">
        <w:rPr>
          <w:rFonts w:ascii="Times New Roman" w:eastAsia="Calibri" w:hAnsi="Times New Roman"/>
          <w:szCs w:val="24"/>
          <w:lang w:eastAsia="en-US"/>
        </w:rPr>
        <w:t xml:space="preserve"> </w:t>
      </w:r>
      <w:r>
        <w:rPr>
          <w:rFonts w:ascii="Times New Roman" w:eastAsia="Calibri" w:hAnsi="Times New Roman"/>
          <w:szCs w:val="24"/>
          <w:lang w:eastAsia="en-US"/>
        </w:rPr>
        <w:t>Office for Democratic Institutions and Human Rights)</w:t>
      </w:r>
      <w:r w:rsidRPr="006043DD">
        <w:rPr>
          <w:rFonts w:ascii="Times New Roman" w:eastAsia="Calibri" w:hAnsi="Times New Roman"/>
          <w:szCs w:val="24"/>
          <w:lang w:eastAsia="en-US"/>
        </w:rPr>
        <w:t xml:space="preserve"> and the Venice Commission. Swiftly after the decision of the European Council, the Moldovan authorities adopt</w:t>
      </w:r>
      <w:r>
        <w:rPr>
          <w:rFonts w:ascii="Times New Roman" w:eastAsia="Calibri" w:hAnsi="Times New Roman"/>
          <w:szCs w:val="24"/>
          <w:lang w:eastAsia="en-US"/>
        </w:rPr>
        <w:t>ed</w:t>
      </w:r>
      <w:r w:rsidRPr="006043DD">
        <w:rPr>
          <w:rFonts w:ascii="Times New Roman" w:eastAsia="Calibri" w:hAnsi="Times New Roman"/>
          <w:szCs w:val="24"/>
          <w:lang w:eastAsia="en-US"/>
        </w:rPr>
        <w:t xml:space="preserve"> an Action Plan containing a set of concrete </w:t>
      </w:r>
      <w:r>
        <w:rPr>
          <w:rFonts w:ascii="Times New Roman" w:eastAsia="Calibri" w:hAnsi="Times New Roman"/>
          <w:szCs w:val="24"/>
          <w:lang w:eastAsia="en-US"/>
        </w:rPr>
        <w:t>actions for</w:t>
      </w:r>
      <w:r w:rsidRPr="006043DD">
        <w:rPr>
          <w:rFonts w:ascii="Times New Roman" w:eastAsia="Calibri" w:hAnsi="Times New Roman"/>
          <w:szCs w:val="24"/>
          <w:lang w:eastAsia="en-US"/>
        </w:rPr>
        <w:t xml:space="preserve"> each </w:t>
      </w:r>
      <w:r>
        <w:rPr>
          <w:rFonts w:ascii="Times New Roman" w:eastAsia="Calibri" w:hAnsi="Times New Roman"/>
          <w:szCs w:val="24"/>
          <w:lang w:eastAsia="en-US"/>
        </w:rPr>
        <w:t>priority</w:t>
      </w:r>
      <w:r w:rsidRPr="006043DD">
        <w:rPr>
          <w:rFonts w:ascii="Times New Roman" w:eastAsia="Calibri" w:hAnsi="Times New Roman"/>
          <w:szCs w:val="24"/>
          <w:lang w:eastAsia="en-US"/>
        </w:rPr>
        <w:t xml:space="preserve">, listing the relevant authorities in charge of </w:t>
      </w:r>
      <w:r>
        <w:rPr>
          <w:rFonts w:ascii="Times New Roman" w:eastAsia="Calibri" w:hAnsi="Times New Roman"/>
          <w:szCs w:val="24"/>
          <w:lang w:eastAsia="en-US"/>
        </w:rPr>
        <w:t xml:space="preserve">the </w:t>
      </w:r>
      <w:r w:rsidRPr="006043DD">
        <w:rPr>
          <w:rFonts w:ascii="Times New Roman" w:eastAsia="Calibri" w:hAnsi="Times New Roman"/>
          <w:szCs w:val="24"/>
          <w:lang w:eastAsia="en-US"/>
        </w:rPr>
        <w:t>implementation</w:t>
      </w:r>
      <w:r>
        <w:rPr>
          <w:rFonts w:ascii="Times New Roman" w:eastAsia="Calibri" w:hAnsi="Times New Roman"/>
          <w:szCs w:val="24"/>
          <w:lang w:eastAsia="en-US"/>
        </w:rPr>
        <w:t>,</w:t>
      </w:r>
      <w:r w:rsidRPr="006043DD">
        <w:rPr>
          <w:rFonts w:ascii="Times New Roman" w:eastAsia="Calibri" w:hAnsi="Times New Roman"/>
          <w:szCs w:val="24"/>
          <w:lang w:eastAsia="en-US"/>
        </w:rPr>
        <w:t xml:space="preserve"> and setting </w:t>
      </w:r>
      <w:r>
        <w:rPr>
          <w:rFonts w:ascii="Times New Roman" w:eastAsia="Calibri" w:hAnsi="Times New Roman"/>
          <w:szCs w:val="24"/>
          <w:lang w:eastAsia="en-US"/>
        </w:rPr>
        <w:t xml:space="preserve">the respective deadlines </w:t>
      </w:r>
      <w:r w:rsidRPr="00FD3CE9">
        <w:rPr>
          <w:rFonts w:ascii="Times New Roman" w:eastAsia="Calibri" w:hAnsi="Times New Roman"/>
          <w:i/>
          <w:szCs w:val="24"/>
          <w:lang w:eastAsia="en-US"/>
        </w:rPr>
        <w:t>(paragraph 8)</w:t>
      </w:r>
      <w:r>
        <w:rPr>
          <w:rFonts w:ascii="Times New Roman" w:eastAsia="Calibri" w:hAnsi="Times New Roman"/>
          <w:szCs w:val="24"/>
          <w:lang w:eastAsia="en-US"/>
        </w:rPr>
        <w:t>.</w:t>
      </w:r>
    </w:p>
    <w:p w14:paraId="39C60320" w14:textId="77777777" w:rsidR="007B63D8" w:rsidRDefault="007B63D8" w:rsidP="00C202F9">
      <w:pPr>
        <w:spacing w:after="120"/>
        <w:rPr>
          <w:rFonts w:ascii="Times New Roman" w:eastAsia="Calibri" w:hAnsi="Times New Roman"/>
          <w:szCs w:val="24"/>
          <w:lang w:eastAsia="en-US"/>
        </w:rPr>
      </w:pPr>
      <w:r>
        <w:rPr>
          <w:rFonts w:ascii="Times New Roman" w:eastAsia="Calibri" w:hAnsi="Times New Roman"/>
          <w:szCs w:val="24"/>
          <w:lang w:eastAsia="en-US"/>
        </w:rPr>
        <w:t xml:space="preserve">For </w:t>
      </w:r>
      <w:r w:rsidRPr="006E618E">
        <w:rPr>
          <w:rFonts w:ascii="Times New Roman" w:eastAsia="Calibri" w:hAnsi="Times New Roman"/>
          <w:b/>
          <w:szCs w:val="24"/>
          <w:lang w:eastAsia="en-US"/>
        </w:rPr>
        <w:t>Georgia</w:t>
      </w:r>
      <w:r>
        <w:rPr>
          <w:rFonts w:ascii="Times New Roman" w:eastAsia="Calibri" w:hAnsi="Times New Roman"/>
          <w:szCs w:val="24"/>
          <w:lang w:eastAsia="en-US"/>
        </w:rPr>
        <w:t xml:space="preserve">, the Opinion presented twelve priorities, which </w:t>
      </w:r>
      <w:r w:rsidRPr="00946969">
        <w:rPr>
          <w:rFonts w:ascii="Times New Roman" w:eastAsia="Calibri" w:hAnsi="Times New Roman"/>
          <w:szCs w:val="24"/>
          <w:lang w:eastAsia="en-US"/>
        </w:rPr>
        <w:t>include the depolarisation of the political system, public administration reform, reform of the judicial sector</w:t>
      </w:r>
      <w:r>
        <w:rPr>
          <w:rFonts w:ascii="Times New Roman" w:eastAsia="Calibri" w:hAnsi="Times New Roman"/>
          <w:szCs w:val="24"/>
          <w:lang w:eastAsia="en-US"/>
        </w:rPr>
        <w:t xml:space="preserve"> (</w:t>
      </w:r>
      <w:r w:rsidRPr="00946969">
        <w:rPr>
          <w:rFonts w:ascii="Times New Roman" w:eastAsia="Calibri" w:hAnsi="Times New Roman"/>
          <w:szCs w:val="24"/>
          <w:lang w:eastAsia="en-US"/>
        </w:rPr>
        <w:t xml:space="preserve">including the integration of the European </w:t>
      </w:r>
      <w:r>
        <w:rPr>
          <w:rFonts w:ascii="Times New Roman" w:eastAsia="Calibri" w:hAnsi="Times New Roman"/>
          <w:szCs w:val="24"/>
          <w:lang w:eastAsia="en-US"/>
        </w:rPr>
        <w:t>C</w:t>
      </w:r>
      <w:r w:rsidRPr="00946969">
        <w:rPr>
          <w:rFonts w:ascii="Times New Roman" w:eastAsia="Calibri" w:hAnsi="Times New Roman"/>
          <w:szCs w:val="24"/>
          <w:lang w:eastAsia="en-US"/>
        </w:rPr>
        <w:t xml:space="preserve">ourt of </w:t>
      </w:r>
      <w:r>
        <w:rPr>
          <w:rFonts w:ascii="Times New Roman" w:eastAsia="Calibri" w:hAnsi="Times New Roman"/>
          <w:szCs w:val="24"/>
          <w:lang w:eastAsia="en-US"/>
        </w:rPr>
        <w:t>H</w:t>
      </w:r>
      <w:r w:rsidRPr="00946969">
        <w:rPr>
          <w:rFonts w:ascii="Times New Roman" w:eastAsia="Calibri" w:hAnsi="Times New Roman"/>
          <w:szCs w:val="24"/>
          <w:lang w:eastAsia="en-US"/>
        </w:rPr>
        <w:t xml:space="preserve">uman </w:t>
      </w:r>
      <w:r>
        <w:rPr>
          <w:rFonts w:ascii="Times New Roman" w:eastAsia="Calibri" w:hAnsi="Times New Roman"/>
          <w:szCs w:val="24"/>
          <w:lang w:eastAsia="en-US"/>
        </w:rPr>
        <w:t>R</w:t>
      </w:r>
      <w:r w:rsidRPr="00946969">
        <w:rPr>
          <w:rFonts w:ascii="Times New Roman" w:eastAsia="Calibri" w:hAnsi="Times New Roman"/>
          <w:szCs w:val="24"/>
          <w:lang w:eastAsia="en-US"/>
        </w:rPr>
        <w:t>ights case law</w:t>
      </w:r>
      <w:r>
        <w:rPr>
          <w:rFonts w:ascii="Times New Roman" w:eastAsia="Calibri" w:hAnsi="Times New Roman"/>
          <w:szCs w:val="24"/>
          <w:lang w:eastAsia="en-US"/>
        </w:rPr>
        <w:t>)</w:t>
      </w:r>
      <w:r w:rsidRPr="00946969">
        <w:rPr>
          <w:rFonts w:ascii="Times New Roman" w:eastAsia="Calibri" w:hAnsi="Times New Roman"/>
          <w:szCs w:val="24"/>
          <w:lang w:eastAsia="en-US"/>
        </w:rPr>
        <w:t>, fighting against corruption, vested interests and organised crime, strengthening pluralism and media transparency, enhance the protection of human rights specifically towards women and vulnerable groups, ensuring that the nominated Ombudsperson is independent and that its nomination is transparent and ensure a better involvement of civil society</w:t>
      </w:r>
      <w:r>
        <w:rPr>
          <w:rFonts w:ascii="Times New Roman" w:eastAsia="Calibri" w:hAnsi="Times New Roman"/>
          <w:szCs w:val="24"/>
          <w:lang w:eastAsia="en-US"/>
        </w:rPr>
        <w:t xml:space="preserve"> </w:t>
      </w:r>
      <w:r w:rsidRPr="00FD3CE9">
        <w:rPr>
          <w:rFonts w:ascii="Times New Roman" w:eastAsia="Calibri" w:hAnsi="Times New Roman"/>
          <w:i/>
          <w:szCs w:val="24"/>
          <w:lang w:eastAsia="en-US"/>
        </w:rPr>
        <w:t>(paragraph 8)</w:t>
      </w:r>
      <w:r w:rsidRPr="00946969">
        <w:rPr>
          <w:rFonts w:ascii="Times New Roman" w:eastAsia="Calibri" w:hAnsi="Times New Roman"/>
          <w:szCs w:val="24"/>
          <w:lang w:eastAsia="en-US"/>
        </w:rPr>
        <w:t>.</w:t>
      </w:r>
    </w:p>
    <w:p w14:paraId="7C72BE55" w14:textId="301CE051" w:rsidR="007B63D8" w:rsidRDefault="007B63D8" w:rsidP="00C202F9">
      <w:pPr>
        <w:spacing w:after="120"/>
        <w:rPr>
          <w:rFonts w:ascii="Times New Roman" w:eastAsia="Calibri" w:hAnsi="Times New Roman"/>
          <w:szCs w:val="24"/>
          <w:lang w:eastAsia="en-US"/>
        </w:rPr>
      </w:pPr>
      <w:r>
        <w:rPr>
          <w:rFonts w:ascii="Times New Roman" w:eastAsia="Calibri" w:hAnsi="Times New Roman"/>
          <w:szCs w:val="24"/>
          <w:lang w:eastAsia="en-US"/>
        </w:rPr>
        <w:t>T</w:t>
      </w:r>
      <w:r w:rsidRPr="006043DD">
        <w:rPr>
          <w:rFonts w:ascii="Times New Roman" w:eastAsia="Calibri" w:hAnsi="Times New Roman"/>
          <w:szCs w:val="24"/>
          <w:lang w:eastAsia="en-US"/>
        </w:rPr>
        <w:t xml:space="preserve">he Parliament of </w:t>
      </w:r>
      <w:r w:rsidRPr="006E618E">
        <w:rPr>
          <w:rFonts w:ascii="Times New Roman" w:eastAsia="Calibri" w:hAnsi="Times New Roman"/>
          <w:szCs w:val="24"/>
          <w:lang w:eastAsia="en-US"/>
        </w:rPr>
        <w:t xml:space="preserve">Georgia </w:t>
      </w:r>
      <w:r w:rsidRPr="006043DD">
        <w:rPr>
          <w:rFonts w:ascii="Times New Roman" w:eastAsia="Calibri" w:hAnsi="Times New Roman"/>
          <w:szCs w:val="24"/>
          <w:lang w:eastAsia="en-US"/>
        </w:rPr>
        <w:t>adopted an Action Plan to address the</w:t>
      </w:r>
      <w:r>
        <w:rPr>
          <w:rFonts w:ascii="Times New Roman" w:eastAsia="Calibri" w:hAnsi="Times New Roman"/>
          <w:szCs w:val="24"/>
          <w:lang w:eastAsia="en-US"/>
        </w:rPr>
        <w:t>se</w:t>
      </w:r>
      <w:r w:rsidRPr="006043DD">
        <w:rPr>
          <w:rFonts w:ascii="Times New Roman" w:eastAsia="Calibri" w:hAnsi="Times New Roman"/>
          <w:szCs w:val="24"/>
          <w:lang w:eastAsia="en-US"/>
        </w:rPr>
        <w:t xml:space="preserve"> priorities. This plan</w:t>
      </w:r>
      <w:r>
        <w:rPr>
          <w:rFonts w:ascii="Times New Roman" w:eastAsia="Calibri" w:hAnsi="Times New Roman"/>
          <w:szCs w:val="24"/>
          <w:lang w:eastAsia="en-US"/>
        </w:rPr>
        <w:t>,</w:t>
      </w:r>
      <w:r w:rsidRPr="006043DD">
        <w:rPr>
          <w:rFonts w:ascii="Times New Roman" w:eastAsia="Calibri" w:hAnsi="Times New Roman"/>
          <w:szCs w:val="24"/>
          <w:lang w:eastAsia="en-US"/>
        </w:rPr>
        <w:t xml:space="preserve"> endorsed by the government</w:t>
      </w:r>
      <w:r>
        <w:rPr>
          <w:rFonts w:ascii="Times New Roman" w:eastAsia="Calibri" w:hAnsi="Times New Roman"/>
          <w:szCs w:val="24"/>
          <w:lang w:eastAsia="en-US"/>
        </w:rPr>
        <w:t xml:space="preserve">, proposes to </w:t>
      </w:r>
      <w:r w:rsidRPr="006043DD">
        <w:rPr>
          <w:rFonts w:ascii="Times New Roman" w:eastAsia="Calibri" w:hAnsi="Times New Roman"/>
          <w:szCs w:val="24"/>
          <w:lang w:eastAsia="en-US"/>
        </w:rPr>
        <w:t>set up parliamentary working groups to discuss the way forward under each priority</w:t>
      </w:r>
      <w:r>
        <w:rPr>
          <w:rFonts w:ascii="Times New Roman" w:eastAsia="Calibri" w:hAnsi="Times New Roman"/>
          <w:szCs w:val="24"/>
          <w:lang w:eastAsia="en-US"/>
        </w:rPr>
        <w:t>.</w:t>
      </w:r>
      <w:r w:rsidRPr="006043DD">
        <w:rPr>
          <w:rFonts w:ascii="Times New Roman" w:eastAsia="Calibri" w:hAnsi="Times New Roman"/>
          <w:szCs w:val="24"/>
          <w:lang w:eastAsia="en-US"/>
        </w:rPr>
        <w:t> </w:t>
      </w:r>
      <w:r>
        <w:rPr>
          <w:rFonts w:ascii="Times New Roman" w:eastAsia="Calibri" w:hAnsi="Times New Roman"/>
          <w:szCs w:val="24"/>
          <w:lang w:eastAsia="en-US"/>
        </w:rPr>
        <w:t>At the same time, some opposition parties as well as c</w:t>
      </w:r>
      <w:r w:rsidRPr="006043DD">
        <w:rPr>
          <w:rFonts w:ascii="Times New Roman" w:eastAsia="Calibri" w:hAnsi="Times New Roman"/>
          <w:szCs w:val="24"/>
          <w:lang w:eastAsia="en-US"/>
        </w:rPr>
        <w:t>ivil society organisations have presented parallel plan</w:t>
      </w:r>
      <w:r>
        <w:rPr>
          <w:rFonts w:ascii="Times New Roman" w:eastAsia="Calibri" w:hAnsi="Times New Roman"/>
          <w:szCs w:val="24"/>
          <w:lang w:eastAsia="en-US"/>
        </w:rPr>
        <w:t>s and working modalities to address the said priorities</w:t>
      </w:r>
      <w:r w:rsidRPr="006043DD">
        <w:rPr>
          <w:rFonts w:ascii="Times New Roman" w:eastAsia="Calibri" w:hAnsi="Times New Roman"/>
          <w:szCs w:val="24"/>
          <w:lang w:eastAsia="en-US"/>
        </w:rPr>
        <w:t>. The EU has consistently called for cross-party cooperation and inclusive reforms</w:t>
      </w:r>
      <w:r>
        <w:rPr>
          <w:rFonts w:ascii="Times New Roman" w:eastAsia="Calibri" w:hAnsi="Times New Roman"/>
          <w:szCs w:val="24"/>
          <w:lang w:eastAsia="en-US"/>
        </w:rPr>
        <w:t>.</w:t>
      </w:r>
    </w:p>
    <w:p w14:paraId="58FCCFAB" w14:textId="3964FA66" w:rsidR="007B63D8" w:rsidRPr="00C7503E" w:rsidRDefault="00FA239B" w:rsidP="00C202F9">
      <w:pPr>
        <w:spacing w:after="120"/>
        <w:rPr>
          <w:rFonts w:ascii="Times New Roman" w:hAnsi="Times New Roman"/>
          <w:szCs w:val="24"/>
        </w:rPr>
      </w:pPr>
      <w:r>
        <w:rPr>
          <w:rFonts w:ascii="Times New Roman" w:eastAsia="Calibri" w:hAnsi="Times New Roman"/>
          <w:szCs w:val="24"/>
          <w:lang w:eastAsia="en-US"/>
        </w:rPr>
        <w:t xml:space="preserve">The Commission’s </w:t>
      </w:r>
      <w:r w:rsidRPr="009C21BE">
        <w:rPr>
          <w:rFonts w:ascii="Times New Roman" w:eastAsia="Calibri" w:hAnsi="Times New Roman"/>
          <w:szCs w:val="24"/>
          <w:lang w:eastAsia="en-US"/>
        </w:rPr>
        <w:t>financial assistance aims</w:t>
      </w:r>
      <w:r>
        <w:rPr>
          <w:rFonts w:ascii="Times New Roman" w:eastAsia="Calibri" w:hAnsi="Times New Roman"/>
          <w:szCs w:val="24"/>
          <w:lang w:eastAsia="en-US"/>
        </w:rPr>
        <w:t xml:space="preserve"> to enable the three countries to address their priority reform areas through the mobilisation of all the instruments at its disposal, including TAIEX and Twinning. For Ukraine, </w:t>
      </w:r>
      <w:r>
        <w:rPr>
          <w:rStyle w:val="bumpedfont15"/>
          <w:rFonts w:ascii="Times New Roman" w:hAnsi="Times New Roman"/>
          <w:szCs w:val="24"/>
        </w:rPr>
        <w:t>t</w:t>
      </w:r>
      <w:r w:rsidRPr="00D62AEA">
        <w:rPr>
          <w:rStyle w:val="bumpedfont15"/>
          <w:rFonts w:ascii="Times New Roman" w:hAnsi="Times New Roman"/>
          <w:szCs w:val="24"/>
        </w:rPr>
        <w:t xml:space="preserve">he Commission </w:t>
      </w:r>
      <w:r>
        <w:rPr>
          <w:rStyle w:val="bumpedfont15"/>
          <w:rFonts w:ascii="Times New Roman" w:hAnsi="Times New Roman"/>
          <w:szCs w:val="24"/>
        </w:rPr>
        <w:t xml:space="preserve">proposed in its Communication of 18 </w:t>
      </w:r>
      <w:r>
        <w:rPr>
          <w:rStyle w:val="bumpedfont15"/>
          <w:rFonts w:ascii="Times New Roman" w:hAnsi="Times New Roman"/>
          <w:szCs w:val="24"/>
        </w:rPr>
        <w:lastRenderedPageBreak/>
        <w:t xml:space="preserve">May </w:t>
      </w:r>
      <w:r w:rsidRPr="00D62AEA">
        <w:rPr>
          <w:rStyle w:val="bumpedfont15"/>
          <w:rFonts w:ascii="Times New Roman" w:hAnsi="Times New Roman"/>
          <w:szCs w:val="24"/>
        </w:rPr>
        <w:t>to create a separate Reconstruction Facility</w:t>
      </w:r>
      <w:r>
        <w:rPr>
          <w:rStyle w:val="bumpedfont15"/>
          <w:rFonts w:ascii="Times New Roman" w:hAnsi="Times New Roman"/>
          <w:szCs w:val="24"/>
        </w:rPr>
        <w:t xml:space="preserve"> and Platform</w:t>
      </w:r>
      <w:r w:rsidRPr="00D62AEA">
        <w:rPr>
          <w:rStyle w:val="bumpedfont15"/>
          <w:rFonts w:ascii="Times New Roman" w:hAnsi="Times New Roman"/>
          <w:szCs w:val="24"/>
        </w:rPr>
        <w:t xml:space="preserve"> </w:t>
      </w:r>
      <w:r>
        <w:rPr>
          <w:rStyle w:val="bumpedfont15"/>
          <w:rFonts w:ascii="Times New Roman" w:hAnsi="Times New Roman"/>
          <w:szCs w:val="24"/>
        </w:rPr>
        <w:t>for the reconstruction and recovery of the country</w:t>
      </w:r>
    </w:p>
    <w:p w14:paraId="75B7B8A5" w14:textId="5E7D45A0" w:rsidR="007B63D8" w:rsidRPr="00C7503E" w:rsidRDefault="007B63D8" w:rsidP="00C202F9">
      <w:pPr>
        <w:spacing w:after="120"/>
        <w:rPr>
          <w:rFonts w:ascii="Times New Roman" w:hAnsi="Times New Roman"/>
          <w:szCs w:val="24"/>
        </w:rPr>
      </w:pPr>
      <w:r w:rsidRPr="006043DD">
        <w:rPr>
          <w:rFonts w:ascii="Times New Roman" w:hAnsi="Times New Roman"/>
          <w:szCs w:val="24"/>
        </w:rPr>
        <w:t xml:space="preserve">The Commission will present </w:t>
      </w:r>
      <w:r>
        <w:rPr>
          <w:rFonts w:ascii="Times New Roman" w:hAnsi="Times New Roman"/>
          <w:szCs w:val="24"/>
        </w:rPr>
        <w:t xml:space="preserve">an analytical report </w:t>
      </w:r>
      <w:r w:rsidRPr="006043DD">
        <w:rPr>
          <w:rFonts w:ascii="Times New Roman" w:hAnsi="Times New Roman"/>
          <w:szCs w:val="24"/>
        </w:rPr>
        <w:t xml:space="preserve">of </w:t>
      </w:r>
      <w:r>
        <w:rPr>
          <w:rFonts w:ascii="Times New Roman" w:hAnsi="Times New Roman"/>
          <w:szCs w:val="24"/>
        </w:rPr>
        <w:t xml:space="preserve">each of </w:t>
      </w:r>
      <w:r w:rsidRPr="006043DD">
        <w:rPr>
          <w:rFonts w:ascii="Times New Roman" w:hAnsi="Times New Roman"/>
          <w:szCs w:val="24"/>
        </w:rPr>
        <w:t xml:space="preserve">the </w:t>
      </w:r>
      <w:r>
        <w:rPr>
          <w:rFonts w:ascii="Times New Roman" w:hAnsi="Times New Roman"/>
          <w:szCs w:val="24"/>
        </w:rPr>
        <w:t xml:space="preserve">three </w:t>
      </w:r>
      <w:r w:rsidRPr="006043DD">
        <w:rPr>
          <w:rFonts w:ascii="Times New Roman" w:hAnsi="Times New Roman"/>
          <w:szCs w:val="24"/>
        </w:rPr>
        <w:t xml:space="preserve">countries’ capacity to </w:t>
      </w:r>
      <w:r>
        <w:rPr>
          <w:rFonts w:ascii="Times New Roman" w:hAnsi="Times New Roman"/>
          <w:szCs w:val="24"/>
        </w:rPr>
        <w:t>comply with</w:t>
      </w:r>
      <w:r w:rsidRPr="006043DD">
        <w:rPr>
          <w:rFonts w:ascii="Times New Roman" w:hAnsi="Times New Roman"/>
          <w:szCs w:val="24"/>
        </w:rPr>
        <w:t xml:space="preserve"> the obligations of EU membership (</w:t>
      </w:r>
      <w:r w:rsidRPr="006043DD">
        <w:rPr>
          <w:rFonts w:ascii="Times New Roman" w:hAnsi="Times New Roman"/>
          <w:i/>
          <w:szCs w:val="24"/>
        </w:rPr>
        <w:t>acquis</w:t>
      </w:r>
      <w:r w:rsidRPr="006043DD">
        <w:rPr>
          <w:rFonts w:ascii="Times New Roman" w:hAnsi="Times New Roman"/>
          <w:szCs w:val="24"/>
        </w:rPr>
        <w:t xml:space="preserve"> chapters) before the end of 2022</w:t>
      </w:r>
      <w:r>
        <w:rPr>
          <w:rFonts w:ascii="Times New Roman" w:hAnsi="Times New Roman"/>
          <w:szCs w:val="24"/>
        </w:rPr>
        <w:t>.</w:t>
      </w:r>
      <w:r w:rsidRPr="006043DD">
        <w:rPr>
          <w:rFonts w:ascii="Times New Roman" w:hAnsi="Times New Roman"/>
          <w:szCs w:val="24"/>
        </w:rPr>
        <w:t xml:space="preserve"> </w:t>
      </w:r>
      <w:r>
        <w:rPr>
          <w:rFonts w:ascii="Times New Roman" w:hAnsi="Times New Roman"/>
          <w:szCs w:val="24"/>
        </w:rPr>
        <w:t>Furthermore, it</w:t>
      </w:r>
      <w:r w:rsidRPr="006043DD">
        <w:rPr>
          <w:rFonts w:ascii="Times New Roman" w:hAnsi="Times New Roman"/>
          <w:szCs w:val="24"/>
        </w:rPr>
        <w:t xml:space="preserve"> will report on the </w:t>
      </w:r>
      <w:r>
        <w:rPr>
          <w:rFonts w:ascii="Times New Roman" w:hAnsi="Times New Roman"/>
          <w:szCs w:val="24"/>
        </w:rPr>
        <w:t xml:space="preserve">progress towards </w:t>
      </w:r>
      <w:r w:rsidRPr="006043DD">
        <w:rPr>
          <w:rFonts w:ascii="Times New Roman" w:hAnsi="Times New Roman"/>
          <w:szCs w:val="24"/>
        </w:rPr>
        <w:t>fulfil</w:t>
      </w:r>
      <w:r>
        <w:rPr>
          <w:rFonts w:ascii="Times New Roman" w:hAnsi="Times New Roman"/>
          <w:szCs w:val="24"/>
        </w:rPr>
        <w:t>ling</w:t>
      </w:r>
      <w:r w:rsidRPr="006043DD">
        <w:rPr>
          <w:rFonts w:ascii="Times New Roman" w:hAnsi="Times New Roman"/>
          <w:szCs w:val="24"/>
        </w:rPr>
        <w:t xml:space="preserve"> the </w:t>
      </w:r>
      <w:r>
        <w:rPr>
          <w:rFonts w:ascii="Times New Roman" w:hAnsi="Times New Roman"/>
          <w:szCs w:val="24"/>
        </w:rPr>
        <w:t xml:space="preserve">recommendations </w:t>
      </w:r>
      <w:r w:rsidRPr="006043DD">
        <w:rPr>
          <w:rFonts w:ascii="Times New Roman" w:hAnsi="Times New Roman"/>
          <w:szCs w:val="24"/>
        </w:rPr>
        <w:t>specified in the Commission’s Opinions as part of the 2023 Enlargement package.</w:t>
      </w:r>
    </w:p>
    <w:p w14:paraId="243396DE" w14:textId="1AC294C5" w:rsidR="007B63D8" w:rsidRPr="006043DD" w:rsidRDefault="007B63D8" w:rsidP="00C202F9">
      <w:pPr>
        <w:spacing w:after="120"/>
        <w:rPr>
          <w:rFonts w:ascii="Times New Roman" w:hAnsi="Times New Roman"/>
          <w:szCs w:val="24"/>
        </w:rPr>
      </w:pPr>
      <w:r>
        <w:rPr>
          <w:rFonts w:ascii="Times New Roman" w:eastAsia="Calibri" w:hAnsi="Times New Roman"/>
          <w:szCs w:val="24"/>
          <w:lang w:eastAsia="en-US"/>
        </w:rPr>
        <w:t xml:space="preserve">Russia’s unprovoked and unjustified aggression against Ukraine, and the European Council’s decision to grant a European perspective to Ukraine, Moldova and Georgia have fundamentally altered the geopolitical context in the region. However, this new reality only makes regional cooperation and the EU’s engagement in the region all the more important. The agenda of recovery, resilience and reform endorsed by Leaders at the </w:t>
      </w:r>
      <w:r w:rsidRPr="00C7503E">
        <w:rPr>
          <w:rFonts w:ascii="Times New Roman" w:eastAsia="Calibri" w:hAnsi="Times New Roman"/>
          <w:b/>
          <w:bCs/>
          <w:szCs w:val="24"/>
          <w:lang w:eastAsia="en-US"/>
        </w:rPr>
        <w:t xml:space="preserve">Eastern Partnership </w:t>
      </w:r>
      <w:r w:rsidRPr="00E8227C">
        <w:rPr>
          <w:rFonts w:ascii="Times New Roman" w:eastAsia="Calibri" w:hAnsi="Times New Roman"/>
          <w:b/>
          <w:szCs w:val="24"/>
          <w:lang w:eastAsia="en-US"/>
        </w:rPr>
        <w:t>Summit</w:t>
      </w:r>
      <w:r>
        <w:rPr>
          <w:rFonts w:ascii="Times New Roman" w:eastAsia="Calibri" w:hAnsi="Times New Roman"/>
          <w:szCs w:val="24"/>
          <w:lang w:eastAsia="en-US"/>
        </w:rPr>
        <w:t xml:space="preserve"> in December 2021 remains largely relevant. At the same time, the focus and the practical functioning of the multilateral EaP framework will </w:t>
      </w:r>
      <w:r w:rsidRPr="00C7503E">
        <w:rPr>
          <w:rFonts w:ascii="Times New Roman" w:hAnsi="Times New Roman"/>
          <w:szCs w:val="24"/>
        </w:rPr>
        <w:t>have to be aligned and adjusted to the new context</w:t>
      </w:r>
      <w:r>
        <w:rPr>
          <w:rFonts w:ascii="Times New Roman" w:hAnsi="Times New Roman"/>
          <w:szCs w:val="24"/>
        </w:rPr>
        <w:t xml:space="preserve"> </w:t>
      </w:r>
      <w:r w:rsidRPr="00FD3CE9">
        <w:rPr>
          <w:rFonts w:ascii="Times New Roman" w:hAnsi="Times New Roman"/>
          <w:i/>
          <w:szCs w:val="24"/>
        </w:rPr>
        <w:t>(paragraph 12)</w:t>
      </w:r>
      <w:r w:rsidRPr="00C7503E">
        <w:rPr>
          <w:rFonts w:ascii="Times New Roman" w:hAnsi="Times New Roman"/>
          <w:szCs w:val="24"/>
        </w:rPr>
        <w:t>.</w:t>
      </w:r>
    </w:p>
    <w:p w14:paraId="6A2F7F1D" w14:textId="35D2074F" w:rsidR="007B63D8" w:rsidRPr="006043DD" w:rsidRDefault="007B63D8" w:rsidP="00C202F9">
      <w:pPr>
        <w:spacing w:after="120"/>
        <w:rPr>
          <w:rFonts w:ascii="Times New Roman" w:hAnsi="Times New Roman"/>
          <w:szCs w:val="24"/>
        </w:rPr>
      </w:pPr>
      <w:r w:rsidRPr="006043DD">
        <w:rPr>
          <w:rFonts w:ascii="Times New Roman" w:hAnsi="Times New Roman"/>
          <w:szCs w:val="24"/>
        </w:rPr>
        <w:t xml:space="preserve">Regarding the </w:t>
      </w:r>
      <w:r w:rsidRPr="006043DD">
        <w:rPr>
          <w:rFonts w:ascii="Times New Roman" w:hAnsi="Times New Roman"/>
          <w:b/>
          <w:bCs/>
          <w:szCs w:val="24"/>
        </w:rPr>
        <w:t>Western Balkans</w:t>
      </w:r>
      <w:r w:rsidRPr="006043DD">
        <w:rPr>
          <w:rFonts w:ascii="Times New Roman" w:hAnsi="Times New Roman"/>
          <w:szCs w:val="24"/>
        </w:rPr>
        <w:t xml:space="preserve">, the first Intergovernmental Conferences </w:t>
      </w:r>
      <w:r>
        <w:rPr>
          <w:rFonts w:ascii="Times New Roman" w:hAnsi="Times New Roman"/>
          <w:szCs w:val="24"/>
        </w:rPr>
        <w:t xml:space="preserve">(IGCs) </w:t>
      </w:r>
      <w:r w:rsidRPr="006043DD">
        <w:rPr>
          <w:rFonts w:ascii="Times New Roman" w:hAnsi="Times New Roman"/>
          <w:szCs w:val="24"/>
        </w:rPr>
        <w:t>opening the accession negotiations process with Albania and North Macedonia took place on 19 July</w:t>
      </w:r>
      <w:r>
        <w:rPr>
          <w:rFonts w:ascii="Times New Roman" w:hAnsi="Times New Roman"/>
          <w:szCs w:val="24"/>
        </w:rPr>
        <w:t xml:space="preserve"> 2022</w:t>
      </w:r>
      <w:r w:rsidRPr="006043DD">
        <w:rPr>
          <w:rFonts w:ascii="Times New Roman" w:hAnsi="Times New Roman"/>
          <w:szCs w:val="24"/>
        </w:rPr>
        <w:t>, following the approval by the Council of the respective Negotiating Frameworks. This marks the beginning of a new phase in the accession process for Albania and North Macedonia</w:t>
      </w:r>
      <w:r>
        <w:rPr>
          <w:rFonts w:ascii="Times New Roman" w:hAnsi="Times New Roman"/>
          <w:szCs w:val="24"/>
        </w:rPr>
        <w:t xml:space="preserve">. </w:t>
      </w:r>
      <w:r w:rsidRPr="006043DD">
        <w:rPr>
          <w:rFonts w:ascii="Times New Roman" w:hAnsi="Times New Roman"/>
          <w:szCs w:val="24"/>
        </w:rPr>
        <w:t xml:space="preserve">It sends an important signal for the Western Balkans and beyond. The Western Balkans </w:t>
      </w:r>
      <w:r>
        <w:rPr>
          <w:rFonts w:ascii="Times New Roman" w:hAnsi="Times New Roman"/>
          <w:szCs w:val="24"/>
        </w:rPr>
        <w:t>remain</w:t>
      </w:r>
      <w:r w:rsidRPr="006043DD">
        <w:rPr>
          <w:rFonts w:ascii="Times New Roman" w:hAnsi="Times New Roman"/>
          <w:szCs w:val="24"/>
        </w:rPr>
        <w:t xml:space="preserve"> a geopolitical priority for the EU. The Commission </w:t>
      </w:r>
      <w:r>
        <w:rPr>
          <w:rFonts w:ascii="Times New Roman" w:hAnsi="Times New Roman"/>
          <w:szCs w:val="24"/>
        </w:rPr>
        <w:t>is committed</w:t>
      </w:r>
      <w:r w:rsidRPr="006043DD">
        <w:rPr>
          <w:rFonts w:ascii="Times New Roman" w:hAnsi="Times New Roman"/>
          <w:szCs w:val="24"/>
        </w:rPr>
        <w:t xml:space="preserve"> </w:t>
      </w:r>
      <w:r>
        <w:rPr>
          <w:rFonts w:ascii="Times New Roman" w:hAnsi="Times New Roman"/>
          <w:szCs w:val="24"/>
        </w:rPr>
        <w:t xml:space="preserve">to </w:t>
      </w:r>
      <w:r w:rsidRPr="006043DD">
        <w:rPr>
          <w:rFonts w:ascii="Times New Roman" w:hAnsi="Times New Roman"/>
          <w:szCs w:val="24"/>
        </w:rPr>
        <w:t>the speeding up of the accession negotiations process for Albania</w:t>
      </w:r>
      <w:r>
        <w:rPr>
          <w:rFonts w:ascii="Times New Roman" w:hAnsi="Times New Roman"/>
          <w:szCs w:val="24"/>
        </w:rPr>
        <w:t>,</w:t>
      </w:r>
      <w:r w:rsidRPr="006043DD">
        <w:rPr>
          <w:rFonts w:ascii="Times New Roman" w:hAnsi="Times New Roman"/>
          <w:szCs w:val="24"/>
        </w:rPr>
        <w:t xml:space="preserve"> North Macedonia</w:t>
      </w:r>
      <w:r>
        <w:rPr>
          <w:rFonts w:ascii="Times New Roman" w:hAnsi="Times New Roman"/>
          <w:szCs w:val="24"/>
        </w:rPr>
        <w:t>, Serbia and Montenegro</w:t>
      </w:r>
      <w:r w:rsidRPr="006043DD">
        <w:rPr>
          <w:rFonts w:ascii="Times New Roman" w:hAnsi="Times New Roman"/>
          <w:szCs w:val="24"/>
        </w:rPr>
        <w:t xml:space="preserve">. </w:t>
      </w:r>
      <w:r>
        <w:rPr>
          <w:rFonts w:ascii="Times New Roman" w:hAnsi="Times New Roman"/>
          <w:szCs w:val="24"/>
        </w:rPr>
        <w:t>In that spirit,</w:t>
      </w:r>
      <w:r w:rsidRPr="006043DD">
        <w:rPr>
          <w:rFonts w:ascii="Times New Roman" w:hAnsi="Times New Roman"/>
          <w:szCs w:val="24"/>
        </w:rPr>
        <w:t xml:space="preserve"> immediately after the first IGCs</w:t>
      </w:r>
      <w:r>
        <w:rPr>
          <w:rFonts w:ascii="Times New Roman" w:hAnsi="Times New Roman"/>
          <w:szCs w:val="24"/>
        </w:rPr>
        <w:t xml:space="preserve"> with Albania and North Macedonia</w:t>
      </w:r>
      <w:r w:rsidRPr="006043DD">
        <w:rPr>
          <w:rFonts w:ascii="Times New Roman" w:hAnsi="Times New Roman"/>
          <w:szCs w:val="24"/>
        </w:rPr>
        <w:t xml:space="preserve">, the Commission has started the screening exercise with both countries, which is the first step in the negotiating process </w:t>
      </w:r>
      <w:r w:rsidRPr="00FD3CE9">
        <w:rPr>
          <w:rFonts w:ascii="Times New Roman" w:hAnsi="Times New Roman"/>
          <w:i/>
          <w:szCs w:val="24"/>
        </w:rPr>
        <w:t>(paragraph 5</w:t>
      </w:r>
      <w:r>
        <w:rPr>
          <w:rFonts w:ascii="Times New Roman" w:hAnsi="Times New Roman"/>
          <w:i/>
          <w:szCs w:val="24"/>
        </w:rPr>
        <w:t>).</w:t>
      </w:r>
    </w:p>
    <w:sectPr w:rsidR="007B63D8" w:rsidRPr="006043DD" w:rsidSect="00812321">
      <w:footerReference w:type="even" r:id="rId8"/>
      <w:footerReference w:type="default" r:id="rId9"/>
      <w:footerReference w:type="first" r:id="rId10"/>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B4AC0" w14:textId="77777777" w:rsidR="00D92133" w:rsidRDefault="00D92133">
      <w:r>
        <w:separator/>
      </w:r>
    </w:p>
  </w:endnote>
  <w:endnote w:type="continuationSeparator" w:id="0">
    <w:p w14:paraId="47249707" w14:textId="77777777" w:rsidR="00D92133" w:rsidRDefault="00D9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B80E"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3C32A1CA"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CF73" w14:textId="06FF5C99"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A84">
      <w:rPr>
        <w:rStyle w:val="PageNumber"/>
        <w:noProof/>
      </w:rPr>
      <w:t>3</w:t>
    </w:r>
    <w:r>
      <w:rPr>
        <w:rStyle w:val="PageNumber"/>
      </w:rPr>
      <w:fldChar w:fldCharType="end"/>
    </w:r>
  </w:p>
  <w:p w14:paraId="7E1B2732"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2BBB2" w14:textId="2369620C"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A84">
      <w:rPr>
        <w:rStyle w:val="PageNumber"/>
        <w:noProof/>
      </w:rPr>
      <w:t>1</w:t>
    </w:r>
    <w:r>
      <w:rPr>
        <w:rStyle w:val="PageNumber"/>
      </w:rPr>
      <w:fldChar w:fldCharType="end"/>
    </w:r>
  </w:p>
  <w:p w14:paraId="20B75C54"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3ECC" w14:textId="77777777" w:rsidR="00D92133" w:rsidRDefault="00D92133">
      <w:r>
        <w:separator/>
      </w:r>
    </w:p>
  </w:footnote>
  <w:footnote w:type="continuationSeparator" w:id="0">
    <w:p w14:paraId="62D2D8AC" w14:textId="77777777" w:rsidR="00D92133" w:rsidRDefault="00D92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6B3720"/>
    <w:multiLevelType w:val="hybridMultilevel"/>
    <w:tmpl w:val="FB6E5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0"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7"/>
  </w:num>
  <w:num w:numId="2">
    <w:abstractNumId w:val="1"/>
  </w:num>
  <w:num w:numId="3">
    <w:abstractNumId w:val="33"/>
  </w:num>
  <w:num w:numId="4">
    <w:abstractNumId w:val="14"/>
  </w:num>
  <w:num w:numId="5">
    <w:abstractNumId w:val="29"/>
  </w:num>
  <w:num w:numId="6">
    <w:abstractNumId w:val="11"/>
  </w:num>
  <w:num w:numId="7">
    <w:abstractNumId w:val="6"/>
  </w:num>
  <w:num w:numId="8">
    <w:abstractNumId w:val="16"/>
  </w:num>
  <w:num w:numId="9">
    <w:abstractNumId w:val="32"/>
  </w:num>
  <w:num w:numId="10">
    <w:abstractNumId w:val="24"/>
  </w:num>
  <w:num w:numId="11">
    <w:abstractNumId w:val="26"/>
  </w:num>
  <w:num w:numId="12">
    <w:abstractNumId w:val="13"/>
  </w:num>
  <w:num w:numId="13">
    <w:abstractNumId w:val="17"/>
  </w:num>
  <w:num w:numId="14">
    <w:abstractNumId w:val="30"/>
  </w:num>
  <w:num w:numId="15">
    <w:abstractNumId w:val="15"/>
  </w:num>
  <w:num w:numId="16">
    <w:abstractNumId w:val="36"/>
  </w:num>
  <w:num w:numId="17">
    <w:abstractNumId w:val="31"/>
  </w:num>
  <w:num w:numId="18">
    <w:abstractNumId w:val="22"/>
  </w:num>
  <w:num w:numId="19">
    <w:abstractNumId w:val="23"/>
  </w:num>
  <w:num w:numId="20">
    <w:abstractNumId w:val="28"/>
  </w:num>
  <w:num w:numId="21">
    <w:abstractNumId w:val="3"/>
  </w:num>
  <w:num w:numId="22">
    <w:abstractNumId w:val="4"/>
  </w:num>
  <w:num w:numId="23">
    <w:abstractNumId w:val="5"/>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5"/>
  </w:num>
  <w:num w:numId="27">
    <w:abstractNumId w:val="18"/>
  </w:num>
  <w:num w:numId="28">
    <w:abstractNumId w:val="35"/>
  </w:num>
  <w:num w:numId="29">
    <w:abstractNumId w:val="2"/>
  </w:num>
  <w:num w:numId="30">
    <w:abstractNumId w:val="21"/>
  </w:num>
  <w:num w:numId="31">
    <w:abstractNumId w:val="20"/>
  </w:num>
  <w:num w:numId="32">
    <w:abstractNumId w:val="9"/>
  </w:num>
  <w:num w:numId="33">
    <w:abstractNumId w:val="12"/>
  </w:num>
  <w:num w:numId="34">
    <w:abstractNumId w:val="19"/>
  </w:num>
  <w:num w:numId="3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553"/>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27E66"/>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6A"/>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662F"/>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10F"/>
    <w:rsid w:val="000502A5"/>
    <w:rsid w:val="000504A8"/>
    <w:rsid w:val="0005052B"/>
    <w:rsid w:val="000506A1"/>
    <w:rsid w:val="000508EC"/>
    <w:rsid w:val="000509DA"/>
    <w:rsid w:val="00050AFA"/>
    <w:rsid w:val="00051333"/>
    <w:rsid w:val="00051A96"/>
    <w:rsid w:val="00051E3C"/>
    <w:rsid w:val="000520B1"/>
    <w:rsid w:val="00052241"/>
    <w:rsid w:val="00052672"/>
    <w:rsid w:val="00052814"/>
    <w:rsid w:val="000529E9"/>
    <w:rsid w:val="00053766"/>
    <w:rsid w:val="0005395A"/>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E46"/>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C8C"/>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554"/>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2E80"/>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16D"/>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A8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2F82"/>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C53"/>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5B"/>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0C7B"/>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4D6"/>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84"/>
    <w:rsid w:val="00177AE0"/>
    <w:rsid w:val="00177AFD"/>
    <w:rsid w:val="00177B86"/>
    <w:rsid w:val="00177CE2"/>
    <w:rsid w:val="00177CF4"/>
    <w:rsid w:val="00177F1E"/>
    <w:rsid w:val="001806C3"/>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373"/>
    <w:rsid w:val="00197522"/>
    <w:rsid w:val="001976A1"/>
    <w:rsid w:val="0019786E"/>
    <w:rsid w:val="00197A47"/>
    <w:rsid w:val="001A01B9"/>
    <w:rsid w:val="001A0286"/>
    <w:rsid w:val="001A02EB"/>
    <w:rsid w:val="001A0303"/>
    <w:rsid w:val="001A03B3"/>
    <w:rsid w:val="001A090B"/>
    <w:rsid w:val="001A0B18"/>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0B1"/>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6BA"/>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E7C9D"/>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66B"/>
    <w:rsid w:val="001F37CE"/>
    <w:rsid w:val="001F3B91"/>
    <w:rsid w:val="001F3D7C"/>
    <w:rsid w:val="001F4229"/>
    <w:rsid w:val="001F4355"/>
    <w:rsid w:val="001F452E"/>
    <w:rsid w:val="001F475C"/>
    <w:rsid w:val="001F4A26"/>
    <w:rsid w:val="001F4BD0"/>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1F7E97"/>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AB3"/>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8FD"/>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94"/>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4A"/>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33D"/>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295"/>
    <w:rsid w:val="00287310"/>
    <w:rsid w:val="00287486"/>
    <w:rsid w:val="002875AC"/>
    <w:rsid w:val="00287613"/>
    <w:rsid w:val="002877C0"/>
    <w:rsid w:val="00287824"/>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2FEE"/>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C6"/>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5D6"/>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848"/>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CA7"/>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1F8"/>
    <w:rsid w:val="003A4264"/>
    <w:rsid w:val="003A4296"/>
    <w:rsid w:val="003A42CC"/>
    <w:rsid w:val="003A4319"/>
    <w:rsid w:val="003A4523"/>
    <w:rsid w:val="003A4954"/>
    <w:rsid w:val="003A4AA7"/>
    <w:rsid w:val="003A4AD7"/>
    <w:rsid w:val="003A4D30"/>
    <w:rsid w:val="003A50F8"/>
    <w:rsid w:val="003A52C4"/>
    <w:rsid w:val="003A5735"/>
    <w:rsid w:val="003A58C7"/>
    <w:rsid w:val="003A59F5"/>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B6"/>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6C"/>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0A"/>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3C"/>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A8F"/>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C7E"/>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1F0C"/>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C5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3FF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8FF"/>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846"/>
    <w:rsid w:val="004E5A51"/>
    <w:rsid w:val="004E5A77"/>
    <w:rsid w:val="004E5AD2"/>
    <w:rsid w:val="004E5C72"/>
    <w:rsid w:val="004E5FFF"/>
    <w:rsid w:val="004E6091"/>
    <w:rsid w:val="004E6617"/>
    <w:rsid w:val="004E6625"/>
    <w:rsid w:val="004E6929"/>
    <w:rsid w:val="004E698C"/>
    <w:rsid w:val="004E6E26"/>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62E"/>
    <w:rsid w:val="0051194C"/>
    <w:rsid w:val="00511E58"/>
    <w:rsid w:val="005120EA"/>
    <w:rsid w:val="0051212A"/>
    <w:rsid w:val="00512314"/>
    <w:rsid w:val="005123D3"/>
    <w:rsid w:val="00512A6D"/>
    <w:rsid w:val="00512BA1"/>
    <w:rsid w:val="0051347D"/>
    <w:rsid w:val="0051349F"/>
    <w:rsid w:val="00513851"/>
    <w:rsid w:val="00513877"/>
    <w:rsid w:val="0051390E"/>
    <w:rsid w:val="00513BF5"/>
    <w:rsid w:val="00513CF8"/>
    <w:rsid w:val="00513FC6"/>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2B"/>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8E7"/>
    <w:rsid w:val="00530CAC"/>
    <w:rsid w:val="00531062"/>
    <w:rsid w:val="00531595"/>
    <w:rsid w:val="00531B26"/>
    <w:rsid w:val="005320D2"/>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ECC"/>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2C37"/>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83"/>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754"/>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8B2"/>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3DD"/>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83"/>
    <w:rsid w:val="0060719F"/>
    <w:rsid w:val="0060722B"/>
    <w:rsid w:val="0060727B"/>
    <w:rsid w:val="006076E6"/>
    <w:rsid w:val="00607856"/>
    <w:rsid w:val="006079D1"/>
    <w:rsid w:val="00607BD8"/>
    <w:rsid w:val="00607C1D"/>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394"/>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AD3"/>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49"/>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062"/>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0C4"/>
    <w:rsid w:val="006B130E"/>
    <w:rsid w:val="006B1587"/>
    <w:rsid w:val="006B1766"/>
    <w:rsid w:val="006B1AD0"/>
    <w:rsid w:val="006B1ED2"/>
    <w:rsid w:val="006B21BB"/>
    <w:rsid w:val="006B2449"/>
    <w:rsid w:val="006B2734"/>
    <w:rsid w:val="006B2D56"/>
    <w:rsid w:val="006B2E11"/>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B57"/>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18E"/>
    <w:rsid w:val="006E6338"/>
    <w:rsid w:val="006E66A7"/>
    <w:rsid w:val="006E68C1"/>
    <w:rsid w:val="006E6EAF"/>
    <w:rsid w:val="006E6F14"/>
    <w:rsid w:val="006E79B9"/>
    <w:rsid w:val="006F007E"/>
    <w:rsid w:val="006F02FD"/>
    <w:rsid w:val="006F0D55"/>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B9C"/>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79F"/>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C37"/>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8A7"/>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44E"/>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087"/>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996"/>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DDC"/>
    <w:rsid w:val="007B5E6F"/>
    <w:rsid w:val="007B5F7A"/>
    <w:rsid w:val="007B6199"/>
    <w:rsid w:val="007B63AE"/>
    <w:rsid w:val="007B63D8"/>
    <w:rsid w:val="007B677E"/>
    <w:rsid w:val="007B690E"/>
    <w:rsid w:val="007B6AAE"/>
    <w:rsid w:val="007B6C4C"/>
    <w:rsid w:val="007B6EF4"/>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69"/>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6C7"/>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D06"/>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413"/>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18"/>
    <w:rsid w:val="00821271"/>
    <w:rsid w:val="00821C68"/>
    <w:rsid w:val="00821C76"/>
    <w:rsid w:val="00821C8D"/>
    <w:rsid w:val="00821CA8"/>
    <w:rsid w:val="00822050"/>
    <w:rsid w:val="0082225E"/>
    <w:rsid w:val="00822425"/>
    <w:rsid w:val="0082242E"/>
    <w:rsid w:val="00822787"/>
    <w:rsid w:val="00822798"/>
    <w:rsid w:val="00822DF8"/>
    <w:rsid w:val="00822E12"/>
    <w:rsid w:val="00822E2D"/>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BBA"/>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277"/>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595"/>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704"/>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22B"/>
    <w:rsid w:val="008C65CC"/>
    <w:rsid w:val="008C6796"/>
    <w:rsid w:val="008C6D97"/>
    <w:rsid w:val="008C6FA4"/>
    <w:rsid w:val="008C7015"/>
    <w:rsid w:val="008C709D"/>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18C"/>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9"/>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C6"/>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969"/>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1A"/>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3B0"/>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99A"/>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FC"/>
    <w:rsid w:val="009E7C1D"/>
    <w:rsid w:val="009F0014"/>
    <w:rsid w:val="009F028D"/>
    <w:rsid w:val="009F0599"/>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6EF3"/>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607"/>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9B5"/>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1D9E"/>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4E"/>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AC"/>
    <w:rsid w:val="00A71DB5"/>
    <w:rsid w:val="00A71E21"/>
    <w:rsid w:val="00A71E6D"/>
    <w:rsid w:val="00A7208A"/>
    <w:rsid w:val="00A721AB"/>
    <w:rsid w:val="00A728E1"/>
    <w:rsid w:val="00A72A62"/>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C32"/>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79"/>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283"/>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1F"/>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9E7"/>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C3D"/>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4E82"/>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140"/>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80A"/>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18"/>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2F9"/>
    <w:rsid w:val="00C208D5"/>
    <w:rsid w:val="00C20B43"/>
    <w:rsid w:val="00C20CAB"/>
    <w:rsid w:val="00C20F7A"/>
    <w:rsid w:val="00C21163"/>
    <w:rsid w:val="00C2128A"/>
    <w:rsid w:val="00C214C5"/>
    <w:rsid w:val="00C214E6"/>
    <w:rsid w:val="00C2151A"/>
    <w:rsid w:val="00C2192E"/>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1B"/>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95B"/>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9A"/>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03E"/>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D92"/>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4F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7BD"/>
    <w:rsid w:val="00D229C9"/>
    <w:rsid w:val="00D22D1B"/>
    <w:rsid w:val="00D22DEE"/>
    <w:rsid w:val="00D22E7A"/>
    <w:rsid w:val="00D22FAE"/>
    <w:rsid w:val="00D23458"/>
    <w:rsid w:val="00D234CA"/>
    <w:rsid w:val="00D23750"/>
    <w:rsid w:val="00D23769"/>
    <w:rsid w:val="00D2381F"/>
    <w:rsid w:val="00D239E9"/>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3C38"/>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E56"/>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544"/>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8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04E"/>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133"/>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7D"/>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2A7"/>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2EFF"/>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13E"/>
    <w:rsid w:val="00DC551C"/>
    <w:rsid w:val="00DC58BD"/>
    <w:rsid w:val="00DC5931"/>
    <w:rsid w:val="00DC5A0D"/>
    <w:rsid w:val="00DC5C6C"/>
    <w:rsid w:val="00DC5E12"/>
    <w:rsid w:val="00DC5F93"/>
    <w:rsid w:val="00DC6203"/>
    <w:rsid w:val="00DC6362"/>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959"/>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15A"/>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439"/>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B0"/>
    <w:rsid w:val="00E426F9"/>
    <w:rsid w:val="00E427CE"/>
    <w:rsid w:val="00E429DB"/>
    <w:rsid w:val="00E42D92"/>
    <w:rsid w:val="00E42D96"/>
    <w:rsid w:val="00E431E9"/>
    <w:rsid w:val="00E43322"/>
    <w:rsid w:val="00E43453"/>
    <w:rsid w:val="00E4361F"/>
    <w:rsid w:val="00E438F9"/>
    <w:rsid w:val="00E4420B"/>
    <w:rsid w:val="00E44235"/>
    <w:rsid w:val="00E443EF"/>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B0"/>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69B"/>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27C"/>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5B7"/>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BB2"/>
    <w:rsid w:val="00EB7C9E"/>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693"/>
    <w:rsid w:val="00EC4B5E"/>
    <w:rsid w:val="00EC4D56"/>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460"/>
    <w:rsid w:val="00ED1686"/>
    <w:rsid w:val="00ED1CD0"/>
    <w:rsid w:val="00ED20C8"/>
    <w:rsid w:val="00ED21AB"/>
    <w:rsid w:val="00ED2824"/>
    <w:rsid w:val="00ED2C72"/>
    <w:rsid w:val="00ED3995"/>
    <w:rsid w:val="00ED3B96"/>
    <w:rsid w:val="00ED4495"/>
    <w:rsid w:val="00ED44D6"/>
    <w:rsid w:val="00ED452F"/>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4F53"/>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A5"/>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704"/>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6C"/>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BD8"/>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39B"/>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34"/>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1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295"/>
    <w:rsid w:val="00FF6664"/>
    <w:rsid w:val="00FF6832"/>
    <w:rsid w:val="00FF6A9D"/>
    <w:rsid w:val="00FF6BB9"/>
    <w:rsid w:val="00FF6C8F"/>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77807"/>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Listaszerű bekezdés1,List Paragraph à moi,Medium Grid 1 - Accent 21,Listaszeru bekezdés1,Colorful List - Accent 111,Dot pt,F5 List Paragraph,List Paragraph1,No Spacing1,List Paragraph Char Char Char,Bullets,L,3,2,l"/>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en-GB"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eastAsia="en-GB"/>
    </w:rPr>
  </w:style>
  <w:style w:type="character" w:customStyle="1" w:styleId="ListParagraphChar">
    <w:name w:val="List Paragraph Char"/>
    <w:aliases w:val="Listaszerű bekezdés1 Char,List Paragraph à moi Char,Medium Grid 1 - Accent 21 Char,Listaszeru bekezdés1 Char,Colorful List - Accent 111 Char,Dot pt Char,F5 List Paragraph Char,List Paragraph1 Char,No Spacing1 Char,Bullets Char,L Char"/>
    <w:link w:val="ListParagraph"/>
    <w:uiPriority w:val="34"/>
    <w:qFormat/>
    <w:locked/>
    <w:rsid w:val="0051390E"/>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2154">
      <w:bodyDiv w:val="1"/>
      <w:marLeft w:val="0"/>
      <w:marRight w:val="0"/>
      <w:marTop w:val="0"/>
      <w:marBottom w:val="0"/>
      <w:divBdr>
        <w:top w:val="none" w:sz="0" w:space="0" w:color="auto"/>
        <w:left w:val="none" w:sz="0" w:space="0" w:color="auto"/>
        <w:bottom w:val="none" w:sz="0" w:space="0" w:color="auto"/>
        <w:right w:val="none" w:sz="0" w:space="0" w:color="auto"/>
      </w:divBdr>
      <w:divsChild>
        <w:div w:id="1200968293">
          <w:marLeft w:val="0"/>
          <w:marRight w:val="0"/>
          <w:marTop w:val="0"/>
          <w:marBottom w:val="0"/>
          <w:divBdr>
            <w:top w:val="none" w:sz="0" w:space="0" w:color="auto"/>
            <w:left w:val="none" w:sz="0" w:space="0" w:color="auto"/>
            <w:bottom w:val="none" w:sz="0" w:space="0" w:color="auto"/>
            <w:right w:val="none" w:sz="0" w:space="0" w:color="auto"/>
          </w:divBdr>
          <w:divsChild>
            <w:div w:id="967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323004152">
      <w:bodyDiv w:val="1"/>
      <w:marLeft w:val="0"/>
      <w:marRight w:val="0"/>
      <w:marTop w:val="0"/>
      <w:marBottom w:val="0"/>
      <w:divBdr>
        <w:top w:val="none" w:sz="0" w:space="0" w:color="auto"/>
        <w:left w:val="none" w:sz="0" w:space="0" w:color="auto"/>
        <w:bottom w:val="none" w:sz="0" w:space="0" w:color="auto"/>
        <w:right w:val="none" w:sz="0" w:space="0" w:color="auto"/>
      </w:divBdr>
      <w:divsChild>
        <w:div w:id="296843488">
          <w:marLeft w:val="0"/>
          <w:marRight w:val="0"/>
          <w:marTop w:val="0"/>
          <w:marBottom w:val="0"/>
          <w:divBdr>
            <w:top w:val="none" w:sz="0" w:space="0" w:color="auto"/>
            <w:left w:val="none" w:sz="0" w:space="0" w:color="auto"/>
            <w:bottom w:val="none" w:sz="0" w:space="0" w:color="auto"/>
            <w:right w:val="none" w:sz="0" w:space="0" w:color="auto"/>
          </w:divBdr>
          <w:divsChild>
            <w:div w:id="15859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28541">
      <w:bodyDiv w:val="1"/>
      <w:marLeft w:val="0"/>
      <w:marRight w:val="0"/>
      <w:marTop w:val="0"/>
      <w:marBottom w:val="0"/>
      <w:divBdr>
        <w:top w:val="none" w:sz="0" w:space="0" w:color="auto"/>
        <w:left w:val="none" w:sz="0" w:space="0" w:color="auto"/>
        <w:bottom w:val="none" w:sz="0" w:space="0" w:color="auto"/>
        <w:right w:val="none" w:sz="0" w:space="0" w:color="auto"/>
      </w:divBdr>
      <w:divsChild>
        <w:div w:id="1732997988">
          <w:marLeft w:val="0"/>
          <w:marRight w:val="0"/>
          <w:marTop w:val="0"/>
          <w:marBottom w:val="0"/>
          <w:divBdr>
            <w:top w:val="none" w:sz="0" w:space="0" w:color="auto"/>
            <w:left w:val="none" w:sz="0" w:space="0" w:color="auto"/>
            <w:bottom w:val="none" w:sz="0" w:space="0" w:color="auto"/>
            <w:right w:val="none" w:sz="0" w:space="0" w:color="auto"/>
          </w:divBdr>
          <w:divsChild>
            <w:div w:id="17396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5354">
      <w:bodyDiv w:val="1"/>
      <w:marLeft w:val="0"/>
      <w:marRight w:val="0"/>
      <w:marTop w:val="0"/>
      <w:marBottom w:val="0"/>
      <w:divBdr>
        <w:top w:val="none" w:sz="0" w:space="0" w:color="auto"/>
        <w:left w:val="none" w:sz="0" w:space="0" w:color="auto"/>
        <w:bottom w:val="none" w:sz="0" w:space="0" w:color="auto"/>
        <w:right w:val="none" w:sz="0" w:space="0" w:color="auto"/>
      </w:divBdr>
      <w:divsChild>
        <w:div w:id="1640114562">
          <w:marLeft w:val="0"/>
          <w:marRight w:val="0"/>
          <w:marTop w:val="0"/>
          <w:marBottom w:val="0"/>
          <w:divBdr>
            <w:top w:val="none" w:sz="0" w:space="0" w:color="auto"/>
            <w:left w:val="none" w:sz="0" w:space="0" w:color="auto"/>
            <w:bottom w:val="none" w:sz="0" w:space="0" w:color="auto"/>
            <w:right w:val="none" w:sz="0" w:space="0" w:color="auto"/>
          </w:divBdr>
          <w:divsChild>
            <w:div w:id="15267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9E0C-8925-4B55-AF87-1C3E0A0F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2</TotalTime>
  <Pages>3</Pages>
  <Words>1432</Words>
  <Characters>8137</Characters>
  <Application>Microsoft Office Word</Application>
  <DocSecurity>0</DocSecurity>
  <PresentationFormat>Microsoft Word 8.0b</PresentationFormat>
  <Lines>119</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9544</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BIANCHIN Raffaella (SG)</cp:lastModifiedBy>
  <cp:revision>4</cp:revision>
  <cp:lastPrinted>2022-09-22T09:37:00Z</cp:lastPrinted>
  <dcterms:created xsi:type="dcterms:W3CDTF">2022-10-07T11:10:00Z</dcterms:created>
  <dcterms:modified xsi:type="dcterms:W3CDTF">2022-10-07T14:17:00Z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2022-08-09T12:58:20Z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827bd274-1a0d-448e-b270-364dc19e6d82</vt:lpwstr>
  </property>
  <property fmtid="{D5CDD505-2E9C-101B-9397-08002B2CF9AE}" pid="19" name="MSIP_Label_6bd9ddd1-4d20-43f6-abfa-fc3c07406f94_ContentBits">
    <vt:lpwstr>0</vt:lpwstr>
  </property>
</Properties>
</file>