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83C8A" w14:textId="77777777" w:rsidR="00CB2C90" w:rsidRPr="00FB760E" w:rsidRDefault="00CB2C90" w:rsidP="00CB2C90">
      <w:pPr>
        <w:spacing w:after="0"/>
        <w:jc w:val="center"/>
        <w:rPr>
          <w:rFonts w:ascii="Times New Roman" w:hAnsi="Times New Roman"/>
          <w:b/>
          <w:szCs w:val="24"/>
        </w:rPr>
      </w:pPr>
      <w:bookmarkStart w:id="0" w:name="BIH"/>
      <w:r>
        <w:rPr>
          <w:rFonts w:ascii="Times New Roman" w:hAnsi="Times New Roman"/>
          <w:b/>
        </w:rPr>
        <w:t xml:space="preserve">Suite donnée à la résolution non législative du Parlement européen sur </w:t>
      </w:r>
    </w:p>
    <w:p w14:paraId="553756D1" w14:textId="77777777" w:rsidR="00CB2C90" w:rsidRPr="00FB760E" w:rsidRDefault="00CB2C90" w:rsidP="00CB2C90">
      <w:pPr>
        <w:spacing w:after="600"/>
        <w:jc w:val="center"/>
        <w:rPr>
          <w:rFonts w:ascii="Times New Roman" w:hAnsi="Times New Roman"/>
          <w:b/>
          <w:bCs/>
          <w:szCs w:val="24"/>
        </w:rPr>
      </w:pPr>
      <w:proofErr w:type="gramStart"/>
      <w:r>
        <w:rPr>
          <w:rFonts w:ascii="Times New Roman" w:hAnsi="Times New Roman"/>
          <w:b/>
        </w:rPr>
        <w:t>le</w:t>
      </w:r>
      <w:proofErr w:type="gramEnd"/>
      <w:r>
        <w:rPr>
          <w:rFonts w:ascii="Times New Roman" w:hAnsi="Times New Roman"/>
          <w:b/>
        </w:rPr>
        <w:t xml:space="preserve"> rapport 2021 de la Commission concernant la </w:t>
      </w:r>
      <w:bookmarkEnd w:id="0"/>
      <w:r>
        <w:rPr>
          <w:rFonts w:ascii="Times New Roman" w:hAnsi="Times New Roman"/>
          <w:b/>
        </w:rPr>
        <w:t>Bosnie-Herzégovine</w:t>
      </w:r>
    </w:p>
    <w:p w14:paraId="470A8437" w14:textId="77777777" w:rsidR="00CB2C90" w:rsidRPr="00895A39" w:rsidRDefault="00CB2C90" w:rsidP="00CB2C90">
      <w:pPr>
        <w:numPr>
          <w:ilvl w:val="0"/>
          <w:numId w:val="5"/>
        </w:numPr>
        <w:ind w:left="567" w:hanging="567"/>
        <w:rPr>
          <w:rFonts w:ascii="Times New Roman" w:hAnsi="Times New Roman"/>
          <w:b/>
          <w:szCs w:val="24"/>
        </w:rPr>
      </w:pPr>
      <w:r>
        <w:rPr>
          <w:rFonts w:ascii="Times New Roman" w:hAnsi="Times New Roman"/>
          <w:b/>
        </w:rPr>
        <w:t>Rapporteur:</w:t>
      </w:r>
      <w:r>
        <w:rPr>
          <w:rFonts w:ascii="Times New Roman" w:hAnsi="Times New Roman"/>
        </w:rPr>
        <w:t xml:space="preserve"> Paulo RANGEL</w:t>
      </w:r>
      <w:r>
        <w:rPr>
          <w:rFonts w:ascii="Times New Roman" w:hAnsi="Times New Roman"/>
          <w:i/>
        </w:rPr>
        <w:t xml:space="preserve"> </w:t>
      </w:r>
      <w:r>
        <w:rPr>
          <w:rFonts w:ascii="Times New Roman" w:hAnsi="Times New Roman"/>
        </w:rPr>
        <w:t>(PPE/PT)</w:t>
      </w:r>
    </w:p>
    <w:p w14:paraId="797F0838" w14:textId="77777777" w:rsidR="00CB2C90" w:rsidRPr="00F12B3A" w:rsidRDefault="00CB2C90" w:rsidP="00CB2C90">
      <w:pPr>
        <w:numPr>
          <w:ilvl w:val="0"/>
          <w:numId w:val="5"/>
        </w:numPr>
        <w:autoSpaceDE w:val="0"/>
        <w:autoSpaceDN w:val="0"/>
        <w:adjustRightInd w:val="0"/>
        <w:ind w:left="567" w:hanging="567"/>
        <w:rPr>
          <w:rFonts w:ascii="Times New Roman" w:hAnsi="Times New Roman"/>
          <w:i/>
          <w:szCs w:val="24"/>
        </w:rPr>
      </w:pPr>
      <w:r>
        <w:rPr>
          <w:rFonts w:ascii="Times New Roman" w:hAnsi="Times New Roman"/>
          <w:b/>
        </w:rPr>
        <w:t xml:space="preserve">Numéro de référence: </w:t>
      </w:r>
      <w:r>
        <w:rPr>
          <w:rFonts w:ascii="Times New Roman" w:hAnsi="Times New Roman"/>
        </w:rPr>
        <w:t xml:space="preserve">2021/2245 (INI) / </w:t>
      </w:r>
      <w:r>
        <w:rPr>
          <w:rFonts w:ascii="Times New Roman" w:hAnsi="Times New Roman"/>
          <w:shd w:val="clear" w:color="auto" w:fill="FBFCFF"/>
        </w:rPr>
        <w:t xml:space="preserve">A9-0188/2022 / </w:t>
      </w:r>
      <w:r>
        <w:rPr>
          <w:rFonts w:ascii="Times New Roman" w:hAnsi="Times New Roman"/>
        </w:rPr>
        <w:t>P9_</w:t>
      </w:r>
      <w:proofErr w:type="gramStart"/>
      <w:r>
        <w:rPr>
          <w:rFonts w:ascii="Times New Roman" w:hAnsi="Times New Roman"/>
        </w:rPr>
        <w:t>TA(</w:t>
      </w:r>
      <w:proofErr w:type="gramEnd"/>
      <w:r>
        <w:rPr>
          <w:rFonts w:ascii="Times New Roman" w:hAnsi="Times New Roman"/>
        </w:rPr>
        <w:t>2022)283</w:t>
      </w:r>
    </w:p>
    <w:p w14:paraId="196B4F2C" w14:textId="77777777" w:rsidR="00CB2C90" w:rsidRPr="00FB760E" w:rsidRDefault="00CB2C90" w:rsidP="00CB2C90">
      <w:pPr>
        <w:numPr>
          <w:ilvl w:val="0"/>
          <w:numId w:val="5"/>
        </w:numPr>
        <w:ind w:left="567" w:hanging="567"/>
        <w:rPr>
          <w:rFonts w:ascii="Times New Roman" w:hAnsi="Times New Roman"/>
          <w:i/>
          <w:szCs w:val="24"/>
        </w:rPr>
      </w:pPr>
      <w:r>
        <w:rPr>
          <w:rFonts w:ascii="Times New Roman" w:hAnsi="Times New Roman"/>
          <w:b/>
        </w:rPr>
        <w:t xml:space="preserve">Date d’adoption de la résolution: </w:t>
      </w:r>
      <w:r>
        <w:rPr>
          <w:rFonts w:ascii="Times New Roman" w:hAnsi="Times New Roman"/>
        </w:rPr>
        <w:t>6 juillet 2022</w:t>
      </w:r>
    </w:p>
    <w:p w14:paraId="44C90428" w14:textId="77777777" w:rsidR="00CB2C90" w:rsidRPr="00895A39" w:rsidRDefault="00CB2C90" w:rsidP="00CB2C90">
      <w:pPr>
        <w:numPr>
          <w:ilvl w:val="0"/>
          <w:numId w:val="5"/>
        </w:numPr>
        <w:ind w:left="567" w:hanging="567"/>
        <w:rPr>
          <w:rFonts w:ascii="Times New Roman" w:hAnsi="Times New Roman"/>
          <w:szCs w:val="24"/>
        </w:rPr>
      </w:pPr>
      <w:r>
        <w:rPr>
          <w:rFonts w:ascii="Times New Roman" w:hAnsi="Times New Roman"/>
          <w:b/>
        </w:rPr>
        <w:t xml:space="preserve">Commission parlementaire compétente: </w:t>
      </w:r>
      <w:r>
        <w:rPr>
          <w:rFonts w:ascii="Times New Roman" w:hAnsi="Times New Roman"/>
        </w:rPr>
        <w:t>commission des affaires étrangères (AFET)</w:t>
      </w:r>
    </w:p>
    <w:p w14:paraId="6EB13CB5" w14:textId="77777777" w:rsidR="00CB2C90" w:rsidRPr="00FB760E" w:rsidRDefault="00CB2C90" w:rsidP="00CB2C90">
      <w:pPr>
        <w:widowControl w:val="0"/>
        <w:numPr>
          <w:ilvl w:val="0"/>
          <w:numId w:val="5"/>
        </w:numPr>
        <w:ind w:left="567" w:hanging="567"/>
        <w:rPr>
          <w:rFonts w:ascii="Times New Roman" w:hAnsi="Times New Roman"/>
          <w:b/>
          <w:szCs w:val="24"/>
        </w:rPr>
      </w:pPr>
      <w:bookmarkStart w:id="1" w:name="_Hlk116580072"/>
      <w:r>
        <w:rPr>
          <w:rFonts w:ascii="Times New Roman" w:hAnsi="Times New Roman"/>
          <w:b/>
        </w:rPr>
        <w:t>Analyse/évaluation succincte</w:t>
      </w:r>
      <w:bookmarkEnd w:id="1"/>
      <w:r>
        <w:rPr>
          <w:rFonts w:ascii="Times New Roman" w:hAnsi="Times New Roman"/>
          <w:b/>
        </w:rPr>
        <w:t xml:space="preserve"> de la résolution et des demandes qu’elle contient </w:t>
      </w:r>
    </w:p>
    <w:p w14:paraId="2072E537" w14:textId="052BA15F" w:rsidR="00CB2C90" w:rsidRPr="00FB760E" w:rsidRDefault="00CB2C90" w:rsidP="00CB2C90">
      <w:pPr>
        <w:pStyle w:val="NormalHanging12a"/>
        <w:spacing w:after="120"/>
        <w:ind w:left="0" w:firstLine="0"/>
        <w:rPr>
          <w:szCs w:val="24"/>
        </w:rPr>
      </w:pPr>
      <w:r>
        <w:t>La résolution va pour l</w:t>
      </w:r>
      <w:r w:rsidR="000B36AA">
        <w:t>’</w:t>
      </w:r>
      <w:r>
        <w:t>essentiel dans le sens du rapport 2021 de la Commission sur la Bosnie-Herzégovine, ainsi que des positions de l</w:t>
      </w:r>
      <w:r w:rsidR="000B36AA">
        <w:t>’</w:t>
      </w:r>
      <w:r>
        <w:t>UE concernant les progrès réalisés par ce pays sur la voie de l’intégration européenne. Elle reflète les principales conclusions du rapport 2021 de la Commission européenne et les dernières mises à jour, y compris la réunion, le 12 juin dernier, des dirigeants politiques de Bosnie-Herzégovine avec le président du Conseil Louis Michel et le haut représentant/vice-président Josep Borrell:</w:t>
      </w:r>
    </w:p>
    <w:p w14:paraId="72D03363" w14:textId="77777777" w:rsidR="00CB2C90" w:rsidRPr="00895A39" w:rsidRDefault="00CB2C90" w:rsidP="00CB2C90">
      <w:pPr>
        <w:pStyle w:val="NormalHanging12a"/>
        <w:numPr>
          <w:ilvl w:val="0"/>
          <w:numId w:val="6"/>
        </w:numPr>
        <w:spacing w:after="120"/>
        <w:rPr>
          <w:szCs w:val="24"/>
        </w:rPr>
      </w:pPr>
      <w:r>
        <w:t xml:space="preserve">Elle invite les acteurs politiques de Bosnie-Herzégovine à s’engager et à prendre des mesures significatives en vue de l’adhésion à l’Union en progressant sur les </w:t>
      </w:r>
      <w:r>
        <w:rPr>
          <w:b/>
        </w:rPr>
        <w:t>quatorze priorités essentielles</w:t>
      </w:r>
      <w:r>
        <w:t>.</w:t>
      </w:r>
    </w:p>
    <w:p w14:paraId="61203C85" w14:textId="693E595A" w:rsidR="008E465B" w:rsidRPr="008E465B" w:rsidRDefault="008E465B" w:rsidP="008E465B">
      <w:pPr>
        <w:pStyle w:val="NormalHanging12a"/>
        <w:numPr>
          <w:ilvl w:val="0"/>
          <w:numId w:val="6"/>
        </w:numPr>
        <w:spacing w:after="120"/>
        <w:rPr>
          <w:szCs w:val="24"/>
        </w:rPr>
      </w:pPr>
      <w:r>
        <w:t>Elle salue la volonté du Conseil européen d’accorder le statut de pays candidat à la Bosnie-Herzégovine, comme indiqué dans ses conclusions du 23 juin 2022, en soulignant que cela pourrait exprimer un message de soutien et offrir une perspective d’adhésion crédible.</w:t>
      </w:r>
    </w:p>
    <w:p w14:paraId="7D247706" w14:textId="77777777" w:rsidR="00CB2C90" w:rsidRPr="00FB760E" w:rsidRDefault="00CB2C90" w:rsidP="00CB2C90">
      <w:pPr>
        <w:pStyle w:val="NormalHanging12a"/>
        <w:numPr>
          <w:ilvl w:val="0"/>
          <w:numId w:val="6"/>
        </w:numPr>
        <w:spacing w:after="120"/>
        <w:rPr>
          <w:szCs w:val="24"/>
        </w:rPr>
      </w:pPr>
      <w:r>
        <w:t>La résolution</w:t>
      </w:r>
      <w:proofErr w:type="gramStart"/>
      <w:r>
        <w:t xml:space="preserve"> «prend</w:t>
      </w:r>
      <w:proofErr w:type="gramEnd"/>
      <w:r>
        <w:t xml:space="preserve"> acte de la notion de peuples </w:t>
      </w:r>
      <w:r>
        <w:rPr>
          <w:b/>
        </w:rPr>
        <w:t>constitutifs</w:t>
      </w:r>
      <w:r>
        <w:t xml:space="preserve">, mais souligne que celle-ci </w:t>
      </w:r>
      <w:r>
        <w:rPr>
          <w:b/>
        </w:rPr>
        <w:t>ne devrait en aucun cas entraîner la discrimination</w:t>
      </w:r>
      <w:r>
        <w:t xml:space="preserve"> d’autres citoyens </w:t>
      </w:r>
      <w:r>
        <w:rPr>
          <w:b/>
        </w:rPr>
        <w:t>ni conduire à accorder</w:t>
      </w:r>
      <w:r>
        <w:t xml:space="preserve"> aux personnes qui s’identifient à l’un de ces groupes </w:t>
      </w:r>
      <w:r>
        <w:rPr>
          <w:b/>
        </w:rPr>
        <w:t>davantage de droits</w:t>
      </w:r>
      <w:r>
        <w:t xml:space="preserve"> qu’aux autres citoyens de Bosnie-Herzégovine».</w:t>
      </w:r>
    </w:p>
    <w:p w14:paraId="7AF71DB5" w14:textId="77777777" w:rsidR="00CB2C90" w:rsidRPr="00FB760E" w:rsidRDefault="00CB2C90" w:rsidP="00CB2C90">
      <w:pPr>
        <w:pStyle w:val="NormalHanging12a"/>
        <w:numPr>
          <w:ilvl w:val="0"/>
          <w:numId w:val="6"/>
        </w:numPr>
        <w:spacing w:after="120"/>
        <w:rPr>
          <w:szCs w:val="24"/>
        </w:rPr>
      </w:pPr>
      <w:r>
        <w:t>Elle condamne les projets sécessionnistes de la</w:t>
      </w:r>
      <w:r>
        <w:rPr>
          <w:b/>
        </w:rPr>
        <w:t xml:space="preserve"> Republika Srpska (RS)</w:t>
      </w:r>
      <w:r>
        <w:t xml:space="preserve"> et appelle à la reprise complète des travaux des institutions de l’État et au retrait de toute législation et conclusion contraires à l’ordre juridique et constitutionnel de la Bosnie-Herzégovine; elle demande à l’UE et aux États membres de retirer des </w:t>
      </w:r>
      <w:r>
        <w:rPr>
          <w:b/>
        </w:rPr>
        <w:t>fonds</w:t>
      </w:r>
      <w:r>
        <w:t xml:space="preserve"> (se félicitant de la suspension des projets du cadre d’investissement en faveur des Balkans occidentaux en RS) et de </w:t>
      </w:r>
      <w:r>
        <w:rPr>
          <w:b/>
        </w:rPr>
        <w:t>sanctionner</w:t>
      </w:r>
      <w:r>
        <w:t xml:space="preserve"> Milorad Dodik.</w:t>
      </w:r>
    </w:p>
    <w:p w14:paraId="753BA4C2" w14:textId="77777777" w:rsidR="00CB2C90" w:rsidRPr="00FB760E" w:rsidRDefault="00CB2C90" w:rsidP="00CB2C90">
      <w:pPr>
        <w:pStyle w:val="NormalHanging12a"/>
        <w:numPr>
          <w:ilvl w:val="0"/>
          <w:numId w:val="6"/>
        </w:numPr>
        <w:spacing w:after="120"/>
        <w:rPr>
          <w:szCs w:val="24"/>
        </w:rPr>
      </w:pPr>
      <w:r>
        <w:t>Elle appelle à soutenir le Haut représentant Schmidt, y compris en ce qui concerne ses récentes décisions de faire usage des pouvoirs de Bonn pour suspendre la loi de la RS sur les biens immobiliers et imposer un budget pour l’organisation d’élections, eu égard à l’obstruction politique, et se félicite des modifications apportées par le Haut représentant précédent, M. Inzko, pour ériger en infraction pénale la négation du génocide.</w:t>
      </w:r>
    </w:p>
    <w:p w14:paraId="0C2C97FF" w14:textId="4ADE482B" w:rsidR="00CB2C90" w:rsidRPr="00FB760E" w:rsidRDefault="00CB2C90" w:rsidP="00CB2C90">
      <w:pPr>
        <w:pStyle w:val="NormalHanging12a"/>
        <w:numPr>
          <w:ilvl w:val="0"/>
          <w:numId w:val="6"/>
        </w:numPr>
        <w:spacing w:after="120"/>
        <w:rPr>
          <w:szCs w:val="24"/>
        </w:rPr>
      </w:pPr>
      <w:r>
        <w:t xml:space="preserve">Elle exprime un avis nuancé sur les pourparlers menés avec la médiation de l’UE et des États-Unis sur les </w:t>
      </w:r>
      <w:r>
        <w:rPr>
          <w:b/>
          <w:bCs/>
        </w:rPr>
        <w:t>réformes constitutionnelles et électorales</w:t>
      </w:r>
      <w:r>
        <w:t xml:space="preserve"> lorsqu’elle invite à mener un examen et un exercice d’inventaire en ce qui concerne les tentatives de facilitation du </w:t>
      </w:r>
      <w:r>
        <w:lastRenderedPageBreak/>
        <w:t>Service européen pour l’action extérieure (SEAE) et de délégation de l’UE, appelant ceux-ci à toujours agir conformément aux normes démocratiques les plus élevées de l’UE.</w:t>
      </w:r>
    </w:p>
    <w:p w14:paraId="25CFCC4F" w14:textId="77777777" w:rsidR="00CB2C90" w:rsidRPr="00FB760E" w:rsidRDefault="00CB2C90" w:rsidP="00CB2C90">
      <w:pPr>
        <w:pStyle w:val="NormalHanging12a"/>
        <w:numPr>
          <w:ilvl w:val="0"/>
          <w:numId w:val="6"/>
        </w:numPr>
        <w:spacing w:after="120"/>
        <w:rPr>
          <w:szCs w:val="24"/>
        </w:rPr>
      </w:pPr>
      <w:r>
        <w:t>La résolution exprime un</w:t>
      </w:r>
      <w:proofErr w:type="gramStart"/>
      <w:r>
        <w:t xml:space="preserve"> «</w:t>
      </w:r>
      <w:r>
        <w:rPr>
          <w:b/>
        </w:rPr>
        <w:t>avis</w:t>
      </w:r>
      <w:proofErr w:type="gramEnd"/>
      <w:r>
        <w:rPr>
          <w:b/>
        </w:rPr>
        <w:t xml:space="preserve"> nuancé</w:t>
      </w:r>
      <w:r>
        <w:t xml:space="preserve"> sur l’initiative “</w:t>
      </w:r>
      <w:r>
        <w:rPr>
          <w:b/>
        </w:rPr>
        <w:t>Open Balkan</w:t>
      </w:r>
      <w:r>
        <w:t>”, qui ne couvre pas les six pays, et […] devrait se fonder sur les règles de l’Union et contribuer au processus d’intégration à l’Union»</w:t>
      </w:r>
    </w:p>
    <w:p w14:paraId="2FDDAECB" w14:textId="68A99648" w:rsidR="00CB2C90" w:rsidRPr="00FB760E" w:rsidRDefault="00BF3288" w:rsidP="00CB2C90">
      <w:pPr>
        <w:pStyle w:val="NormalHanging12a"/>
        <w:numPr>
          <w:ilvl w:val="0"/>
          <w:numId w:val="7"/>
        </w:numPr>
        <w:spacing w:after="120"/>
        <w:rPr>
          <w:szCs w:val="24"/>
        </w:rPr>
      </w:pPr>
      <w:r>
        <w:t>La résolution mentionne explicitement l’exécution de l’arrêt Ljubić, menant à</w:t>
      </w:r>
      <w:proofErr w:type="gramStart"/>
      <w:r>
        <w:t xml:space="preserve"> «une</w:t>
      </w:r>
      <w:proofErr w:type="gramEnd"/>
      <w:r>
        <w:t xml:space="preserve"> représentation politique suffisamment diversifiée à tous les niveaux de gouvernance».</w:t>
      </w:r>
    </w:p>
    <w:p w14:paraId="66876F25" w14:textId="77777777" w:rsidR="00CB2C90" w:rsidRPr="00FB760E" w:rsidRDefault="00CB2C90" w:rsidP="00CB2C90">
      <w:pPr>
        <w:pStyle w:val="NormalHanging12a"/>
        <w:numPr>
          <w:ilvl w:val="0"/>
          <w:numId w:val="7"/>
        </w:numPr>
        <w:spacing w:after="120"/>
        <w:rPr>
          <w:szCs w:val="24"/>
        </w:rPr>
      </w:pPr>
      <w:r>
        <w:t>En outre, la résolution</w:t>
      </w:r>
      <w:proofErr w:type="gramStart"/>
      <w:r>
        <w:t xml:space="preserve"> «souligne</w:t>
      </w:r>
      <w:proofErr w:type="gramEnd"/>
      <w:r>
        <w:t xml:space="preserve"> qu’il importe de respecter la </w:t>
      </w:r>
      <w:r>
        <w:rPr>
          <w:b/>
        </w:rPr>
        <w:t>souveraineté de la Bosnie-Herzégovine</w:t>
      </w:r>
      <w:r>
        <w:t xml:space="preserve"> lors de la mise en œuvre de </w:t>
      </w:r>
      <w:r>
        <w:rPr>
          <w:b/>
        </w:rPr>
        <w:t>projets d’infrastructure</w:t>
      </w:r>
      <w:r>
        <w:t xml:space="preserve"> en Bosnie-Herzégovine, et notamment des projets auxquels participent des entreprises de pays tiers», une allusion à la réalisation de projets énergétiques transfrontières avec la </w:t>
      </w:r>
      <w:r>
        <w:rPr>
          <w:b/>
        </w:rPr>
        <w:t>Croatie</w:t>
      </w:r>
      <w:r>
        <w:t xml:space="preserve"> (ancienne raffinerie de Brod) et avec la </w:t>
      </w:r>
      <w:r>
        <w:rPr>
          <w:b/>
        </w:rPr>
        <w:t>Serbie</w:t>
      </w:r>
      <w:r>
        <w:t xml:space="preserve"> (Buk Bijela) sans participation du niveau étatique.</w:t>
      </w:r>
    </w:p>
    <w:p w14:paraId="74BFD0A1" w14:textId="77777777" w:rsidR="00CB2C90" w:rsidRPr="00FB760E" w:rsidRDefault="00CB2C90" w:rsidP="00CB2C90">
      <w:pPr>
        <w:pStyle w:val="NormalHanging12a"/>
        <w:numPr>
          <w:ilvl w:val="0"/>
          <w:numId w:val="7"/>
        </w:numPr>
        <w:spacing w:after="120"/>
        <w:rPr>
          <w:szCs w:val="24"/>
        </w:rPr>
      </w:pPr>
      <w:r>
        <w:t xml:space="preserve">En ce qui concerne la réconciliation, la résolution condamne l’interdiction de la marche du ruban blanc à </w:t>
      </w:r>
      <w:r>
        <w:rPr>
          <w:b/>
        </w:rPr>
        <w:t>Prijedor</w:t>
      </w:r>
      <w:r>
        <w:t xml:space="preserve"> le 31 mai et appelle la Commission à subordonner les financements au titre de l’IPA (instrument d’aide de préadhésion) à la «mise en œuvre d’une paix durable et d’une véritable réconciliation»; la résolution appelle également à une réforme de l’</w:t>
      </w:r>
      <w:r>
        <w:rPr>
          <w:b/>
        </w:rPr>
        <w:t>éducation</w:t>
      </w:r>
      <w:r>
        <w:t>, à l’abandon de la pratique des «deux écoles sous un même toit» et à l’élaboration de programmes d’études inclusifs sans «contenus contrefactuels qui alimentent la division».</w:t>
      </w:r>
    </w:p>
    <w:p w14:paraId="7DB3A9CB" w14:textId="77777777" w:rsidR="00CB2C90" w:rsidRPr="00FB760E" w:rsidRDefault="00CB2C90" w:rsidP="00CB2C90">
      <w:pPr>
        <w:pStyle w:val="NormalHanging12a"/>
        <w:numPr>
          <w:ilvl w:val="0"/>
          <w:numId w:val="7"/>
        </w:numPr>
        <w:spacing w:after="120"/>
        <w:rPr>
          <w:szCs w:val="24"/>
        </w:rPr>
      </w:pPr>
      <w:r>
        <w:t xml:space="preserve">Dans sa résolution, le Parlement européen se félicite de l’ouverture du centre financé par l’Union à </w:t>
      </w:r>
      <w:r>
        <w:rPr>
          <w:b/>
        </w:rPr>
        <w:t>Lipa</w:t>
      </w:r>
      <w:r>
        <w:t xml:space="preserve">, mais regrette qu’il ne soit toujours pas accessible; il appelle à davantage de transparence dans la gestion, par l’OIM, des fonds de l’UE dans le domaine de la </w:t>
      </w:r>
      <w:r>
        <w:rPr>
          <w:b/>
        </w:rPr>
        <w:t>migration</w:t>
      </w:r>
      <w:r>
        <w:t xml:space="preserve"> et se déclare préoccupé par les informations nombreuses et fiables qui font état de </w:t>
      </w:r>
      <w:r>
        <w:rPr>
          <w:b/>
        </w:rPr>
        <w:t>renvois forcés</w:t>
      </w:r>
      <w:r>
        <w:t xml:space="preserve"> en Bosnie-Herzégovine.</w:t>
      </w:r>
    </w:p>
    <w:p w14:paraId="7085D3F1" w14:textId="77777777" w:rsidR="00CB2C90" w:rsidRPr="00FB760E" w:rsidRDefault="00CB2C90" w:rsidP="00CB2C90">
      <w:pPr>
        <w:pStyle w:val="NormalHanging12a"/>
        <w:numPr>
          <w:ilvl w:val="0"/>
          <w:numId w:val="7"/>
        </w:numPr>
        <w:spacing w:after="120"/>
        <w:rPr>
          <w:szCs w:val="24"/>
        </w:rPr>
      </w:pPr>
      <w:r>
        <w:t>Il se félicite de l’</w:t>
      </w:r>
      <w:r>
        <w:rPr>
          <w:b/>
        </w:rPr>
        <w:t>alignement</w:t>
      </w:r>
      <w:r>
        <w:t xml:space="preserve"> croissant de la Bosnie-Herzégovine sur la politique étrangère et de sécurité commune </w:t>
      </w:r>
      <w:r>
        <w:rPr>
          <w:b/>
        </w:rPr>
        <w:t>(PESC)</w:t>
      </w:r>
      <w:r>
        <w:t xml:space="preserve"> de l’Union en ce qui concerne l’Ukraine; il regrette toutefois que certains acteurs politiques </w:t>
      </w:r>
      <w:r>
        <w:rPr>
          <w:b/>
        </w:rPr>
        <w:t>bloquent</w:t>
      </w:r>
      <w:r>
        <w:t xml:space="preserve"> l’application des sanctions, et invite ceux-ci instamment à prendre leurs distances avec la Russie de Poutine, exprimant également des préoccupations concernant le projet de la Russie d’ouvrir un</w:t>
      </w:r>
      <w:proofErr w:type="gramStart"/>
      <w:r>
        <w:t xml:space="preserve"> «centre</w:t>
      </w:r>
      <w:proofErr w:type="gramEnd"/>
      <w:r>
        <w:t xml:space="preserve"> humanitaire» à Banja Luka. La résolution</w:t>
      </w:r>
      <w:proofErr w:type="gramStart"/>
      <w:r>
        <w:t xml:space="preserve"> «juge</w:t>
      </w:r>
      <w:proofErr w:type="gramEnd"/>
      <w:r>
        <w:t xml:space="preserve"> alarmant que la </w:t>
      </w:r>
      <w:r>
        <w:rPr>
          <w:b/>
        </w:rPr>
        <w:t>Hongrie</w:t>
      </w:r>
      <w:r>
        <w:t xml:space="preserve"> et la </w:t>
      </w:r>
      <w:r>
        <w:rPr>
          <w:b/>
        </w:rPr>
        <w:t>Serbie</w:t>
      </w:r>
      <w:r>
        <w:t xml:space="preserve"> servent les objectifs géopolitiques de la Chine et de la Russie».</w:t>
      </w:r>
    </w:p>
    <w:p w14:paraId="5920C6DA" w14:textId="77777777" w:rsidR="00CB2C90" w:rsidRPr="00FB760E" w:rsidRDefault="00CB2C90" w:rsidP="00CB2C90">
      <w:pPr>
        <w:pStyle w:val="NormalHanging12a"/>
        <w:numPr>
          <w:ilvl w:val="0"/>
          <w:numId w:val="7"/>
        </w:numPr>
        <w:spacing w:after="120"/>
        <w:rPr>
          <w:szCs w:val="24"/>
        </w:rPr>
      </w:pPr>
      <w:r>
        <w:t xml:space="preserve">La résolution se félicite également de la présence de la force de l’Union européenne en Bosnie-Herzégovine </w:t>
      </w:r>
      <w:r>
        <w:rPr>
          <w:b/>
        </w:rPr>
        <w:t>(EUFOR Althea)</w:t>
      </w:r>
      <w:r>
        <w:t xml:space="preserve"> et de son récent renforcement, et demande aux États membres de mettre au point des </w:t>
      </w:r>
      <w:r>
        <w:rPr>
          <w:b/>
        </w:rPr>
        <w:t>solutions de substitution</w:t>
      </w:r>
      <w:r>
        <w:t xml:space="preserve"> pour maintenir un mécanisme d’imposition de la paix au cas où le </w:t>
      </w:r>
      <w:r>
        <w:rPr>
          <w:b/>
        </w:rPr>
        <w:t>mandat exécutif</w:t>
      </w:r>
      <w:r>
        <w:t xml:space="preserve"> de l’EUFOR Altea n’est pas prolongé par du Conseil de sécurité de l’ONU en novembre.</w:t>
      </w:r>
    </w:p>
    <w:p w14:paraId="59796E3D" w14:textId="65B8AD6B" w:rsidR="00CB2C90" w:rsidRPr="00FB760E" w:rsidRDefault="00CB2C90" w:rsidP="00CB2C90">
      <w:pPr>
        <w:widowControl w:val="0"/>
        <w:ind w:left="426" w:hanging="426"/>
        <w:rPr>
          <w:rFonts w:ascii="Times New Roman" w:hAnsi="Times New Roman"/>
          <w:b/>
          <w:szCs w:val="24"/>
        </w:rPr>
      </w:pPr>
      <w:r>
        <w:rPr>
          <w:rFonts w:ascii="Times New Roman" w:hAnsi="Times New Roman"/>
          <w:b/>
        </w:rPr>
        <w:t xml:space="preserve">6. </w:t>
      </w:r>
      <w:r>
        <w:tab/>
      </w:r>
      <w:r>
        <w:rPr>
          <w:rFonts w:ascii="Times New Roman" w:hAnsi="Times New Roman"/>
          <w:b/>
        </w:rPr>
        <w:t xml:space="preserve">Réponse à ces demandes et aperçu des mesures que la Commission a prises ou envisage de prendre </w:t>
      </w:r>
    </w:p>
    <w:p w14:paraId="2286FA38" w14:textId="77777777" w:rsidR="00CB2C90" w:rsidRDefault="00CB2C90" w:rsidP="00CB2C90">
      <w:pPr>
        <w:widowControl w:val="0"/>
        <w:spacing w:after="120"/>
        <w:rPr>
          <w:rFonts w:ascii="Times New Roman" w:hAnsi="Times New Roman"/>
          <w:szCs w:val="24"/>
        </w:rPr>
      </w:pPr>
      <w:r>
        <w:rPr>
          <w:rFonts w:ascii="Times New Roman" w:hAnsi="Times New Roman"/>
        </w:rPr>
        <w:t xml:space="preserve">Dans l’ensemble, la Commission se félicite du soutien apporté par cette résolution au rapport 2021 de la Commission. La Commission partage l’évaluation du Parlement sur la situation en Bosnie-Herzégovine et sur la nécessité d’obtenir des résultats concrets en ce qui concerne la réalisation </w:t>
      </w:r>
      <w:r>
        <w:rPr>
          <w:rFonts w:ascii="Times New Roman" w:hAnsi="Times New Roman"/>
        </w:rPr>
        <w:lastRenderedPageBreak/>
        <w:t xml:space="preserve">des quatorze grandes priorités afin de progresser sur la voie de l’adhésion à l’Union. La Commission convient de l’importance de l’adoption de réformes dans le domaine de l’état de droit et en matière constitutionnelle/électorale. Elle attend aussi des responsables politiques de la Bosnie-Herzégovine qu’ils mettent un terme aux discours séparatistes et de nature à semer la division. La Commission continue de plaider en faveur d’un régime d’asile et de migration fonctionnel et </w:t>
      </w:r>
      <w:proofErr w:type="gramStart"/>
      <w:r>
        <w:rPr>
          <w:rFonts w:ascii="Times New Roman" w:hAnsi="Times New Roman"/>
        </w:rPr>
        <w:t>pérenne..</w:t>
      </w:r>
      <w:proofErr w:type="gramEnd"/>
      <w:r>
        <w:rPr>
          <w:rFonts w:ascii="Times New Roman" w:hAnsi="Times New Roman"/>
        </w:rPr>
        <w:t xml:space="preserve"> La Commission continuera d’aider les autorités de Bosnie-Herzégovine à obtenir des résultats dans ces domaines.</w:t>
      </w:r>
    </w:p>
    <w:p w14:paraId="2F3A0AF0" w14:textId="77777777" w:rsidR="00CB2C90" w:rsidRPr="00FB760E" w:rsidRDefault="00CB2C90" w:rsidP="00CB2C90">
      <w:pPr>
        <w:keepNext/>
        <w:keepLines/>
        <w:spacing w:after="120"/>
        <w:rPr>
          <w:rFonts w:ascii="Times New Roman" w:hAnsi="Times New Roman"/>
          <w:szCs w:val="24"/>
        </w:rPr>
      </w:pPr>
      <w:r>
        <w:rPr>
          <w:rFonts w:ascii="Times New Roman" w:hAnsi="Times New Roman"/>
        </w:rPr>
        <w:t>Points particuliers au sujet desquels la résolution du Parlement européen appelle la Commission à prendre des mesures:</w:t>
      </w:r>
    </w:p>
    <w:p w14:paraId="60C275CC" w14:textId="77777777" w:rsidR="00CB2C90" w:rsidRPr="00895A39" w:rsidRDefault="00CB2C90" w:rsidP="00CB2C90">
      <w:pPr>
        <w:spacing w:after="120"/>
        <w:rPr>
          <w:rFonts w:ascii="Times New Roman" w:hAnsi="Times New Roman"/>
          <w:iCs/>
          <w:szCs w:val="24"/>
        </w:rPr>
      </w:pPr>
      <w:r>
        <w:rPr>
          <w:rFonts w:ascii="Times New Roman" w:hAnsi="Times New Roman"/>
        </w:rPr>
        <w:t xml:space="preserve">Le paragraphe 8 incite vivement la Commission, le Service européen pour l’action extérieure (SEAE) et les États membres à exprimer publiquement leur </w:t>
      </w:r>
      <w:r>
        <w:rPr>
          <w:rFonts w:ascii="Times New Roman" w:hAnsi="Times New Roman"/>
          <w:b/>
        </w:rPr>
        <w:t>soutien</w:t>
      </w:r>
      <w:r>
        <w:rPr>
          <w:rFonts w:ascii="Times New Roman" w:hAnsi="Times New Roman"/>
        </w:rPr>
        <w:t xml:space="preserve"> sans équivoque au mandat du </w:t>
      </w:r>
      <w:r>
        <w:rPr>
          <w:rFonts w:ascii="Times New Roman" w:hAnsi="Times New Roman"/>
          <w:b/>
        </w:rPr>
        <w:t>Haut représentant</w:t>
      </w:r>
      <w:r>
        <w:rPr>
          <w:rFonts w:ascii="Times New Roman" w:hAnsi="Times New Roman"/>
        </w:rPr>
        <w:t xml:space="preserve"> dans son intégralité et à coopérer étroitement pour soutenir ce dernier dans la mise en œuvre du programme 5+2.</w:t>
      </w:r>
    </w:p>
    <w:p w14:paraId="1F2E006F" w14:textId="77777777" w:rsidR="00CB2C90" w:rsidRPr="00895A39" w:rsidRDefault="00CB2C90" w:rsidP="00CB2C90">
      <w:pPr>
        <w:spacing w:after="120"/>
        <w:rPr>
          <w:rFonts w:ascii="Times New Roman" w:hAnsi="Times New Roman"/>
          <w:szCs w:val="24"/>
        </w:rPr>
      </w:pPr>
      <w:r>
        <w:rPr>
          <w:rFonts w:ascii="Times New Roman" w:hAnsi="Times New Roman"/>
        </w:rPr>
        <w:t>La Commission et le haut représentant expriment régulièrement leur soutien au mandat du Haut représentant Schmidt et coopèrent en vue de favoriser des solutions nationales, pour lesquelles les dirigeants politiques sont tenus de rendre des comptes. Comme l’a souligné la Commission dans son avis, une surveillance internationale de grande ampleur est incompatible avec la souveraineté de la Bosnie-Herzégovine et donc avec son intégration à l’UE.</w:t>
      </w:r>
    </w:p>
    <w:p w14:paraId="42D35653" w14:textId="38F03621" w:rsidR="00CB2C90" w:rsidRPr="00895A39" w:rsidRDefault="00CB2C90" w:rsidP="00CB2C90">
      <w:pPr>
        <w:spacing w:after="120"/>
        <w:rPr>
          <w:rFonts w:ascii="Times New Roman" w:hAnsi="Times New Roman"/>
          <w:i/>
          <w:iCs/>
          <w:szCs w:val="24"/>
        </w:rPr>
      </w:pPr>
      <w:r>
        <w:rPr>
          <w:rFonts w:ascii="Times New Roman" w:hAnsi="Times New Roman"/>
        </w:rPr>
        <w:t xml:space="preserve">Le paragraphe 10 s’oppose à toute concession dommageable sur la question des </w:t>
      </w:r>
      <w:r>
        <w:rPr>
          <w:rFonts w:ascii="Times New Roman" w:hAnsi="Times New Roman"/>
          <w:b/>
        </w:rPr>
        <w:t>biens de l’État et de la défense</w:t>
      </w:r>
      <w:r>
        <w:rPr>
          <w:rFonts w:ascii="Times New Roman" w:hAnsi="Times New Roman"/>
        </w:rPr>
        <w:t>; il demande aux parties prenantes internationales, notamment à la Commission et à la délégation de l’Union, d’</w:t>
      </w:r>
      <w:r>
        <w:rPr>
          <w:rFonts w:ascii="Times New Roman" w:hAnsi="Times New Roman"/>
          <w:b/>
          <w:bCs/>
        </w:rPr>
        <w:t>appuyer le Bureau du Haut Représentant (BHR) et son groupe d’experts</w:t>
      </w:r>
      <w:r>
        <w:rPr>
          <w:rFonts w:ascii="Times New Roman" w:hAnsi="Times New Roman"/>
        </w:rPr>
        <w:t xml:space="preserve"> dans leur recherche d’une solution durable avantageuse pour l’ensemble du pays et tous les citoyens, et de réagir de manière plus vigoureuse et plus crédible aux velléités sécessionnistes des dirigeants de l’entité de la Republika Srpska.</w:t>
      </w:r>
    </w:p>
    <w:p w14:paraId="40A38A3D" w14:textId="4ACBF24A" w:rsidR="00CB2C90" w:rsidRDefault="00CB2C90" w:rsidP="00CB2C90">
      <w:pPr>
        <w:spacing w:after="120"/>
        <w:rPr>
          <w:rFonts w:ascii="Times New Roman" w:hAnsi="Times New Roman"/>
          <w:szCs w:val="24"/>
        </w:rPr>
      </w:pPr>
      <w:r>
        <w:rPr>
          <w:rFonts w:ascii="Times New Roman" w:hAnsi="Times New Roman"/>
        </w:rPr>
        <w:t>La Commission soutient le rôle du parlement de Bosnie-Herzégovine en tant que principal forum de dialogue politique sur des sujets de préoccupation, y compris les questions relatives aux biens de l’État et de la défense. À cet égard,</w:t>
      </w:r>
      <w:bookmarkStart w:id="2" w:name="_GoBack"/>
      <w:bookmarkEnd w:id="2"/>
      <w:r>
        <w:rPr>
          <w:rFonts w:ascii="Times New Roman" w:hAnsi="Times New Roman"/>
        </w:rPr>
        <w:t xml:space="preserve"> la Commission soutient le groupe de travail parlementaire sur ce sujet et est prête à apporter son soutien conjointement avec le BHR. Toute solution devra être conforme à la jurisprudence de la Cour constitutionnelle de Bosnie-Herzégovine sur les biens de l’État.</w:t>
      </w:r>
    </w:p>
    <w:p w14:paraId="5CFB2910" w14:textId="77777777" w:rsidR="00CB2C90" w:rsidRPr="00895A39" w:rsidRDefault="00CB2C90" w:rsidP="00CB2C90">
      <w:pPr>
        <w:spacing w:after="120"/>
        <w:rPr>
          <w:rFonts w:ascii="Times New Roman" w:hAnsi="Times New Roman"/>
          <w:i/>
          <w:iCs/>
          <w:szCs w:val="24"/>
        </w:rPr>
      </w:pPr>
      <w:r>
        <w:rPr>
          <w:rFonts w:ascii="Times New Roman" w:hAnsi="Times New Roman"/>
        </w:rPr>
        <w:t xml:space="preserve">Le paragraphe 21 insiste sur le fait qu’il convient de s’attaquer de manière plus vigoureuse aux obstacles qui continuent de se dresser sur la voie de la réconciliation; il invite la Commission à </w:t>
      </w:r>
      <w:r>
        <w:rPr>
          <w:rFonts w:ascii="Times New Roman" w:hAnsi="Times New Roman"/>
          <w:b/>
        </w:rPr>
        <w:t>fournir des cadres de dialogue sur les héritages du passé</w:t>
      </w:r>
      <w:r>
        <w:rPr>
          <w:rFonts w:ascii="Times New Roman" w:hAnsi="Times New Roman"/>
        </w:rPr>
        <w:t>.</w:t>
      </w:r>
    </w:p>
    <w:p w14:paraId="2A634206" w14:textId="0E725CFE" w:rsidR="00CB2C90" w:rsidRPr="00FB760E" w:rsidRDefault="00CB2C90" w:rsidP="00CB2C90">
      <w:pPr>
        <w:spacing w:after="120"/>
        <w:rPr>
          <w:rFonts w:ascii="Times New Roman" w:hAnsi="Times New Roman"/>
          <w:szCs w:val="24"/>
        </w:rPr>
      </w:pPr>
      <w:r>
        <w:rPr>
          <w:rFonts w:ascii="Times New Roman" w:hAnsi="Times New Roman"/>
        </w:rPr>
        <w:t>La stratégie de la Commission pour les Balkans occidentaux</w:t>
      </w:r>
      <w:r>
        <w:rPr>
          <w:rStyle w:val="FootnoteReference"/>
          <w:rFonts w:ascii="Times New Roman" w:hAnsi="Times New Roman"/>
          <w:szCs w:val="24"/>
        </w:rPr>
        <w:footnoteReference w:id="1"/>
      </w:r>
      <w:r>
        <w:rPr>
          <w:rFonts w:ascii="Times New Roman" w:hAnsi="Times New Roman"/>
        </w:rPr>
        <w:t xml:space="preserve"> était axée sur la nécessité de surmonter l’héritage du passé. Il en a résulté un soutien aux initiatives régionales visant à résoudre les affaires en suspens concernant des personnes portées disparues dans la région, un soutien au Mécanisme international appelé à exercer les fonctions résiduelles des Tribunaux pénaux, ainsi que des efforts plus larges visant à encourager la coopération régionale pour lutter contre l’impunité des auteurs de crimes de guerre. Un certain nombre d’actions dans le domaine social et culturel ont également bénéficié d’un soutien, destiné à contribuer à resserrer les liens au sein de la région et à favoriser les relations de bon voisinage. La Commission traite les questions en rapport avec la réconciliation et à la justice transitionnelle dans le cadre du dialogue stratégique entre l’UE </w:t>
      </w:r>
      <w:r>
        <w:rPr>
          <w:rFonts w:ascii="Times New Roman" w:hAnsi="Times New Roman"/>
        </w:rPr>
        <w:lastRenderedPageBreak/>
        <w:t>et la Bosnie-Herzégovine qui s’inscrit dans l’accord de stabilisation et d’association (sous-comité chargé de la justice, de la liberté et de la sécurité).</w:t>
      </w:r>
    </w:p>
    <w:p w14:paraId="3CE8B9A5" w14:textId="77777777" w:rsidR="00CB2C90" w:rsidRPr="00895A39" w:rsidRDefault="00CB2C90" w:rsidP="00CB2C90">
      <w:pPr>
        <w:spacing w:after="120"/>
        <w:rPr>
          <w:rFonts w:ascii="Times New Roman" w:hAnsi="Times New Roman"/>
          <w:i/>
          <w:iCs/>
          <w:szCs w:val="24"/>
        </w:rPr>
      </w:pPr>
      <w:r>
        <w:rPr>
          <w:rFonts w:ascii="Times New Roman" w:hAnsi="Times New Roman"/>
        </w:rPr>
        <w:t xml:space="preserve">Le paragraphe 28 souligne que le financement apporté au titre de l’IAP III doit être modulé, voire suspendu, en cas de régression importante ou d’absence persistante de progrès dans le domaine de l’état de droit et des droits fondamentaux, y compris la lutte contre la corruption et la criminalité organisée et la liberté des médias, et demande la Commission que </w:t>
      </w:r>
      <w:r>
        <w:rPr>
          <w:rFonts w:ascii="Times New Roman" w:hAnsi="Times New Roman"/>
          <w:b/>
        </w:rPr>
        <w:t>des lignes directrices soient élaborées sur son application</w:t>
      </w:r>
      <w:r>
        <w:rPr>
          <w:rFonts w:ascii="Times New Roman" w:hAnsi="Times New Roman"/>
        </w:rPr>
        <w:t>, conformément aux recommandations du rapport spécial nº 01/2022 de la Cour des comptes européenne.</w:t>
      </w:r>
    </w:p>
    <w:p w14:paraId="4726C422" w14:textId="77777777" w:rsidR="00CB2C90" w:rsidRPr="00FB760E" w:rsidRDefault="00CB2C90" w:rsidP="00CB2C90">
      <w:pPr>
        <w:spacing w:after="120"/>
        <w:rPr>
          <w:rFonts w:ascii="Times New Roman" w:hAnsi="Times New Roman"/>
          <w:szCs w:val="24"/>
        </w:rPr>
      </w:pPr>
      <w:r>
        <w:rPr>
          <w:rFonts w:ascii="Times New Roman" w:hAnsi="Times New Roman"/>
        </w:rPr>
        <w:t>La Commission a accueilli favorablement le rapport de la Cour des Comptes et est en train de mettre en œuvre les recommandations. Le règlement IAP III pré voit la possibilité de réduire le financement en cas de régression importante ou d’absence persistante de progrès de la part d’un pays dans le domaine des fondamentaux. De la même manière, l’aide pourra être de nouveau augmentée lorsque les progrès auront repris. La Commission applique et continuera d’appliquer la conditionnalité, comme le prévoit le cadre juridique du règlement IAP III, et ce, au cas par cas, après une analyse approfondie et en tenant dûment compte de son incidence. L’établissement de rapports et le suivi concernant les projets relevant de l’IAP sont également en cours d’amélioration.</w:t>
      </w:r>
    </w:p>
    <w:p w14:paraId="353F3A59" w14:textId="77777777" w:rsidR="00CB2C90" w:rsidRPr="00895A39" w:rsidRDefault="00CB2C90" w:rsidP="00CB2C90">
      <w:pPr>
        <w:spacing w:after="120"/>
        <w:rPr>
          <w:rFonts w:ascii="Times New Roman" w:hAnsi="Times New Roman"/>
          <w:iCs/>
          <w:szCs w:val="24"/>
        </w:rPr>
      </w:pPr>
      <w:r>
        <w:rPr>
          <w:rFonts w:ascii="Times New Roman" w:hAnsi="Times New Roman"/>
        </w:rPr>
        <w:t xml:space="preserve">Le paragraphe 13 exprime des préoccupations quant aux </w:t>
      </w:r>
      <w:r>
        <w:rPr>
          <w:rFonts w:ascii="Times New Roman" w:hAnsi="Times New Roman"/>
          <w:b/>
        </w:rPr>
        <w:t>allégations</w:t>
      </w:r>
      <w:r>
        <w:rPr>
          <w:rFonts w:ascii="Times New Roman" w:hAnsi="Times New Roman"/>
        </w:rPr>
        <w:t xml:space="preserve"> relatives au rôle du commissaire au voisinage et à l’élargissement dans le cadre du vote de l’Assemblée nationale de la RS sur la feuille de route en vue de son retrait des institutions de l’État de Bosnie-Herzégovine; il rappelle les obligations d’intégrité, de discrétion et d’indépendance des commissaires, conformément au code de conduite des membres de la Commission européenne, et invite dès lors la Commission à évaluer les </w:t>
      </w:r>
      <w:r>
        <w:rPr>
          <w:rFonts w:ascii="Times New Roman" w:hAnsi="Times New Roman"/>
          <w:b/>
        </w:rPr>
        <w:t>actions récentes du commissaire Olivér Várhelyi</w:t>
      </w:r>
      <w:r>
        <w:rPr>
          <w:rFonts w:ascii="Times New Roman" w:hAnsi="Times New Roman"/>
        </w:rPr>
        <w:t xml:space="preserve"> à cet égard.</w:t>
      </w:r>
    </w:p>
    <w:p w14:paraId="55AE34AF" w14:textId="77777777" w:rsidR="00CB2C90" w:rsidRPr="00FB760E" w:rsidRDefault="00CB2C90" w:rsidP="00CB2C90">
      <w:pPr>
        <w:autoSpaceDE w:val="0"/>
        <w:autoSpaceDN w:val="0"/>
        <w:adjustRightInd w:val="0"/>
        <w:spacing w:after="120"/>
        <w:rPr>
          <w:rFonts w:ascii="Times New Roman" w:hAnsi="Times New Roman"/>
          <w:iCs/>
          <w:szCs w:val="24"/>
        </w:rPr>
      </w:pPr>
      <w:r>
        <w:rPr>
          <w:rFonts w:ascii="Times New Roman" w:hAnsi="Times New Roman"/>
        </w:rPr>
        <w:t>La présidente de la Commission, M</w:t>
      </w:r>
      <w:r>
        <w:rPr>
          <w:rFonts w:ascii="Times New Roman" w:hAnsi="Times New Roman"/>
          <w:vertAlign w:val="superscript"/>
        </w:rPr>
        <w:t>me</w:t>
      </w:r>
      <w:r>
        <w:rPr>
          <w:rFonts w:ascii="Times New Roman" w:hAnsi="Times New Roman"/>
        </w:rPr>
        <w:t> von der Leyen a répondu par écrit le 21 février à une lettre de 30 membres du Parlement européen à ce sujet, soulignant que la Commission était résolument attachée à l’intégrité territoriale et à la souveraineté de la Bosnie-Herzégovine et rejetait toute proposition qui porterait atteinte à son cadre constitutionnel. Lors de sa visite en novembre 2021, le commissaire Várhelyi a repris</w:t>
      </w:r>
      <w:r>
        <w:t xml:space="preserve"> </w:t>
      </w:r>
      <w:r>
        <w:rPr>
          <w:rFonts w:ascii="Times New Roman" w:hAnsi="Times New Roman"/>
        </w:rPr>
        <w:t>ces points à plusieurs reprises, avec tous les dirigeants politiques. Il a ensuite été informé par le membre serbe de la présidence de Bosnie-Herzégovine et le chef du SNSD, M. Milorad Dodik, de son intention de convoquer une session de l’Assemblée nationale de la Republika Srpska le 10 décembre 2021 afin d’engager un processus de retrait des compétences. Le commissaire Várhelyi a plaidé avec force contre ces projets. L’opposition notoire du commissaire Várhelyi au retrait des compétences a été clairement exprimée dans des déclarations faites aux médias lors de sa visite en Bosnie-Herzégovine.</w:t>
      </w:r>
    </w:p>
    <w:p w14:paraId="1727FAF0" w14:textId="77777777" w:rsidR="00CB2C90" w:rsidRDefault="00CB2C90" w:rsidP="00CB2C90">
      <w:pPr>
        <w:autoSpaceDE w:val="0"/>
        <w:autoSpaceDN w:val="0"/>
        <w:adjustRightInd w:val="0"/>
        <w:spacing w:after="120"/>
        <w:rPr>
          <w:rFonts w:ascii="Times New Roman" w:hAnsi="Times New Roman"/>
          <w:iCs/>
          <w:szCs w:val="24"/>
        </w:rPr>
      </w:pPr>
      <w:r>
        <w:rPr>
          <w:rFonts w:ascii="Times New Roman" w:hAnsi="Times New Roman"/>
        </w:rPr>
        <w:t>Le commissaire Várhelyi a souligné que les projets annoncés par les dirigeants de l’entité de la Republika Srpska visant à démanteler les institutions de l’État éloigneraient encore la Bosnie-Herzégovine de l’alignement sur l’acquis de l’UE et mettraient en suspens ses progrès sur la voie de l’adhésion à l’UE. Il a en outre souligné que ces projets, s’ils étaient mis en œuvre, auraient des incidences très négatives sur les entreprises et les citoyens, y compris au sein même de l’entité de la Republika Srpska, car le pays ne serait pas en mesure de tirer pleinement parti des programmes de l’Union et du plan économique et d’investissement pour les Balkans occidentaux. Le commissaire Várhelyi a réitéré cette position lors d’entretiens téléphoniques et de rencontres avec des dirigeants politiques.</w:t>
      </w:r>
    </w:p>
    <w:p w14:paraId="73D28919" w14:textId="77777777" w:rsidR="00CB2C90" w:rsidRPr="00FB760E" w:rsidRDefault="00CB2C90" w:rsidP="00CB2C90">
      <w:pPr>
        <w:autoSpaceDE w:val="0"/>
        <w:autoSpaceDN w:val="0"/>
        <w:adjustRightInd w:val="0"/>
        <w:spacing w:after="120"/>
        <w:rPr>
          <w:rFonts w:ascii="Times New Roman" w:hAnsi="Times New Roman"/>
          <w:szCs w:val="24"/>
        </w:rPr>
      </w:pPr>
      <w:r>
        <w:rPr>
          <w:rFonts w:ascii="Times New Roman" w:hAnsi="Times New Roman"/>
        </w:rPr>
        <w:t xml:space="preserve">L’UE attend des représentants de l’entité de la Republika Srpska qu’ils réintègrent en leur pleine capacité les institutions de l’État et veillent à leur bon fonctionnement car c’est une condition </w:t>
      </w:r>
      <w:r>
        <w:rPr>
          <w:rFonts w:ascii="Times New Roman" w:hAnsi="Times New Roman"/>
        </w:rPr>
        <w:lastRenderedPageBreak/>
        <w:t>essentielle pour que la Bosnie-Herzégovine bénéficie pleinement des programmes et des fonds de l’UE et favorise la reprise socio-économique après la pandémie. Sans institutions publiques pleinement opérationnelles, la Bosnie-Herzégovine compromet son avenir européen, comme l’a souligné à maintes reprises le commissaire Várhelyi lors de son déplacement dans le pays.</w:t>
      </w:r>
    </w:p>
    <w:p w14:paraId="6EE281F6" w14:textId="77777777" w:rsidR="00CB2C90" w:rsidRPr="00895A39" w:rsidRDefault="00CB2C90" w:rsidP="00CB2C90">
      <w:pPr>
        <w:spacing w:after="120"/>
        <w:rPr>
          <w:rFonts w:ascii="Times New Roman" w:hAnsi="Times New Roman"/>
          <w:i/>
          <w:iCs/>
          <w:szCs w:val="24"/>
        </w:rPr>
      </w:pPr>
      <w:r>
        <w:rPr>
          <w:rFonts w:ascii="Times New Roman" w:hAnsi="Times New Roman"/>
        </w:rPr>
        <w:t xml:space="preserve">Le paragraphe 63 invite la Commission à </w:t>
      </w:r>
      <w:r>
        <w:rPr>
          <w:rFonts w:ascii="Times New Roman" w:hAnsi="Times New Roman"/>
          <w:b/>
        </w:rPr>
        <w:t>réorienter le soutien de l’IAP III</w:t>
      </w:r>
      <w:r>
        <w:rPr>
          <w:rFonts w:ascii="Times New Roman" w:hAnsi="Times New Roman"/>
        </w:rPr>
        <w:t xml:space="preserve"> vers les forces, normes, institutions et procédures démocratiques nationales, l’état de droit, la réconciliation véritable et les organisations de la société civile, pour favoriser la mise en place d’un environnement propice à un pluralisme fonctionnel, à une société civile indépendante, aux médias et à l’économie de marché; il demande une meilleure absorption des fonds par les administrations locales et régionales.</w:t>
      </w:r>
    </w:p>
    <w:p w14:paraId="02A09A34" w14:textId="77777777" w:rsidR="00CB2C90" w:rsidRPr="00FB760E" w:rsidRDefault="00CB2C90" w:rsidP="00CB2C90">
      <w:pPr>
        <w:spacing w:before="120" w:after="120"/>
        <w:rPr>
          <w:rFonts w:ascii="Times New Roman" w:hAnsi="Times New Roman"/>
          <w:color w:val="000000" w:themeColor="text1"/>
          <w:szCs w:val="24"/>
        </w:rPr>
      </w:pPr>
      <w:r>
        <w:rPr>
          <w:rFonts w:ascii="Times New Roman" w:hAnsi="Times New Roman"/>
          <w:color w:val="000000" w:themeColor="text1"/>
        </w:rPr>
        <w:t xml:space="preserve">La Commission est déterminée à </w:t>
      </w:r>
      <w:r>
        <w:rPr>
          <w:rFonts w:ascii="Times New Roman" w:hAnsi="Times New Roman"/>
          <w:b/>
          <w:color w:val="000000" w:themeColor="text1"/>
        </w:rPr>
        <w:t>garantir un financement adéquat de toutes les priorités relevant du volet nº 1</w:t>
      </w:r>
      <w:r>
        <w:rPr>
          <w:rFonts w:ascii="Times New Roman" w:hAnsi="Times New Roman"/>
          <w:color w:val="000000" w:themeColor="text1"/>
        </w:rPr>
        <w:t xml:space="preserve"> et l’apport, dans le cadre de programmes, d’un soutien aux réformes dans les domaines de l’état de droit, de la démocratie et des droits fondamentaux au titre de l’ensemble de l’IAP III pour la période 2021-2027. L’état de droit, la démocratie et les droits fondamentaux impliquent principalement des mesures du législateur et des pouvoirs publics et des mesures de renforcement des capacités. Dans le domaine de l’état de droit, la responsabilité des progrès incombe aux bénéficiaires; l’UE ne peut pas se substituer à la volonté politique des administrations partenaires d’entreprendre des réformes. La Commission programme les fonds de l’IAP conformément à ses propres priorités, y compris le plan économique et d’investissement et le programme en matière d’environnement pour les Balkans occidentaux, et dans le but de soutenir les fondamentaux de l’adhésion à l’UE, y compris l’état de droit. La Commission met actuellement en œuvre des programmes dotés de plus de 33,8 millions d’euros afin de soutenir la </w:t>
      </w:r>
      <w:r>
        <w:rPr>
          <w:rFonts w:ascii="Times New Roman" w:hAnsi="Times New Roman"/>
          <w:b/>
          <w:color w:val="000000" w:themeColor="text1"/>
        </w:rPr>
        <w:t>liberté d’expression</w:t>
      </w:r>
      <w:r>
        <w:rPr>
          <w:rFonts w:ascii="Times New Roman" w:hAnsi="Times New Roman"/>
          <w:color w:val="000000" w:themeColor="text1"/>
        </w:rPr>
        <w:t xml:space="preserve"> et le journalisme indépendant. Il s’agit notamment d’un programme de 11,2 millions d’euros, lancé en mars 2022 et cofinancé par le gouvernement allemand, visant à améliorer la viabilité économique des médias indépendants dans la région, à améliorer la qualité de leurs reportages et à faciliter la mise en réseau à l’échelle régionale. En outre, le programme plurinational de décembre 2021 concernant le </w:t>
      </w:r>
      <w:r>
        <w:rPr>
          <w:rFonts w:ascii="Times New Roman" w:hAnsi="Times New Roman"/>
          <w:b/>
          <w:color w:val="000000" w:themeColor="text1"/>
        </w:rPr>
        <w:t>mécanisme en faveur de la société civile</w:t>
      </w:r>
      <w:r>
        <w:rPr>
          <w:rFonts w:ascii="Times New Roman" w:hAnsi="Times New Roman"/>
          <w:color w:val="000000" w:themeColor="text1"/>
        </w:rPr>
        <w:t xml:space="preserve"> et les médias continuera d’apporter un soutien stratégique essentiel. Ce programme prévoit la signature, avec le </w:t>
      </w:r>
      <w:r>
        <w:rPr>
          <w:rFonts w:ascii="Times New Roman" w:hAnsi="Times New Roman"/>
          <w:b/>
          <w:color w:val="000000" w:themeColor="text1"/>
        </w:rPr>
        <w:t>Fonds européen pour la démocratie</w:t>
      </w:r>
      <w:r>
        <w:rPr>
          <w:rFonts w:ascii="Times New Roman" w:hAnsi="Times New Roman"/>
          <w:color w:val="000000" w:themeColor="text1"/>
        </w:rPr>
        <w:t xml:space="preserve">, d’une nouvelle action régionale afin d’apporter un soutien ciblé aux initiatives médiatiques innovantes et aux acteurs civiques et de répondre aux besoins urgents/atypiques. </w:t>
      </w:r>
    </w:p>
    <w:p w14:paraId="66487CA7" w14:textId="77777777" w:rsidR="00CB2C90" w:rsidRPr="00895A39" w:rsidRDefault="00CB2C90" w:rsidP="00CB2C90">
      <w:pPr>
        <w:spacing w:after="120"/>
        <w:rPr>
          <w:rFonts w:ascii="Times New Roman" w:hAnsi="Times New Roman"/>
          <w:iCs/>
          <w:szCs w:val="24"/>
        </w:rPr>
      </w:pPr>
      <w:r>
        <w:rPr>
          <w:rFonts w:ascii="Times New Roman" w:hAnsi="Times New Roman"/>
        </w:rPr>
        <w:t xml:space="preserve">Le paragraphe 64 invite la Commission </w:t>
      </w:r>
      <w:r>
        <w:rPr>
          <w:rFonts w:ascii="Times New Roman" w:hAnsi="Times New Roman"/>
          <w:b/>
        </w:rPr>
        <w:t>à prendre position et à faire savoir clairement que le soutien financier de l’Union à la Bosnie-Herzégovine dépend en partie de la mise en œuvre d’une paix durable et d’une véritable réconciliation</w:t>
      </w:r>
      <w:r>
        <w:rPr>
          <w:rFonts w:ascii="Times New Roman" w:hAnsi="Times New Roman"/>
        </w:rPr>
        <w:t>.</w:t>
      </w:r>
    </w:p>
    <w:p w14:paraId="05E3029E" w14:textId="77777777" w:rsidR="00CB2C90" w:rsidRPr="00FB760E" w:rsidRDefault="00CB2C90" w:rsidP="00CB2C90">
      <w:pPr>
        <w:spacing w:before="120" w:after="120"/>
        <w:rPr>
          <w:rFonts w:ascii="Times New Roman" w:hAnsi="Times New Roman"/>
          <w:color w:val="000000" w:themeColor="text1"/>
          <w:szCs w:val="24"/>
        </w:rPr>
      </w:pPr>
      <w:r>
        <w:rPr>
          <w:rFonts w:ascii="Times New Roman" w:hAnsi="Times New Roman"/>
          <w:color w:val="000000" w:themeColor="text1"/>
        </w:rPr>
        <w:t xml:space="preserve">La Commission fournit un soutien financier de l’UE à la Bosnie-Herzégovine conformément aux priorités thématiques et aux dispositions énoncées dans le règlement (UE) 2021/1529 instituant l’instrument d’aide de préadhésion (IAP III). L’aide repose donc à la fois sur une approche fondée sur les résultats et sur le principe de la part équitable, et est adaptée aux situations spécifiques de chaque bénéficiaire. Le règlement ne prévoit pas d’éléments de conditionnalité spécifiques pour bénéficier d’un soutien financier de l’UE. Au lieu de cela, lorsque les indicateurs pertinents révèlent une régression importante ou une absence persistante de progrès dans les efforts déployés dans les domaines de l’état de droit et des droits fondamentaux, des institutions démocratiques et de la réforme de l’administration publique, ainsi que du développement économique et de la compétitivité, l’aide au titre de l’IAP III peut être modulée en conséquence, notamment en réduisant les fonds proportionnellement et en les redirigeant, d’une manière qui devrait éviter de </w:t>
      </w:r>
      <w:r>
        <w:rPr>
          <w:rFonts w:ascii="Times New Roman" w:hAnsi="Times New Roman"/>
          <w:color w:val="000000" w:themeColor="text1"/>
        </w:rPr>
        <w:lastRenderedPageBreak/>
        <w:t>compromettre le soutien à l’amélioration des droits fondamentaux, de la démocratie et de l’état de droit, y compris le soutien à la société civile et, le cas échéant, la coopération avec les autorités locales. En cas de reprise des progrès, l’aide est également modulée en conséquence.</w:t>
      </w:r>
    </w:p>
    <w:p w14:paraId="70E819BF" w14:textId="77777777" w:rsidR="00CB2C90" w:rsidRPr="00895A39" w:rsidRDefault="00CB2C90" w:rsidP="00CB2C90">
      <w:pPr>
        <w:spacing w:after="120"/>
        <w:rPr>
          <w:rFonts w:ascii="Times New Roman" w:hAnsi="Times New Roman"/>
          <w:i/>
          <w:iCs/>
          <w:szCs w:val="24"/>
        </w:rPr>
      </w:pPr>
      <w:r>
        <w:rPr>
          <w:rFonts w:ascii="Times New Roman" w:hAnsi="Times New Roman"/>
        </w:rPr>
        <w:t xml:space="preserve">Le paragraphe 77 constate que d’importantes questions restent à aborder en matière d’emploi, d’inclusion sociale et de réduction de la pauvreté; il insiste sur le fait que le renforcement de l’État-providence constitue une condition essentielle à la cohésion sociale; il invite les autorités à encourager le dialogue social; il invite la Commission à </w:t>
      </w:r>
      <w:r>
        <w:rPr>
          <w:rFonts w:ascii="Times New Roman" w:hAnsi="Times New Roman"/>
          <w:b/>
        </w:rPr>
        <w:t>tenir dûment compte de la négociation collective, des droits sociaux ainsi que de leur protection et de leur application</w:t>
      </w:r>
      <w:r>
        <w:rPr>
          <w:rFonts w:ascii="Times New Roman" w:hAnsi="Times New Roman"/>
        </w:rPr>
        <w:t xml:space="preserve"> dans son rapport annuel.</w:t>
      </w:r>
    </w:p>
    <w:p w14:paraId="1330B6FD" w14:textId="77777777" w:rsidR="00CB2C90" w:rsidRPr="00FB760E" w:rsidRDefault="00CB2C90" w:rsidP="00CB2C90">
      <w:pPr>
        <w:spacing w:before="120" w:after="120"/>
        <w:rPr>
          <w:rFonts w:ascii="Times New Roman" w:hAnsi="Times New Roman"/>
          <w:color w:val="000000" w:themeColor="text1"/>
          <w:szCs w:val="24"/>
        </w:rPr>
      </w:pPr>
      <w:r>
        <w:rPr>
          <w:rFonts w:ascii="Times New Roman" w:hAnsi="Times New Roman"/>
          <w:color w:val="000000" w:themeColor="text1"/>
        </w:rPr>
        <w:t>La Commission suit toutes les évolutions en rapport avec l’acquis de l’UE, et en rend compte, dans le cadre du champ d’application du chapitre 19 et au sein du sous-comité compétent au titre de l’accord de stabilisation et d’association. Ces questions sont également abordées dans le cadre des programmes de réforme économique.</w:t>
      </w:r>
    </w:p>
    <w:p w14:paraId="4EE8D277" w14:textId="77777777" w:rsidR="00CB2C90" w:rsidRPr="00895A39" w:rsidRDefault="00CB2C90" w:rsidP="00CB2C90">
      <w:pPr>
        <w:spacing w:after="120"/>
        <w:rPr>
          <w:rFonts w:ascii="Times New Roman" w:hAnsi="Times New Roman"/>
          <w:i/>
          <w:iCs/>
          <w:szCs w:val="24"/>
        </w:rPr>
      </w:pPr>
      <w:r>
        <w:rPr>
          <w:rFonts w:ascii="Times New Roman" w:hAnsi="Times New Roman"/>
        </w:rPr>
        <w:t xml:space="preserve">Le paragraphe 86 invite la Commission à </w:t>
      </w:r>
      <w:r>
        <w:rPr>
          <w:rFonts w:ascii="Times New Roman" w:hAnsi="Times New Roman"/>
          <w:b/>
        </w:rPr>
        <w:t>mettre en place les infrastructures nécessaires pour lutter contre les menaces de désinformation</w:t>
      </w:r>
      <w:r>
        <w:rPr>
          <w:rFonts w:ascii="Times New Roman" w:hAnsi="Times New Roman"/>
        </w:rPr>
        <w:t>, et le SEAE à étendre le suivi de la stratégie de communication de manière que celui-ci se concentre sur les menaces de désinformation transfrontières émanant des pays des Balkans occidentaux et de leurs voisins.</w:t>
      </w:r>
    </w:p>
    <w:p w14:paraId="449732C1" w14:textId="54DEEECE" w:rsidR="004C3021" w:rsidRPr="00CB2C90" w:rsidRDefault="00CB2C90" w:rsidP="00CB2C90">
      <w:r>
        <w:rPr>
          <w:rFonts w:ascii="Times New Roman" w:hAnsi="Times New Roman"/>
        </w:rPr>
        <w:t>La Commission a récemment lancé un appel à propositions régional dans le cadre du programme concernant le mécanisme en faveur de la société civile et les médias de l’UE en faveur des Balkans occidentaux et de la Turquie pour la période 2021-2023. L’appel vise à renforcer les organisations et les réseaux de la société civile pour un montant total de 18 millions d’euros, afin d’accroître le rôle de la société civile dans plusieurs domaines thématiques clés, tels que la liberté des médias, le journalisme de qualité et la liberté d’expression, le pluralisme des médias et la lutte contre la désinformation et la mésinformation. Le SEAE a continué de dialoguer de manière volontariste avec les partenaires de la région et de renforcer leur capacité à analyser et à dénoncer la désinformation, et a participé à de nombreuses activités de renforcement de la résilience face à la désinformation. Le SEAE s’emploie également à soutenir les efforts de la société civile visant à garantir la transparence de la propriété des médias dans l’ensemble de la région. En outre, le SEAE surveille la désinformation transfrontière et étudie actuellement d’autres moyens de lutter contre la désinformation et faire face à l’évolution des tactiques de manipulation de l’information. À la fin du mois d’avril, la Commission a organisé un atelier en ligne TAIEX (assistance technique et échange d’informations) sur les nouvelles conséquences géopolitiques de la désinformation dans les Balkans occidentaux, avec la participation de près d’une centaine de communicateurs de premier plan des gouvernements des Balkans occidentaux et d’experts de haut niveau des pays baltes, des institutions européennes et du SEAE. Les experts ont partagé leur expérience en matière de lutte contre la désinformation russe et ont présenté des exposés approfondis sur la manière de planifier et de mettre en place des stratégies de lutte contre la désinformation et d’en assurer le suivi. Des actions de suivi sont prévues avec les partenaires de la région.</w:t>
      </w:r>
    </w:p>
    <w:sectPr w:rsidR="004C3021" w:rsidRPr="00CB2C9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27E85" w14:textId="77777777" w:rsidR="00CA4737" w:rsidRDefault="00CA4737" w:rsidP="00AF094E">
      <w:pPr>
        <w:spacing w:after="0"/>
      </w:pPr>
      <w:r>
        <w:separator/>
      </w:r>
    </w:p>
  </w:endnote>
  <w:endnote w:type="continuationSeparator" w:id="0">
    <w:p w14:paraId="62120B1E" w14:textId="77777777" w:rsidR="00CA4737" w:rsidRDefault="00CA4737" w:rsidP="00AF09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025331"/>
      <w:docPartObj>
        <w:docPartGallery w:val="Page Numbers (Bottom of Page)"/>
        <w:docPartUnique/>
      </w:docPartObj>
    </w:sdtPr>
    <w:sdtEndPr>
      <w:rPr>
        <w:noProof/>
      </w:rPr>
    </w:sdtEndPr>
    <w:sdtContent>
      <w:p w14:paraId="319F72E8" w14:textId="66FDF1C7" w:rsidR="00AF094E" w:rsidRDefault="00AF094E">
        <w:pPr>
          <w:pStyle w:val="Footer"/>
          <w:jc w:val="center"/>
        </w:pPr>
        <w:r>
          <w:fldChar w:fldCharType="begin"/>
        </w:r>
        <w:r>
          <w:instrText xml:space="preserve"> PAGE   \* MERGEFORMAT </w:instrText>
        </w:r>
        <w:r>
          <w:fldChar w:fldCharType="separate"/>
        </w:r>
        <w:r w:rsidR="000B36AA">
          <w:rPr>
            <w:noProof/>
          </w:rPr>
          <w:t>6</w:t>
        </w:r>
        <w:r>
          <w:fldChar w:fldCharType="end"/>
        </w:r>
      </w:p>
    </w:sdtContent>
  </w:sdt>
  <w:p w14:paraId="4D07EC65" w14:textId="77777777" w:rsidR="00AF094E" w:rsidRDefault="00AF0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6A855" w14:textId="77777777" w:rsidR="00CA4737" w:rsidRDefault="00CA4737" w:rsidP="00AF094E">
      <w:pPr>
        <w:spacing w:after="0"/>
      </w:pPr>
      <w:r>
        <w:separator/>
      </w:r>
    </w:p>
  </w:footnote>
  <w:footnote w:type="continuationSeparator" w:id="0">
    <w:p w14:paraId="523E0491" w14:textId="77777777" w:rsidR="00CA4737" w:rsidRDefault="00CA4737" w:rsidP="00AF094E">
      <w:pPr>
        <w:spacing w:after="0"/>
      </w:pPr>
      <w:r>
        <w:continuationSeparator/>
      </w:r>
    </w:p>
  </w:footnote>
  <w:footnote w:id="1">
    <w:p w14:paraId="077C2AEF" w14:textId="77777777" w:rsidR="00CB2C90" w:rsidRPr="00CC06AC" w:rsidRDefault="00CB2C90" w:rsidP="00CB2C90">
      <w:pPr>
        <w:pStyle w:val="FootnoteText"/>
      </w:pPr>
      <w:r>
        <w:rPr>
          <w:rStyle w:val="FootnoteReference"/>
        </w:rPr>
        <w:footnoteRef/>
      </w:r>
      <w:r>
        <w:t xml:space="preserve"> </w:t>
      </w:r>
      <w:r>
        <w:tab/>
      </w:r>
      <w:proofErr w:type="gramStart"/>
      <w:r>
        <w:rPr>
          <w:rFonts w:ascii="Times New Roman" w:hAnsi="Times New Roman"/>
        </w:rPr>
        <w:t>COM(</w:t>
      </w:r>
      <w:proofErr w:type="gramEnd"/>
      <w:r>
        <w:rPr>
          <w:rFonts w:ascii="Times New Roman" w:hAnsi="Times New Roman"/>
        </w:rPr>
        <w:t>2018)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AAF"/>
    <w:multiLevelType w:val="hybridMultilevel"/>
    <w:tmpl w:val="CEFAC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5A3083"/>
    <w:multiLevelType w:val="hybridMultilevel"/>
    <w:tmpl w:val="AC40BA9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C28F9"/>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 w15:restartNumberingAfterBreak="0">
    <w:nsid w:val="56E71A10"/>
    <w:multiLevelType w:val="hybridMultilevel"/>
    <w:tmpl w:val="0B4CB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C402C68"/>
    <w:multiLevelType w:val="hybridMultilevel"/>
    <w:tmpl w:val="92F0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2C54C3"/>
    <w:multiLevelType w:val="hybridMultilevel"/>
    <w:tmpl w:val="242E5B24"/>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0A9"/>
    <w:rsid w:val="00034445"/>
    <w:rsid w:val="00072CE8"/>
    <w:rsid w:val="000A17F8"/>
    <w:rsid w:val="000A1D22"/>
    <w:rsid w:val="000B36AA"/>
    <w:rsid w:val="000C0125"/>
    <w:rsid w:val="000D4B35"/>
    <w:rsid w:val="00105E36"/>
    <w:rsid w:val="001200B4"/>
    <w:rsid w:val="00162EF2"/>
    <w:rsid w:val="00170047"/>
    <w:rsid w:val="001763E1"/>
    <w:rsid w:val="00197482"/>
    <w:rsid w:val="001A0D53"/>
    <w:rsid w:val="001B0CB2"/>
    <w:rsid w:val="001C5C97"/>
    <w:rsid w:val="00212403"/>
    <w:rsid w:val="002866D9"/>
    <w:rsid w:val="002D03F0"/>
    <w:rsid w:val="002F4F2B"/>
    <w:rsid w:val="0032642F"/>
    <w:rsid w:val="00362174"/>
    <w:rsid w:val="003921C1"/>
    <w:rsid w:val="003A5288"/>
    <w:rsid w:val="003A7EF2"/>
    <w:rsid w:val="003B0D96"/>
    <w:rsid w:val="003B78C7"/>
    <w:rsid w:val="003D63C4"/>
    <w:rsid w:val="003F362A"/>
    <w:rsid w:val="00415F3D"/>
    <w:rsid w:val="00423FE3"/>
    <w:rsid w:val="00427FCA"/>
    <w:rsid w:val="004323D4"/>
    <w:rsid w:val="004763A3"/>
    <w:rsid w:val="00483E89"/>
    <w:rsid w:val="004A01B1"/>
    <w:rsid w:val="004B3042"/>
    <w:rsid w:val="004C2663"/>
    <w:rsid w:val="00530907"/>
    <w:rsid w:val="00532576"/>
    <w:rsid w:val="005502AF"/>
    <w:rsid w:val="005A5324"/>
    <w:rsid w:val="005B2C95"/>
    <w:rsid w:val="005C3B79"/>
    <w:rsid w:val="005F3808"/>
    <w:rsid w:val="005F4563"/>
    <w:rsid w:val="006253B5"/>
    <w:rsid w:val="0062602F"/>
    <w:rsid w:val="0063237C"/>
    <w:rsid w:val="00640298"/>
    <w:rsid w:val="00651394"/>
    <w:rsid w:val="00651A5C"/>
    <w:rsid w:val="0068393E"/>
    <w:rsid w:val="00693BB8"/>
    <w:rsid w:val="006D203B"/>
    <w:rsid w:val="00721951"/>
    <w:rsid w:val="007340A9"/>
    <w:rsid w:val="007400FA"/>
    <w:rsid w:val="00757B8E"/>
    <w:rsid w:val="00777395"/>
    <w:rsid w:val="007A7626"/>
    <w:rsid w:val="007F164C"/>
    <w:rsid w:val="007F3F37"/>
    <w:rsid w:val="00860F2D"/>
    <w:rsid w:val="00880CEF"/>
    <w:rsid w:val="00887412"/>
    <w:rsid w:val="00895A39"/>
    <w:rsid w:val="008C7A98"/>
    <w:rsid w:val="008D36B4"/>
    <w:rsid w:val="008E465B"/>
    <w:rsid w:val="009017A4"/>
    <w:rsid w:val="009036F9"/>
    <w:rsid w:val="00904D66"/>
    <w:rsid w:val="00921C36"/>
    <w:rsid w:val="00932DF4"/>
    <w:rsid w:val="00980A1B"/>
    <w:rsid w:val="009842B4"/>
    <w:rsid w:val="00990721"/>
    <w:rsid w:val="00992E8B"/>
    <w:rsid w:val="009A4D17"/>
    <w:rsid w:val="009E42F2"/>
    <w:rsid w:val="009E6DC5"/>
    <w:rsid w:val="009F5D46"/>
    <w:rsid w:val="00A055FD"/>
    <w:rsid w:val="00A555EA"/>
    <w:rsid w:val="00A71DC2"/>
    <w:rsid w:val="00AC0152"/>
    <w:rsid w:val="00AE097B"/>
    <w:rsid w:val="00AF094E"/>
    <w:rsid w:val="00B06A8C"/>
    <w:rsid w:val="00B23F46"/>
    <w:rsid w:val="00B6404F"/>
    <w:rsid w:val="00B64828"/>
    <w:rsid w:val="00B65CE6"/>
    <w:rsid w:val="00BC2014"/>
    <w:rsid w:val="00BC3054"/>
    <w:rsid w:val="00BE426B"/>
    <w:rsid w:val="00BF3288"/>
    <w:rsid w:val="00C00941"/>
    <w:rsid w:val="00C009EB"/>
    <w:rsid w:val="00C35406"/>
    <w:rsid w:val="00C87454"/>
    <w:rsid w:val="00CA4737"/>
    <w:rsid w:val="00CB2C90"/>
    <w:rsid w:val="00CC06AC"/>
    <w:rsid w:val="00CC27A2"/>
    <w:rsid w:val="00CC75D6"/>
    <w:rsid w:val="00CF5DAA"/>
    <w:rsid w:val="00D00038"/>
    <w:rsid w:val="00D04F23"/>
    <w:rsid w:val="00D63AB8"/>
    <w:rsid w:val="00D765CA"/>
    <w:rsid w:val="00D840CD"/>
    <w:rsid w:val="00D927F9"/>
    <w:rsid w:val="00D93715"/>
    <w:rsid w:val="00DA33C2"/>
    <w:rsid w:val="00DB2188"/>
    <w:rsid w:val="00DB39C3"/>
    <w:rsid w:val="00DC1690"/>
    <w:rsid w:val="00DD70AC"/>
    <w:rsid w:val="00DF3097"/>
    <w:rsid w:val="00E62D48"/>
    <w:rsid w:val="00E72A65"/>
    <w:rsid w:val="00EA018E"/>
    <w:rsid w:val="00EC758A"/>
    <w:rsid w:val="00F12B3A"/>
    <w:rsid w:val="00F41430"/>
    <w:rsid w:val="00FB0749"/>
    <w:rsid w:val="00FB2092"/>
    <w:rsid w:val="00FB760E"/>
    <w:rsid w:val="00FD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A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C90"/>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6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62A"/>
    <w:rPr>
      <w:rFonts w:ascii="Segoe UI" w:hAnsi="Segoe UI" w:cs="Segoe UI"/>
      <w:sz w:val="18"/>
      <w:szCs w:val="18"/>
    </w:rPr>
  </w:style>
  <w:style w:type="table" w:styleId="TableGrid">
    <w:name w:val="Table Grid"/>
    <w:basedOn w:val="TableNormal"/>
    <w:uiPriority w:val="39"/>
    <w:rsid w:val="003F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94E"/>
    <w:pPr>
      <w:tabs>
        <w:tab w:val="center" w:pos="4513"/>
        <w:tab w:val="right" w:pos="9026"/>
      </w:tabs>
      <w:spacing w:after="0"/>
    </w:pPr>
  </w:style>
  <w:style w:type="character" w:customStyle="1" w:styleId="HeaderChar">
    <w:name w:val="Header Char"/>
    <w:basedOn w:val="DefaultParagraphFont"/>
    <w:link w:val="Header"/>
    <w:uiPriority w:val="99"/>
    <w:rsid w:val="00AF094E"/>
  </w:style>
  <w:style w:type="paragraph" w:styleId="Footer">
    <w:name w:val="footer"/>
    <w:basedOn w:val="Normal"/>
    <w:link w:val="FooterChar"/>
    <w:uiPriority w:val="99"/>
    <w:unhideWhenUsed/>
    <w:rsid w:val="00AF094E"/>
    <w:pPr>
      <w:tabs>
        <w:tab w:val="center" w:pos="4513"/>
        <w:tab w:val="right" w:pos="9026"/>
      </w:tabs>
      <w:spacing w:after="0"/>
    </w:pPr>
  </w:style>
  <w:style w:type="character" w:customStyle="1" w:styleId="FooterChar">
    <w:name w:val="Footer Char"/>
    <w:basedOn w:val="DefaultParagraphFont"/>
    <w:link w:val="Footer"/>
    <w:uiPriority w:val="99"/>
    <w:rsid w:val="00AF094E"/>
  </w:style>
  <w:style w:type="paragraph" w:customStyle="1" w:styleId="NormalHanging12a">
    <w:name w:val="NormalHanging12a"/>
    <w:basedOn w:val="Normal"/>
    <w:link w:val="NormalHanging12aChar"/>
    <w:rsid w:val="00483E89"/>
    <w:pPr>
      <w:widowControl w:val="0"/>
      <w:ind w:left="567" w:hanging="567"/>
    </w:pPr>
    <w:rPr>
      <w:rFonts w:ascii="Times New Roman" w:hAnsi="Times New Roman"/>
    </w:rPr>
  </w:style>
  <w:style w:type="character" w:customStyle="1" w:styleId="NormalHanging12aChar">
    <w:name w:val="NormalHanging12a Char"/>
    <w:link w:val="NormalHanging12a"/>
    <w:rsid w:val="00483E89"/>
    <w:rPr>
      <w:rFonts w:ascii="Times New Roman" w:eastAsia="Times New Roman" w:hAnsi="Times New Roman" w:cs="Times New Roman"/>
      <w:sz w:val="24"/>
      <w:szCs w:val="20"/>
      <w:lang w:val="fr-FR" w:eastAsia="en-GB"/>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unhideWhenUsed/>
    <w:qFormat/>
    <w:rsid w:val="00034445"/>
    <w:pPr>
      <w:spacing w:after="0"/>
    </w:pPr>
    <w:rPr>
      <w:sz w:val="20"/>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2"/>
    <w:basedOn w:val="DefaultParagraphFont"/>
    <w:link w:val="FootnoteText"/>
    <w:uiPriority w:val="99"/>
    <w:semiHidden/>
    <w:rsid w:val="00034445"/>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sid w:val="00034445"/>
    <w:rPr>
      <w:vertAlign w:val="superscript"/>
    </w:rPr>
  </w:style>
  <w:style w:type="character" w:styleId="CommentReference">
    <w:name w:val="annotation reference"/>
    <w:basedOn w:val="DefaultParagraphFont"/>
    <w:uiPriority w:val="99"/>
    <w:semiHidden/>
    <w:unhideWhenUsed/>
    <w:rsid w:val="00034445"/>
    <w:rPr>
      <w:sz w:val="16"/>
      <w:szCs w:val="16"/>
    </w:rPr>
  </w:style>
  <w:style w:type="paragraph" w:styleId="CommentText">
    <w:name w:val="annotation text"/>
    <w:basedOn w:val="Normal"/>
    <w:link w:val="CommentTextChar"/>
    <w:uiPriority w:val="99"/>
    <w:unhideWhenUsed/>
    <w:rsid w:val="00034445"/>
    <w:rPr>
      <w:sz w:val="20"/>
    </w:rPr>
  </w:style>
  <w:style w:type="character" w:customStyle="1" w:styleId="CommentTextChar">
    <w:name w:val="Comment Text Char"/>
    <w:basedOn w:val="DefaultParagraphFont"/>
    <w:link w:val="CommentText"/>
    <w:uiPriority w:val="99"/>
    <w:rsid w:val="00034445"/>
    <w:rPr>
      <w:sz w:val="20"/>
      <w:szCs w:val="20"/>
    </w:rPr>
  </w:style>
  <w:style w:type="paragraph" w:styleId="CommentSubject">
    <w:name w:val="annotation subject"/>
    <w:basedOn w:val="CommentText"/>
    <w:next w:val="CommentText"/>
    <w:link w:val="CommentSubjectChar"/>
    <w:uiPriority w:val="99"/>
    <w:semiHidden/>
    <w:unhideWhenUsed/>
    <w:rsid w:val="00034445"/>
    <w:rPr>
      <w:b/>
      <w:bCs/>
    </w:rPr>
  </w:style>
  <w:style w:type="character" w:customStyle="1" w:styleId="CommentSubjectChar">
    <w:name w:val="Comment Subject Char"/>
    <w:basedOn w:val="CommentTextChar"/>
    <w:link w:val="CommentSubject"/>
    <w:uiPriority w:val="99"/>
    <w:semiHidden/>
    <w:rsid w:val="00034445"/>
    <w:rPr>
      <w:b/>
      <w:bCs/>
      <w:sz w:val="20"/>
      <w:szCs w:val="20"/>
    </w:rPr>
  </w:style>
  <w:style w:type="character" w:styleId="Strong">
    <w:name w:val="Strong"/>
    <w:basedOn w:val="DefaultParagraphFont"/>
    <w:uiPriority w:val="22"/>
    <w:qFormat/>
    <w:rsid w:val="00D63AB8"/>
    <w:rPr>
      <w:b/>
      <w:bCs/>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uiPriority w:val="99"/>
    <w:rsid w:val="00CB2C90"/>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CB2C90"/>
    <w:pPr>
      <w:spacing w:after="160" w:line="240" w:lineRule="exact"/>
      <w:jc w:val="lef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209813">
      <w:bodyDiv w:val="1"/>
      <w:marLeft w:val="0"/>
      <w:marRight w:val="0"/>
      <w:marTop w:val="0"/>
      <w:marBottom w:val="0"/>
      <w:divBdr>
        <w:top w:val="none" w:sz="0" w:space="0" w:color="auto"/>
        <w:left w:val="none" w:sz="0" w:space="0" w:color="auto"/>
        <w:bottom w:val="none" w:sz="0" w:space="0" w:color="auto"/>
        <w:right w:val="none" w:sz="0" w:space="0" w:color="auto"/>
      </w:divBdr>
    </w:div>
    <w:div w:id="883981991">
      <w:bodyDiv w:val="1"/>
      <w:marLeft w:val="0"/>
      <w:marRight w:val="0"/>
      <w:marTop w:val="0"/>
      <w:marBottom w:val="0"/>
      <w:divBdr>
        <w:top w:val="none" w:sz="0" w:space="0" w:color="auto"/>
        <w:left w:val="none" w:sz="0" w:space="0" w:color="auto"/>
        <w:bottom w:val="none" w:sz="0" w:space="0" w:color="auto"/>
        <w:right w:val="none" w:sz="0" w:space="0" w:color="auto"/>
      </w:divBdr>
    </w:div>
    <w:div w:id="1277760505">
      <w:bodyDiv w:val="1"/>
      <w:marLeft w:val="0"/>
      <w:marRight w:val="0"/>
      <w:marTop w:val="0"/>
      <w:marBottom w:val="0"/>
      <w:divBdr>
        <w:top w:val="none" w:sz="0" w:space="0" w:color="auto"/>
        <w:left w:val="none" w:sz="0" w:space="0" w:color="auto"/>
        <w:bottom w:val="none" w:sz="0" w:space="0" w:color="auto"/>
        <w:right w:val="none" w:sz="0" w:space="0" w:color="auto"/>
      </w:divBdr>
    </w:div>
    <w:div w:id="1367365160">
      <w:bodyDiv w:val="1"/>
      <w:marLeft w:val="0"/>
      <w:marRight w:val="0"/>
      <w:marTop w:val="0"/>
      <w:marBottom w:val="0"/>
      <w:divBdr>
        <w:top w:val="none" w:sz="0" w:space="0" w:color="auto"/>
        <w:left w:val="none" w:sz="0" w:space="0" w:color="auto"/>
        <w:bottom w:val="none" w:sz="0" w:space="0" w:color="auto"/>
        <w:right w:val="none" w:sz="0" w:space="0" w:color="auto"/>
      </w:divBdr>
    </w:div>
    <w:div w:id="1403599765">
      <w:bodyDiv w:val="1"/>
      <w:marLeft w:val="0"/>
      <w:marRight w:val="0"/>
      <w:marTop w:val="0"/>
      <w:marBottom w:val="0"/>
      <w:divBdr>
        <w:top w:val="none" w:sz="0" w:space="0" w:color="auto"/>
        <w:left w:val="none" w:sz="0" w:space="0" w:color="auto"/>
        <w:bottom w:val="none" w:sz="0" w:space="0" w:color="auto"/>
        <w:right w:val="none" w:sz="0" w:space="0" w:color="auto"/>
      </w:divBdr>
    </w:div>
    <w:div w:id="19018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59DA2B0-332C-45F6-8280-66CAE128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3250</Words>
  <Characters>18201</Characters>
  <Application>Microsoft Office Word</Application>
  <DocSecurity>0</DocSecurity>
  <Lines>256</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2022-10-14T09:42:00Z</dcterms:created>
  <dcterms:modified xsi:type="dcterms:W3CDTF">2022-10-17T12:23:00Z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2022-08-30T14:40:28Z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a5456dd3-6ccb-490a-8c51-928156555bcb</vt:lpwstr>
  </property>
  <property fmtid="{D5CDD505-2E9C-101B-9397-08002B2CF9AE}" pid="8" name="MSIP_Label_6bd9ddd1-4d20-43f6-abfa-fc3c07406f94_ContentBits">
    <vt:lpwstr>0</vt:lpwstr>
  </property>
</Properties>
</file>