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BC" w:rsidRPr="009129F8" w:rsidRDefault="009527BC" w:rsidP="003358A2">
      <w:pPr>
        <w:spacing w:after="600"/>
        <w:jc w:val="center"/>
        <w:rPr>
          <w:b/>
          <w:szCs w:val="24"/>
          <w:rFonts w:ascii="Times New Roman" w:hAnsi="Times New Roman"/>
        </w:rPr>
      </w:pPr>
      <w:bookmarkStart w:id="0" w:name="Food"/>
      <w:r>
        <w:rPr>
          <w:b/>
          <w:rFonts w:ascii="Times New Roman" w:hAnsi="Times New Roman"/>
        </w:rPr>
        <w:t xml:space="preserve">Suite donnée à la résolution du Parlement européen du 6 juillet 2022 sur la question</w:t>
      </w:r>
      <w:r>
        <w:t xml:space="preserve"> </w:t>
      </w:r>
      <w:r>
        <w:br/>
      </w:r>
      <w:r>
        <w:rPr>
          <w:b/>
          <w:rFonts w:ascii="Times New Roman" w:hAnsi="Times New Roman"/>
        </w:rPr>
        <w:t xml:space="preserve"> de la sécurité alimentaire dans les pays en développement</w:t>
      </w:r>
      <w:bookmarkEnd w:id="0"/>
    </w:p>
    <w:p w:rsidR="009527BC" w:rsidRPr="009129F8" w:rsidRDefault="009527BC" w:rsidP="009527BC">
      <w:pPr>
        <w:numPr>
          <w:ilvl w:val="0"/>
          <w:numId w:val="35"/>
        </w:numPr>
        <w:ind w:left="480" w:right="-28" w:hanging="480"/>
        <w:rPr>
          <w:szCs w:val="24"/>
          <w:rFonts w:ascii="Times New Roman" w:hAnsi="Times New Roman"/>
        </w:rPr>
      </w:pPr>
      <w:r>
        <w:rPr>
          <w:b/>
          <w:rFonts w:ascii="Times New Roman" w:hAnsi="Times New Roman"/>
        </w:rPr>
        <w:t xml:space="preserve">Rapporteur:</w:t>
      </w:r>
      <w:r>
        <w:rPr>
          <w:b/>
          <w:rFonts w:ascii="Times New Roman" w:hAnsi="Times New Roman"/>
        </w:rPr>
        <w:t xml:space="preserve"> </w:t>
      </w:r>
      <w:r>
        <w:rPr>
          <w:rFonts w:ascii="Times New Roman" w:hAnsi="Times New Roman"/>
        </w:rPr>
        <w:t xml:space="preserve">Beata KEMPA (ECR/PL)</w:t>
      </w:r>
    </w:p>
    <w:p w:rsidR="009527BC" w:rsidRPr="009129F8" w:rsidRDefault="009527BC" w:rsidP="009527BC">
      <w:pPr>
        <w:numPr>
          <w:ilvl w:val="0"/>
          <w:numId w:val="35"/>
        </w:numPr>
        <w:ind w:left="480" w:right="-28" w:hanging="480"/>
        <w:rPr>
          <w:szCs w:val="24"/>
          <w:rFonts w:ascii="Times New Roman" w:hAnsi="Times New Roman"/>
        </w:rPr>
      </w:pPr>
      <w:r>
        <w:rPr>
          <w:b/>
          <w:rFonts w:ascii="Times New Roman" w:hAnsi="Times New Roman"/>
        </w:rPr>
        <w:t xml:space="preserve">Numéro de référence:</w:t>
      </w:r>
      <w:r>
        <w:rPr>
          <w:b/>
          <w:rFonts w:ascii="Times New Roman" w:hAnsi="Times New Roman"/>
        </w:rPr>
        <w:t xml:space="preserve"> </w:t>
      </w:r>
      <w:r>
        <w:rPr>
          <w:rFonts w:ascii="Times New Roman" w:hAnsi="Times New Roman"/>
        </w:rPr>
        <w:t xml:space="preserve">2021/2208 (INI) / A9-0195/2022 / P9_TA(2022)0287</w:t>
      </w:r>
    </w:p>
    <w:p w:rsidR="009527BC" w:rsidRPr="009129F8" w:rsidRDefault="009527BC" w:rsidP="009527BC">
      <w:pPr>
        <w:numPr>
          <w:ilvl w:val="0"/>
          <w:numId w:val="35"/>
        </w:numPr>
        <w:tabs>
          <w:tab w:val="left" w:pos="480"/>
        </w:tabs>
        <w:ind w:right="-28" w:hanging="1429"/>
        <w:rPr>
          <w:b/>
          <w:szCs w:val="24"/>
          <w:rFonts w:ascii="Times New Roman" w:hAnsi="Times New Roman"/>
        </w:rPr>
      </w:pPr>
      <w:r>
        <w:rPr>
          <w:b/>
          <w:rFonts w:ascii="Times New Roman" w:hAnsi="Times New Roman"/>
        </w:rPr>
        <w:t xml:space="preserve">Date d’adoption de la résolution:</w:t>
      </w:r>
      <w:r>
        <w:rPr>
          <w:b/>
          <w:rFonts w:ascii="Times New Roman" w:hAnsi="Times New Roman"/>
        </w:rPr>
        <w:t xml:space="preserve"> </w:t>
      </w:r>
      <w:r>
        <w:rPr>
          <w:rFonts w:ascii="Times New Roman" w:hAnsi="Times New Roman"/>
        </w:rPr>
        <w:t xml:space="preserve">6 juillet 2022</w:t>
      </w:r>
    </w:p>
    <w:p w:rsidR="009527BC" w:rsidRPr="009129F8" w:rsidRDefault="009527BC" w:rsidP="009527BC">
      <w:pPr>
        <w:numPr>
          <w:ilvl w:val="0"/>
          <w:numId w:val="35"/>
        </w:numPr>
        <w:tabs>
          <w:tab w:val="left" w:pos="480"/>
        </w:tabs>
        <w:ind w:right="-28" w:hanging="1429"/>
        <w:rPr>
          <w:b/>
          <w:szCs w:val="24"/>
          <w:rFonts w:ascii="Times New Roman" w:hAnsi="Times New Roman"/>
        </w:rPr>
      </w:pPr>
      <w:r>
        <w:rPr>
          <w:b/>
          <w:rFonts w:ascii="Times New Roman" w:hAnsi="Times New Roman"/>
        </w:rPr>
        <w:t xml:space="preserve">Commission parlementaire compétente:</w:t>
      </w:r>
      <w:r>
        <w:rPr>
          <w:b/>
          <w:rFonts w:ascii="Times New Roman" w:hAnsi="Times New Roman"/>
        </w:rPr>
        <w:t xml:space="preserve"> </w:t>
      </w:r>
      <w:r>
        <w:rPr>
          <w:rFonts w:ascii="Times New Roman" w:hAnsi="Times New Roman"/>
        </w:rPr>
        <w:t xml:space="preserve">commission du développement (DEVE)</w:t>
      </w:r>
      <w:r>
        <w:rPr>
          <w:b/>
          <w:rFonts w:ascii="Times New Roman" w:hAnsi="Times New Roman"/>
        </w:rPr>
        <w:t xml:space="preserve"> </w:t>
      </w:r>
    </w:p>
    <w:p w:rsidR="009527BC" w:rsidRPr="009129F8" w:rsidRDefault="009527BC" w:rsidP="002841C9">
      <w:pPr>
        <w:numPr>
          <w:ilvl w:val="0"/>
          <w:numId w:val="35"/>
        </w:numPr>
        <w:tabs>
          <w:tab w:val="left" w:pos="480"/>
        </w:tabs>
        <w:ind w:right="-28" w:hanging="1429"/>
        <w:rPr>
          <w:b/>
          <w:szCs w:val="24"/>
          <w:rFonts w:ascii="Times New Roman" w:hAnsi="Times New Roman"/>
        </w:rPr>
      </w:pPr>
      <w:r>
        <w:rPr>
          <w:b/>
          <w:rFonts w:ascii="Times New Roman" w:hAnsi="Times New Roman"/>
        </w:rPr>
        <w:t xml:space="preserve">Analyse/évaluation succincte de la résolution et des demandes qu’elle contient</w:t>
      </w:r>
    </w:p>
    <w:p w:rsidR="009527BC" w:rsidRPr="009129F8" w:rsidRDefault="009527BC" w:rsidP="009527BC">
      <w:pPr>
        <w:spacing w:before="120" w:after="120"/>
        <w:rPr>
          <w:szCs w:val="24"/>
          <w:rFonts w:ascii="Times New Roman" w:hAnsi="Times New Roman"/>
        </w:rPr>
      </w:pPr>
      <w:r>
        <w:rPr>
          <w:rFonts w:ascii="Times New Roman" w:hAnsi="Times New Roman"/>
        </w:rPr>
        <w:t xml:space="preserve">La résolution rappelle que la faim et l’insécurité alimentaire augmentent dans le monde entier et qu’il est très peu probable que la faim soit éradiquée d’ici à 2030, ce qui est l’ambition de l’objectif de développement durable (ODD) 2 intitulé «faim “zéro”».</w:t>
      </w:r>
      <w:r>
        <w:rPr>
          <w:rFonts w:ascii="Times New Roman" w:hAnsi="Times New Roman"/>
        </w:rPr>
        <w:t xml:space="preserve"> </w:t>
      </w:r>
      <w:r>
        <w:rPr>
          <w:bdr w:val="none" w:sz="0" w:space="0" w:color="auto" w:frame="1"/>
          <w:rFonts w:ascii="Times New Roman" w:hAnsi="Times New Roman"/>
        </w:rPr>
        <w:t xml:space="preserve">Rappelant aussi que le droit à l’alimentation est un droit de l’homme, elle demande instamment à l’Union de sauvegarder le droit à l’alimentation et à l’autosuffisance des pays en développement, en tant que moyen de parvenir à la sécurité nutritionnelle, à la réduction de la pauvreté et à des chaînes d’approvisionnement mondiales inclusives, durables et équitables et à des systèmes alimentaires plus durables.</w:t>
      </w:r>
      <w:r>
        <w:rPr>
          <w:bdr w:val="none" w:sz="0" w:space="0" w:color="auto" w:frame="1"/>
          <w:rFonts w:ascii="Times New Roman" w:hAnsi="Times New Roman"/>
        </w:rPr>
        <w:t xml:space="preserve"> </w:t>
      </w:r>
      <w:r>
        <w:rPr>
          <w:bdr w:val="none" w:sz="0" w:space="0" w:color="auto" w:frame="1"/>
          <w:rFonts w:ascii="Times New Roman" w:hAnsi="Times New Roman"/>
        </w:rPr>
        <w:t xml:space="preserve">La résolution appelle également à soutenir les marchés locaux et régionaux, en accordant une attention particulière aux femmes et à l’agriculture familiale.</w:t>
      </w:r>
    </w:p>
    <w:p w:rsidR="002F1D09" w:rsidRDefault="009527BC" w:rsidP="002841C9">
      <w:pPr>
        <w:spacing w:after="120"/>
        <w:rPr>
          <w:szCs w:val="24"/>
          <w:bdr w:val="none" w:sz="0" w:space="0" w:color="auto" w:frame="1"/>
          <w:rFonts w:ascii="Times New Roman" w:hAnsi="Times New Roman"/>
        </w:rPr>
      </w:pPr>
      <w:r>
        <w:rPr>
          <w:bdr w:val="none" w:sz="0" w:space="0" w:color="auto" w:frame="1"/>
          <w:rFonts w:ascii="Times New Roman" w:hAnsi="Times New Roman"/>
        </w:rPr>
        <w:t xml:space="preserve">Cette résolution arrive à point nommé compte tenu des conséquences de la guerre d’agression menée par la Russie contre l’Ukraine, qui a conduit à une crise mondiale de sécurité alimentaire.</w:t>
      </w:r>
      <w:r>
        <w:rPr>
          <w:bdr w:val="none" w:sz="0" w:space="0" w:color="auto" w:frame="1"/>
          <w:rFonts w:ascii="Times New Roman" w:hAnsi="Times New Roman"/>
        </w:rPr>
        <w:t xml:space="preserve"> </w:t>
      </w:r>
      <w:r>
        <w:rPr>
          <w:bdr w:val="none" w:sz="0" w:space="0" w:color="auto" w:frame="1"/>
          <w:rFonts w:ascii="Times New Roman" w:hAnsi="Times New Roman"/>
        </w:rPr>
        <w:t xml:space="preserve">Le texte souligne que la guerre d’agression menée par la Russie contre l’Ukraine a déstabilisé un peu plus des marchés agricoles déjà fragiles, exacerbé la situation grave causée par la COVID-19 et exercé une pression supplémentaire sur les crises alimentaires actuelles et sur la sécurité alimentaire mondiale.</w:t>
      </w:r>
      <w:r>
        <w:rPr>
          <w:bdr w:val="none" w:sz="0" w:space="0" w:color="auto" w:frame="1"/>
          <w:rFonts w:ascii="Times New Roman" w:hAnsi="Times New Roman"/>
        </w:rPr>
        <w:t xml:space="preserve"> </w:t>
      </w:r>
      <w:r>
        <w:rPr>
          <w:bdr w:val="none" w:sz="0" w:space="0" w:color="auto" w:frame="1"/>
          <w:rFonts w:ascii="Times New Roman" w:hAnsi="Times New Roman"/>
        </w:rPr>
        <w:t xml:space="preserve">En outre, la résolution rappelle qu’il convient de renforcer l’aide humanitaire dans les pays touchés par des crises alimentaires ou des conflits.</w:t>
      </w:r>
    </w:p>
    <w:p w:rsidR="002841C9" w:rsidRPr="002841C9" w:rsidRDefault="002841C9" w:rsidP="002841C9">
      <w:pPr>
        <w:pStyle w:val="ListParagraph"/>
        <w:numPr>
          <w:ilvl w:val="0"/>
          <w:numId w:val="35"/>
        </w:numPr>
        <w:spacing w:after="240" w:line="240" w:lineRule="auto"/>
        <w:ind w:left="360"/>
        <w:jc w:val="both"/>
        <w:rPr>
          <w:b/>
          <w:sz w:val="24"/>
          <w:szCs w:val="24"/>
          <w:rFonts w:ascii="Times New Roman" w:hAnsi="Times New Roman"/>
        </w:rPr>
      </w:pPr>
      <w:r>
        <w:rPr>
          <w:b/>
          <w:sz w:val="24"/>
          <w:rFonts w:ascii="Times New Roman" w:hAnsi="Times New Roman"/>
        </w:rPr>
        <w:t xml:space="preserve">Réponse à ces demandes et aperçu des mesures que la Commission a prises ou envisage de prendre</w:t>
      </w:r>
    </w:p>
    <w:p w:rsidR="002841C9" w:rsidRPr="009129F8" w:rsidRDefault="002841C9" w:rsidP="002841C9">
      <w:pPr>
        <w:pStyle w:val="Subheading"/>
        <w:widowControl/>
        <w:numPr>
          <w:ilvl w:val="0"/>
          <w:numId w:val="41"/>
        </w:numPr>
        <w:spacing w:before="0" w:after="120"/>
        <w:ind w:left="850"/>
        <w:jc w:val="both"/>
        <w:rPr>
          <w:b w:val="0"/>
          <w:i w:val="0"/>
          <w:szCs w:val="24"/>
        </w:rPr>
      </w:pPr>
      <w:r>
        <w:rPr>
          <w:rStyle w:val="BoldItalic"/>
        </w:rPr>
        <w:t xml:space="preserve">La sécurité alimentaire et la nutrition au cœur de la relance de l’après COVID-19 (paragraphes 1 à 46)</w:t>
      </w:r>
    </w:p>
    <w:p w:rsidR="002841C9" w:rsidRPr="009129F8" w:rsidRDefault="002841C9" w:rsidP="002841C9">
      <w:pPr>
        <w:widowControl w:val="0"/>
        <w:autoSpaceDE w:val="0"/>
        <w:autoSpaceDN w:val="0"/>
        <w:adjustRightInd w:val="0"/>
        <w:spacing w:after="120"/>
        <w:rPr>
          <w:iCs/>
          <w:szCs w:val="24"/>
          <w:rFonts w:ascii="Times New Roman" w:eastAsia="Calibri" w:hAnsi="Times New Roman"/>
        </w:rPr>
      </w:pPr>
      <w:r>
        <w:rPr>
          <w:rFonts w:ascii="Times New Roman" w:hAnsi="Times New Roman"/>
        </w:rPr>
        <w:t xml:space="preserve">Comme indiqué dans la communication intitulée «Protéger la sécurité alimentaire et renforcer la résilience des systèmes alimentaires»</w:t>
      </w:r>
      <w:r>
        <w:rPr>
          <w:rStyle w:val="FootnoteReference"/>
          <w:rFonts w:ascii="Times New Roman" w:eastAsia="Calibri" w:hAnsi="Times New Roman"/>
          <w:iCs/>
          <w:szCs w:val="24"/>
          <w:lang w:val="en-IE"/>
        </w:rPr>
        <w:footnoteReference w:id="1"/>
      </w:r>
      <w:r>
        <w:rPr>
          <w:rFonts w:ascii="Times New Roman" w:hAnsi="Times New Roman"/>
        </w:rPr>
        <w:t xml:space="preserve">, la Commission continuera à soutenir les pays dans leur transition vers des systèmes alimentaires agricoles et aquatiques résilients et durables et encouragera les États membres de l’UE à continuer de faire de même.</w:t>
      </w:r>
      <w:r>
        <w:rPr>
          <w:rFonts w:ascii="Times New Roman" w:hAnsi="Times New Roman"/>
        </w:rPr>
        <w:t xml:space="preserve"> </w:t>
      </w:r>
      <w:r>
        <w:rPr>
          <w:rFonts w:ascii="Times New Roman" w:hAnsi="Times New Roman"/>
        </w:rPr>
        <w:t xml:space="preserve">L’UE soutient également les efforts multilatéraux en faveur du droit à une alimentation adéquate, conformément à l’article 25 de la déclaration universelle des droits de l’homme et à l’article 11 du pacte international relatif aux droits économiques, sociaux et culturels (paragraphe 9).</w:t>
      </w:r>
    </w:p>
    <w:p w:rsidR="002841C9" w:rsidRPr="009129F8" w:rsidRDefault="002841C9" w:rsidP="002841C9">
      <w:pPr>
        <w:widowControl w:val="0"/>
        <w:autoSpaceDE w:val="0"/>
        <w:autoSpaceDN w:val="0"/>
        <w:adjustRightInd w:val="0"/>
        <w:spacing w:after="120"/>
        <w:rPr>
          <w:iCs/>
          <w:szCs w:val="24"/>
          <w:rFonts w:ascii="Times New Roman" w:eastAsia="Calibri" w:hAnsi="Times New Roman"/>
        </w:rPr>
      </w:pPr>
      <w:r>
        <w:rPr>
          <w:rFonts w:ascii="Times New Roman" w:hAnsi="Times New Roman"/>
        </w:rPr>
        <w:t xml:space="preserve">Les récentes conclusions du Conseil</w:t>
      </w:r>
      <w:r>
        <w:rPr>
          <w:rStyle w:val="FootnoteReference"/>
          <w:rFonts w:ascii="Times New Roman" w:eastAsia="Calibri" w:hAnsi="Times New Roman"/>
          <w:iCs/>
          <w:szCs w:val="24"/>
          <w:lang w:val="en-IE"/>
        </w:rPr>
        <w:footnoteReference w:id="2"/>
      </w:r>
      <w:r>
        <w:rPr>
          <w:rFonts w:ascii="Times New Roman" w:hAnsi="Times New Roman"/>
        </w:rPr>
        <w:t xml:space="preserve"> sur une réponse de l’Équipe Europe à l’insécurité alimentaire mondiale ont défini quatre volets d’action:</w:t>
      </w:r>
      <w:r>
        <w:rPr>
          <w:rFonts w:ascii="Times New Roman" w:hAnsi="Times New Roman"/>
        </w:rPr>
        <w:t xml:space="preserve"> </w:t>
      </w:r>
      <w:r>
        <w:rPr>
          <w:rFonts w:ascii="Times New Roman" w:hAnsi="Times New Roman"/>
        </w:rPr>
        <w:t xml:space="preserve">1) la solidarité,</w:t>
      </w:r>
      <w:r>
        <w:rPr>
          <w:rFonts w:ascii="Times New Roman" w:hAnsi="Times New Roman"/>
        </w:rPr>
        <w:t xml:space="preserve"> </w:t>
      </w:r>
      <w:r>
        <w:rPr>
          <w:rFonts w:ascii="Times New Roman" w:hAnsi="Times New Roman"/>
        </w:rPr>
        <w:t xml:space="preserve">2) la production durable, la résilience et la transformation des systèmes alimentaires,</w:t>
      </w:r>
      <w:r>
        <w:rPr>
          <w:rFonts w:ascii="Times New Roman" w:hAnsi="Times New Roman"/>
        </w:rPr>
        <w:t xml:space="preserve"> </w:t>
      </w:r>
      <w:r>
        <w:rPr>
          <w:rFonts w:ascii="Times New Roman" w:hAnsi="Times New Roman"/>
        </w:rPr>
        <w:t xml:space="preserve">3) la facilitation des échanges commerciaux,</w:t>
      </w:r>
      <w:r>
        <w:rPr>
          <w:rFonts w:ascii="Times New Roman" w:hAnsi="Times New Roman"/>
        </w:rPr>
        <w:t xml:space="preserve"> </w:t>
      </w:r>
      <w:r>
        <w:rPr>
          <w:rFonts w:ascii="Times New Roman" w:hAnsi="Times New Roman"/>
        </w:rPr>
        <w:t xml:space="preserve">et 4) le multilatéralisme.</w:t>
      </w:r>
    </w:p>
    <w:p w:rsidR="002841C9" w:rsidRPr="009129F8" w:rsidRDefault="00D1293B" w:rsidP="002841C9">
      <w:pPr>
        <w:widowControl w:val="0"/>
        <w:autoSpaceDE w:val="0"/>
        <w:autoSpaceDN w:val="0"/>
        <w:adjustRightInd w:val="0"/>
        <w:spacing w:after="120"/>
        <w:rPr>
          <w:iCs/>
          <w:szCs w:val="24"/>
          <w:rFonts w:ascii="Times New Roman" w:eastAsia="Calibri" w:hAnsi="Times New Roman"/>
        </w:rPr>
      </w:pPr>
      <w:r>
        <w:rPr>
          <w:rFonts w:ascii="Times New Roman" w:hAnsi="Times New Roman"/>
        </w:rPr>
        <w:t xml:space="preserve">La guerre d’agression menée par la Russie contre l’Ukraine confirme que l’UE doit accélérer la transition du système alimentaire vers la résilience et la durabilité afin de mieux se préparer aux crises futures.</w:t>
      </w:r>
      <w:r>
        <w:rPr>
          <w:rFonts w:ascii="Times New Roman" w:hAnsi="Times New Roman"/>
        </w:rPr>
        <w:t xml:space="preserve"> </w:t>
      </w:r>
      <w:r>
        <w:rPr>
          <w:rFonts w:ascii="Times New Roman" w:hAnsi="Times New Roman"/>
        </w:rPr>
        <w:t xml:space="preserve">Si une transition telle que celle définie dans la stratégie de l’UE intitulée «De la ferme à la table»</w:t>
      </w:r>
      <w:r>
        <w:rPr>
          <w:rStyle w:val="FootnoteReference"/>
          <w:rFonts w:ascii="Times New Roman" w:eastAsia="Calibri" w:hAnsi="Times New Roman"/>
          <w:iCs/>
          <w:szCs w:val="24"/>
          <w:lang w:val="en-IE"/>
        </w:rPr>
        <w:footnoteReference w:id="3"/>
      </w:r>
      <w:r>
        <w:rPr>
          <w:rFonts w:ascii="Times New Roman" w:hAnsi="Times New Roman"/>
        </w:rPr>
        <w:t xml:space="preserve"> ne s’opère pas, la sécurité alimentaire sera gravement menacée à long terme et les conséquences à l’échelle mondiale seront irréversibles (paragraphe 38).</w:t>
      </w:r>
    </w:p>
    <w:p w:rsidR="002841C9" w:rsidRPr="009129F8" w:rsidRDefault="002841C9" w:rsidP="002841C9">
      <w:pPr>
        <w:spacing w:after="120"/>
        <w:rPr>
          <w:iCs/>
          <w:spacing w:val="-1"/>
          <w:szCs w:val="24"/>
          <w:rFonts w:ascii="Times New Roman" w:hAnsi="Times New Roman"/>
        </w:rPr>
      </w:pPr>
      <w:r>
        <w:rPr>
          <w:rFonts w:ascii="Times New Roman" w:hAnsi="Times New Roman"/>
        </w:rPr>
        <w:t xml:space="preserve">La Commission reconnaît le rôle crucial des organisations d’agriculteurs pour donner aux petits agriculteurs les moyens d’agir.</w:t>
      </w:r>
      <w:r>
        <w:rPr>
          <w:rFonts w:ascii="Times New Roman" w:hAnsi="Times New Roman"/>
        </w:rPr>
        <w:t xml:space="preserve"> </w:t>
      </w:r>
      <w:r>
        <w:rPr>
          <w:rFonts w:ascii="Times New Roman" w:hAnsi="Times New Roman"/>
        </w:rPr>
        <w:t xml:space="preserve">Par son soutien aux programmes FO4ACP, FO4Asia et FO4LatinAmerica, la Commission met l’accent sur l’augmentation des revenus et l’amélioration des moyens de subsistance des agriculteurs familiaux, grâce à une meilleure intégration des exploitations familiales dans la chaîne de valeur agricole clé (paragraphes 5 et 18).</w:t>
      </w:r>
      <w:r>
        <w:rPr>
          <w:rFonts w:ascii="Times New Roman" w:hAnsi="Times New Roman"/>
        </w:rPr>
        <w:t xml:space="preserve"> </w:t>
      </w:r>
      <w:r>
        <w:rPr>
          <w:rFonts w:ascii="Times New Roman" w:hAnsi="Times New Roman"/>
        </w:rPr>
        <w:t xml:space="preserve">La «School Meals Coalition» (coalition pour les repas scolaires) est l’une des huit coalitions d’action auxquelles la Commission participe.</w:t>
      </w:r>
      <w:r>
        <w:rPr>
          <w:rFonts w:ascii="Times New Roman" w:hAnsi="Times New Roman"/>
        </w:rPr>
        <w:t xml:space="preserve"> </w:t>
      </w:r>
      <w:r>
        <w:rPr>
          <w:rFonts w:ascii="Times New Roman" w:hAnsi="Times New Roman"/>
        </w:rPr>
        <w:t xml:space="preserve">Conformément aux engagements pris lors du sommet des Nations unies sur les systèmes alimentaires, la Commission aide actuellement un certain nombre de pays partenaires à intégrer efficacement des programmes de repas scolaires dans l’enseignement national (par exemple au Burkina Faso, en République démocratique du Congo et au Malawi), si possible en intégrant les résultats en matière de système alimentaire et de moyens de subsistance, par exemple en soutenant des modèles d’alimentation scolaire basée sur des produits alimentaires locaux (paragraphe 40).</w:t>
      </w:r>
    </w:p>
    <w:p w:rsidR="002841C9" w:rsidRPr="009129F8" w:rsidRDefault="002841C9" w:rsidP="002841C9">
      <w:pPr>
        <w:spacing w:after="120"/>
        <w:rPr>
          <w:szCs w:val="24"/>
          <w:rFonts w:ascii="Times New Roman" w:hAnsi="Times New Roman"/>
        </w:rPr>
      </w:pPr>
      <w:r>
        <w:rPr>
          <w:rFonts w:ascii="Times New Roman" w:hAnsi="Times New Roman"/>
        </w:rPr>
        <w:t xml:space="preserve">La Commission, en collaboration avec les États membres de l’UE et les institutions européennes de financement du développement (EDFI), promeut l’approche «Une seule santé», notamment au moyen d’une initiative spécifique de l’Équipe Europe avec l’Afrique, qui vise à renforcer la sécurité sanitaire.</w:t>
      </w:r>
      <w:r>
        <w:rPr>
          <w:rFonts w:ascii="Times New Roman" w:hAnsi="Times New Roman"/>
        </w:rPr>
        <w:t xml:space="preserve"> </w:t>
      </w:r>
      <w:r>
        <w:rPr>
          <w:rFonts w:ascii="Times New Roman" w:hAnsi="Times New Roman"/>
        </w:rPr>
        <w:t xml:space="preserve">Cette initiative Équipe Europe soutient, entre autres, les progrès en matière de prévention des maladies zoonotiques d’origine alimentaire et d’autres maladies infectieuses, y compris la résistance aux antimicrobiens, et en matière de réponse à ces maladies (paragraphe 44).</w:t>
      </w:r>
      <w:r>
        <w:rPr>
          <w:rFonts w:ascii="Times New Roman" w:hAnsi="Times New Roman"/>
        </w:rPr>
        <w:t xml:space="preserve"> </w:t>
      </w:r>
      <w:r>
        <w:rPr>
          <w:rFonts w:ascii="Times New Roman" w:hAnsi="Times New Roman"/>
        </w:rPr>
        <w:t xml:space="preserve">La Commission reconnaît l’importance du renforcement des systèmes de santé et de la couverture sanitaire universelle.</w:t>
      </w:r>
      <w:r>
        <w:rPr>
          <w:rFonts w:ascii="Times New Roman" w:hAnsi="Times New Roman"/>
        </w:rPr>
        <w:t xml:space="preserve"> </w:t>
      </w:r>
      <w:r>
        <w:rPr>
          <w:rFonts w:ascii="Times New Roman" w:hAnsi="Times New Roman"/>
        </w:rPr>
        <w:t xml:space="preserve">Pour lutter contre toutes les formes de malnutrition, une action coordonnée multisectorielle et multipartite est menée dans les pays partenaires à chaque fois que cela est possible, y compris des actions visant à intégrer les services nutritionnels essentiels dans les systèmes de santé et les programmes de développement humain.</w:t>
      </w:r>
      <w:r>
        <w:rPr>
          <w:rFonts w:ascii="Times New Roman" w:hAnsi="Times New Roman"/>
        </w:rPr>
        <w:t xml:space="preserve"> </w:t>
      </w:r>
      <w:r>
        <w:rPr>
          <w:rFonts w:ascii="Times New Roman" w:hAnsi="Times New Roman"/>
        </w:rPr>
        <w:t xml:space="preserve">La continuité du soutien international est essentielle pour garantir des progrès dans les pays partenaires afin de réduire le nombre d’enfants présentant un retard de croissance (paragraphes 30 et 39).</w:t>
      </w:r>
      <w:r>
        <w:rPr>
          <w:rFonts w:ascii="Times New Roman" w:hAnsi="Times New Roman"/>
        </w:rPr>
        <w:t xml:space="preserve"> </w:t>
      </w:r>
      <w:r>
        <w:rPr>
          <w:rFonts w:ascii="Times New Roman" w:hAnsi="Times New Roman"/>
        </w:rPr>
        <w:t xml:space="preserve">Afin de respecter l’engagement pris lors du sommet «Nutrition pour la croissance», la Commission continuera de s’attaquer à la malnutrition de manière globale dans le cadre d’une approche multisectorielle.</w:t>
      </w:r>
      <w:r>
        <w:rPr>
          <w:rFonts w:ascii="Times New Roman" w:hAnsi="Times New Roman"/>
        </w:rPr>
        <w:t xml:space="preserve"> </w:t>
      </w:r>
      <w:r>
        <w:rPr>
          <w:rFonts w:ascii="Times New Roman" w:hAnsi="Times New Roman"/>
        </w:rPr>
        <w:t xml:space="preserve">En ce sens, les objectifs en matière de nutrition ont été inclus, dans la mesure du possible, dans les actions à financer au titre des domaines prioritaires définis dans les programmes indicatifs pluriannuels nationaux et régionaux pour la période 2021-2027 (paragraphe 101).</w:t>
      </w:r>
    </w:p>
    <w:p w:rsidR="002841C9" w:rsidRPr="009129F8" w:rsidRDefault="002841C9" w:rsidP="002841C9">
      <w:pPr>
        <w:spacing w:after="120"/>
        <w:rPr>
          <w:iCs/>
          <w:spacing w:val="-1"/>
          <w:szCs w:val="24"/>
          <w:rFonts w:ascii="Times New Roman" w:hAnsi="Times New Roman"/>
        </w:rPr>
      </w:pPr>
      <w:r>
        <w:rPr>
          <w:rFonts w:ascii="Times New Roman" w:hAnsi="Times New Roman"/>
        </w:rPr>
        <w:t xml:space="preserve">Compte tenu de l’importance de la transparence du marché pour la stabilisation du marché et pour éviter les éventuels effets négatifs de la spéculation, la Commission assure un suivi et une analyse réguliers des prix agroalimentaires et du caractère abordable des denrées alimentaires dans l’UE au moyen de son tableau de bord et de son portail de données, ainsi que dans le cadre de la coopération multilatérale au sein de l’Organisation des Nations unies pour l’alimentation et l’agriculture (FAO), de l’Organisation mondiale du commerce (OMC), ainsi que du G7 et du G20 (paragraphe 8).</w:t>
      </w:r>
    </w:p>
    <w:p w:rsidR="002841C9" w:rsidRPr="009129F8" w:rsidRDefault="002841C9" w:rsidP="002841C9">
      <w:pPr>
        <w:spacing w:after="120"/>
        <w:rPr>
          <w:szCs w:val="24"/>
          <w:rFonts w:ascii="Times New Roman" w:hAnsi="Times New Roman"/>
        </w:rPr>
      </w:pPr>
      <w:r>
        <w:rPr>
          <w:rFonts w:ascii="Times New Roman" w:hAnsi="Times New Roman"/>
        </w:rPr>
        <w:t xml:space="preserve">La contribution humanitaire de l’Union au Programme alimentaire mondial s’élevait à 498 millions de dollars en 2021 et à 288 millions de dollars au 11 juillet 2022.</w:t>
      </w:r>
      <w:r>
        <w:rPr>
          <w:rFonts w:ascii="Times New Roman" w:hAnsi="Times New Roman"/>
        </w:rPr>
        <w:t xml:space="preserve"> </w:t>
      </w:r>
      <w:r>
        <w:rPr>
          <w:rFonts w:ascii="Times New Roman" w:hAnsi="Times New Roman"/>
        </w:rPr>
        <w:t xml:space="preserve">Les contributions humanitaires à l’aide alimentaire n’ont cessé d’augmenter au cours des cinq dernières années, atteignant 502 millions d’euros en 2020 et 580 millions d’euros en 2021 (paragraphe 10).</w:t>
      </w:r>
    </w:p>
    <w:p w:rsidR="002841C9" w:rsidRPr="009129F8" w:rsidRDefault="002841C9" w:rsidP="002841C9">
      <w:pPr>
        <w:pStyle w:val="Subheading"/>
        <w:widowControl/>
        <w:numPr>
          <w:ilvl w:val="0"/>
          <w:numId w:val="41"/>
        </w:numPr>
        <w:spacing w:before="0" w:after="120"/>
        <w:ind w:left="850"/>
        <w:rPr>
          <w:rStyle w:val="BoldItalic"/>
        </w:rPr>
      </w:pPr>
      <w:r>
        <w:rPr>
          <w:rStyle w:val="BoldItalic"/>
        </w:rPr>
        <w:t xml:space="preserve">Renforcer la résilience aux chocs à venir (paragraphes 47 à 82)</w:t>
      </w:r>
    </w:p>
    <w:p w:rsidR="00D1293B" w:rsidRDefault="00D1293B" w:rsidP="002841C9">
      <w:pPr>
        <w:spacing w:after="120"/>
        <w:ind w:right="57"/>
        <w:rPr>
          <w:szCs w:val="24"/>
          <w:rFonts w:ascii="Times New Roman" w:hAnsi="Times New Roman"/>
        </w:rPr>
      </w:pPr>
      <w:r>
        <w:rPr>
          <w:rFonts w:ascii="Times New Roman" w:hAnsi="Times New Roman"/>
        </w:rPr>
        <w:t xml:space="preserve">L’UE a pris des mesures pour soutenir les effets pour ses partenaires les plus vulnérables.</w:t>
      </w:r>
      <w:r>
        <w:rPr>
          <w:rFonts w:ascii="Times New Roman" w:hAnsi="Times New Roman"/>
        </w:rPr>
        <w:t xml:space="preserve"> </w:t>
      </w:r>
      <w:r>
        <w:rPr>
          <w:rFonts w:ascii="Times New Roman" w:hAnsi="Times New Roman"/>
        </w:rPr>
        <w:t xml:space="preserve">Les conclusions du Conseil</w:t>
      </w:r>
      <w:r>
        <w:rPr>
          <w:rStyle w:val="FootnoteReference"/>
          <w:rFonts w:ascii="Times New Roman" w:eastAsia="Calibri" w:hAnsi="Times New Roman"/>
          <w:iCs/>
          <w:szCs w:val="24"/>
          <w:lang w:val="en-IE"/>
        </w:rPr>
        <w:footnoteReference w:id="4"/>
      </w:r>
      <w:r>
        <w:rPr>
          <w:rFonts w:ascii="Times New Roman" w:hAnsi="Times New Roman"/>
        </w:rPr>
        <w:t xml:space="preserve"> sur une réponse de l’Équipe Europe à l’insécurité alimentaire mondiale définissent quatre volets d’action:</w:t>
      </w:r>
      <w:r>
        <w:rPr>
          <w:rFonts w:ascii="Times New Roman" w:hAnsi="Times New Roman"/>
        </w:rPr>
        <w:t xml:space="preserve"> </w:t>
      </w:r>
      <w:r>
        <w:rPr>
          <w:rFonts w:ascii="Times New Roman" w:hAnsi="Times New Roman"/>
        </w:rPr>
        <w:t xml:space="preserve">1) la solidarité;</w:t>
      </w:r>
      <w:r>
        <w:rPr>
          <w:rFonts w:ascii="Times New Roman" w:hAnsi="Times New Roman"/>
        </w:rPr>
        <w:t xml:space="preserve"> </w:t>
      </w:r>
      <w:r>
        <w:rPr>
          <w:rFonts w:ascii="Times New Roman" w:hAnsi="Times New Roman"/>
        </w:rPr>
        <w:t xml:space="preserve">2) la production durable, la résilience et la transformation des systèmes alimentaires;</w:t>
      </w:r>
      <w:r>
        <w:rPr>
          <w:rFonts w:ascii="Times New Roman" w:hAnsi="Times New Roman"/>
        </w:rPr>
        <w:t xml:space="preserve"> </w:t>
      </w:r>
      <w:r>
        <w:rPr>
          <w:rFonts w:ascii="Times New Roman" w:hAnsi="Times New Roman"/>
        </w:rPr>
        <w:t xml:space="preserve">3) la facilitation des échanges commerciaux;</w:t>
      </w:r>
      <w:r>
        <w:rPr>
          <w:rFonts w:ascii="Times New Roman" w:hAnsi="Times New Roman"/>
        </w:rPr>
        <w:t xml:space="preserve"> </w:t>
      </w:r>
      <w:r>
        <w:rPr>
          <w:rFonts w:ascii="Times New Roman" w:hAnsi="Times New Roman"/>
        </w:rPr>
        <w:t xml:space="preserve">et 4) le multilatéralisme.</w:t>
      </w:r>
    </w:p>
    <w:p w:rsidR="002841C9" w:rsidRPr="009129F8" w:rsidRDefault="002841C9" w:rsidP="002841C9">
      <w:pPr>
        <w:spacing w:after="120"/>
        <w:ind w:right="57"/>
        <w:rPr>
          <w:szCs w:val="24"/>
          <w:rFonts w:ascii="Times New Roman" w:hAnsi="Times New Roman"/>
        </w:rPr>
      </w:pPr>
      <w:r>
        <w:rPr>
          <w:rFonts w:ascii="Times New Roman" w:hAnsi="Times New Roman"/>
        </w:rPr>
        <w:t xml:space="preserve">En avril 2022, la Commission a débloqué 231 millions d’euros sur la période 2021-2022 pour la sécurité alimentaire dans la Corne de l’Afrique.</w:t>
      </w:r>
      <w:r>
        <w:rPr>
          <w:rFonts w:ascii="Times New Roman" w:hAnsi="Times New Roman"/>
        </w:rPr>
        <w:t xml:space="preserve"> </w:t>
      </w:r>
      <w:r>
        <w:rPr>
          <w:rFonts w:ascii="Times New Roman" w:hAnsi="Times New Roman"/>
        </w:rPr>
        <w:t xml:space="preserve">Il s’agit notamment de soutenir à plus long terme la lutte contre les causes profondes de l’insécurité alimentaire, y compris les mesures d’adaptation au changement climatique et d’atténuation de ses effets.</w:t>
      </w:r>
      <w:r>
        <w:rPr>
          <w:rFonts w:ascii="Times New Roman" w:hAnsi="Times New Roman"/>
        </w:rPr>
        <w:t xml:space="preserve"> </w:t>
      </w:r>
      <w:r>
        <w:rPr>
          <w:rFonts w:ascii="Times New Roman" w:hAnsi="Times New Roman"/>
        </w:rPr>
        <w:t xml:space="preserve">Sur proposition de la Commission (21 juin 2022)</w:t>
      </w:r>
      <w:r>
        <w:rPr>
          <w:rStyle w:val="FootnoteReference"/>
          <w:rFonts w:ascii="Times New Roman" w:hAnsi="Times New Roman"/>
          <w:szCs w:val="24"/>
        </w:rPr>
        <w:footnoteReference w:id="5"/>
      </w:r>
      <w:r>
        <w:rPr>
          <w:rFonts w:ascii="Times New Roman" w:hAnsi="Times New Roman"/>
        </w:rPr>
        <w:t xml:space="preserve">, le Conseil a décidé, le 15 juillet 2022</w:t>
      </w:r>
      <w:r>
        <w:rPr>
          <w:rStyle w:val="FootnoteReference"/>
          <w:rFonts w:ascii="Times New Roman" w:hAnsi="Times New Roman"/>
          <w:szCs w:val="24"/>
        </w:rPr>
        <w:footnoteReference w:id="6"/>
      </w:r>
      <w:r>
        <w:rPr>
          <w:rFonts w:ascii="Times New Roman" w:hAnsi="Times New Roman"/>
        </w:rPr>
        <w:t xml:space="preserve">, d’allouer 600 millions d’euros provenant des réserves du Fonds européen de développement pour faire face à la crise actuelle de sécurité alimentaire aggravée par la guerre d’agression menée par la Russie contre l’Ukraine.</w:t>
      </w:r>
      <w:r>
        <w:rPr>
          <w:rFonts w:ascii="Times New Roman" w:hAnsi="Times New Roman"/>
        </w:rPr>
        <w:t xml:space="preserve"> </w:t>
      </w:r>
      <w:r>
        <w:rPr>
          <w:rFonts w:ascii="Times New Roman" w:hAnsi="Times New Roman"/>
        </w:rPr>
        <w:t xml:space="preserve">Conformément à la décision de la Commission du 9 septembre 2022</w:t>
      </w:r>
      <w:r>
        <w:rPr>
          <w:rStyle w:val="FootnoteReference"/>
          <w:rFonts w:ascii="Times New Roman" w:hAnsi="Times New Roman"/>
          <w:szCs w:val="24"/>
        </w:rPr>
        <w:footnoteReference w:id="7"/>
      </w:r>
      <w:r>
        <w:rPr>
          <w:rFonts w:ascii="Times New Roman" w:hAnsi="Times New Roman"/>
        </w:rPr>
        <w:t xml:space="preserve">, ces fonds aideront les pays d’Afrique, des Caraïbes et du Pacifique (ACP) à faire face à la situation dramatique, grâce à une aide humanitaire (150 millions d’euros), à une production durable et à la résilience des systèmes alimentaires (350 millions d’euros) et à un soutien macroéconomique de 100 millions d’euros au Fonds pour la réduction de la pauvreté et la croissance du FMI, qui mobilisera 630 millions d’euros sous forme de prêts concessionnels.</w:t>
      </w:r>
      <w:r>
        <w:rPr>
          <w:rFonts w:ascii="Times New Roman" w:hAnsi="Times New Roman"/>
        </w:rPr>
        <w:t xml:space="preserve"> </w:t>
      </w:r>
      <w:r>
        <w:rPr>
          <w:rFonts w:ascii="Times New Roman" w:hAnsi="Times New Roman"/>
        </w:rPr>
        <w:t xml:space="preserve">La réponse mondiale de l’UE à l’insécurité alimentaire est estimée à plus de 7,7 milliards d’euros entre 2021 et 2024.</w:t>
      </w:r>
      <w:r>
        <w:rPr>
          <w:sz w:val="22"/>
          <w:rFonts w:ascii="Arial" w:hAnsi="Arial"/>
        </w:rPr>
        <w:t xml:space="preserve"> </w:t>
      </w:r>
      <w:r>
        <w:rPr>
          <w:rFonts w:ascii="Times New Roman" w:hAnsi="Times New Roman"/>
        </w:rPr>
        <w:t xml:space="preserve">En outre, et dans le but de renforcer la résilience, la Commission contribue au renforcement des capacités nécessaires à la mise en œuvre d’une action anticipative et précoce fondée sur des prévisions et des éléments déclencheurs (paragraphe 48).</w:t>
      </w:r>
    </w:p>
    <w:p w:rsidR="002841C9" w:rsidRPr="009129F8" w:rsidRDefault="002841C9" w:rsidP="002841C9">
      <w:pPr>
        <w:spacing w:after="120"/>
        <w:rPr>
          <w:szCs w:val="24"/>
          <w:rFonts w:ascii="Times New Roman" w:hAnsi="Times New Roman"/>
        </w:rPr>
      </w:pPr>
      <w:r>
        <w:rPr>
          <w:rFonts w:ascii="Times New Roman" w:hAnsi="Times New Roman"/>
        </w:rPr>
        <w:t xml:space="preserve">Comme indiqué dans la communication sur la sauvegarde de la sécurité alimentaire, la Commission soutient les États membres dans l’utilisation des possibilités de réduire la proportion de biocarburants utilisée dans les mélanges, ce qui pourrait conduire à une réduction des terres agricoles de l’UE utilisées pour la production de matières premières destinées à la production de biocarburants, allégeant ainsi la pression sur les marchés des produits de base destinés à l’alimentation humaine et animale.</w:t>
      </w:r>
      <w:r>
        <w:rPr>
          <w:rFonts w:ascii="Times New Roman" w:hAnsi="Times New Roman"/>
        </w:rPr>
        <w:t xml:space="preserve"> </w:t>
      </w:r>
      <w:r>
        <w:rPr>
          <w:rFonts w:ascii="Times New Roman" w:hAnsi="Times New Roman"/>
        </w:rPr>
        <w:t xml:space="preserve">La Commission estime en outre que la contribution des biocarburants produits à partir de cultures destinées à l’alimentation humaine ou animale à la décarbonation est limitée et que leur utilisation devrait être réduite au minimum (paragraphe 53).</w:t>
      </w:r>
      <w:r>
        <w:rPr>
          <w:rFonts w:ascii="Times New Roman" w:hAnsi="Times New Roman"/>
        </w:rPr>
        <w:t xml:space="preserve"> </w:t>
      </w:r>
      <w:r>
        <w:rPr>
          <w:rFonts w:ascii="Times New Roman" w:hAnsi="Times New Roman"/>
        </w:rPr>
        <w:t xml:space="preserve">Dans sa communication sur le plan d’urgence visant à garantir l’approvisionnement et la sécurité alimentaires en temps de crise</w:t>
      </w:r>
      <w:r>
        <w:rPr>
          <w:rStyle w:val="FootnoteReference"/>
          <w:rFonts w:ascii="Times New Roman" w:hAnsi="Times New Roman"/>
          <w:bCs/>
          <w:szCs w:val="24"/>
          <w:shd w:val="clear" w:color="auto" w:fill="FFFFFF"/>
        </w:rPr>
        <w:footnoteReference w:id="8"/>
      </w:r>
      <w:r>
        <w:rPr>
          <w:rFonts w:ascii="Times New Roman" w:hAnsi="Times New Roman"/>
        </w:rPr>
        <w:t xml:space="preserve">, la Commission note que les politiques en place, y compris la politique agricole commune et la politique commune de la pêche, fournissent les outils nécessaires en cas de crise menaçant la sécurité alimentaire dans l’UE (paragraphe 50).</w:t>
      </w:r>
    </w:p>
    <w:p w:rsidR="002841C9" w:rsidRPr="009129F8" w:rsidRDefault="002841C9" w:rsidP="002841C9">
      <w:pPr>
        <w:spacing w:after="120"/>
        <w:rPr>
          <w:szCs w:val="24"/>
          <w:shd w:val="clear" w:color="auto" w:fill="E6E6E6"/>
          <w:rFonts w:ascii="Times New Roman" w:hAnsi="Times New Roman"/>
        </w:rPr>
      </w:pPr>
      <w:r>
        <w:rPr>
          <w:rFonts w:ascii="Times New Roman" w:hAnsi="Times New Roman"/>
        </w:rPr>
        <w:t xml:space="preserve">En outre, dans le cadre de la stratégie «De la ferme à la table», la Commission poursuit un plan d’action ambitieux visant à supprimer le gaspillage alimentaire de la chaîne d’approvisionnement alimentaire.</w:t>
      </w:r>
      <w:r>
        <w:rPr>
          <w:rFonts w:ascii="Times New Roman" w:hAnsi="Times New Roman"/>
        </w:rPr>
        <w:t xml:space="preserve"> </w:t>
      </w:r>
      <w:r>
        <w:rPr>
          <w:rFonts w:ascii="Times New Roman" w:hAnsi="Times New Roman"/>
        </w:rPr>
        <w:t xml:space="preserve">La Commission soutient pleinement la mise en place de programmes nationaux de prévention du gaspillage alimentaire, déjà requis par la législation de l’UE en matière de déchets.</w:t>
      </w:r>
      <w:r>
        <w:rPr>
          <w:rFonts w:ascii="Times New Roman" w:hAnsi="Times New Roman"/>
        </w:rPr>
        <w:t xml:space="preserve"> </w:t>
      </w:r>
      <w:r>
        <w:rPr>
          <w:rFonts w:ascii="Times New Roman" w:hAnsi="Times New Roman"/>
        </w:rPr>
        <w:t xml:space="preserve">Si les circuits courts d’approvisionnement alimentaire sont susceptibles de réduire le gaspillage alimentaire dans la production et la distribution, la majeure partie du gaspillage alimentaire provient de la consommation.</w:t>
      </w:r>
      <w:r>
        <w:rPr>
          <w:rFonts w:ascii="Times New Roman" w:hAnsi="Times New Roman"/>
        </w:rPr>
        <w:t xml:space="preserve"> </w:t>
      </w:r>
      <w:r>
        <w:rPr>
          <w:rFonts w:ascii="Times New Roman" w:hAnsi="Times New Roman"/>
        </w:rPr>
        <w:t xml:space="preserve">La prévention du gaspillage alimentaire nécessite une coopération étroite de la part de tous les acteurs du secteur public comme du secteur privé.</w:t>
      </w:r>
      <w:r>
        <w:rPr>
          <w:rFonts w:ascii="Times New Roman" w:hAnsi="Times New Roman"/>
        </w:rPr>
        <w:t xml:space="preserve"> </w:t>
      </w:r>
      <w:r>
        <w:rPr>
          <w:rFonts w:ascii="Times New Roman" w:hAnsi="Times New Roman"/>
        </w:rPr>
        <w:t xml:space="preserve">C’est pourquoi la Commission a mis en place la plateforme de l’UE sur les pertes et le gaspillage alimentaires, qui associe des organisations internationales, des États membres, des entreprises du secteur alimentaire et la société civile afin d’accélérer les progrès de l’UE vers l’objectif mondial consistant à réduire de moitié le gaspillage alimentaire d’ici à 2030 (cible 12.3 des objectifs de développement durable) (paragraphe 51).</w:t>
      </w:r>
    </w:p>
    <w:p w:rsidR="002841C9" w:rsidRPr="009129F8" w:rsidRDefault="002841C9" w:rsidP="002841C9">
      <w:pPr>
        <w:spacing w:after="120"/>
        <w:rPr>
          <w:szCs w:val="24"/>
          <w:rFonts w:ascii="Times New Roman" w:hAnsi="Times New Roman"/>
        </w:rPr>
      </w:pPr>
      <w:r>
        <w:rPr>
          <w:rFonts w:ascii="Times New Roman" w:hAnsi="Times New Roman"/>
        </w:rPr>
        <w:t xml:space="preserve">L’UE, ses États membres et la Banque européenne d’investissement (BEI) sont le premier contributeur mondial au financement de la lutte contre le changement climatique, fournissant au moins un tiers du financement public mondial de la lutte contre le changement climatique et contribuant à hauteur de plus de 20 milliards d’euros par an depuis 2018.</w:t>
      </w:r>
      <w:r>
        <w:rPr>
          <w:rFonts w:ascii="Times New Roman" w:hAnsi="Times New Roman"/>
        </w:rPr>
        <w:t xml:space="preserve"> </w:t>
      </w:r>
      <w:r>
        <w:rPr>
          <w:rFonts w:ascii="Times New Roman" w:hAnsi="Times New Roman"/>
        </w:rPr>
        <w:t xml:space="preserve">En ce qui concerne la coopération internationale de l’UE pour la période 2021-2027, l’objectif de financement de la lutte contre le changement climatique a été porté à 30 %, avec 4 milliards d’euros supplémentaires promis par la présidente von der Leyen en 2021</w:t>
      </w:r>
      <w:r>
        <w:rPr>
          <w:rStyle w:val="FootnoteReference"/>
          <w:rFonts w:ascii="Times New Roman" w:hAnsi="Times New Roman"/>
          <w:szCs w:val="24"/>
        </w:rPr>
        <w:footnoteReference w:id="9"/>
      </w:r>
      <w:r>
        <w:rPr>
          <w:rFonts w:ascii="Times New Roman" w:hAnsi="Times New Roman"/>
        </w:rPr>
        <w:t xml:space="preserve"> (paragraphe 56).</w:t>
      </w:r>
    </w:p>
    <w:p w:rsidR="002841C9" w:rsidRPr="009129F8" w:rsidRDefault="002841C9" w:rsidP="002841C9">
      <w:pPr>
        <w:spacing w:after="120"/>
        <w:rPr>
          <w:szCs w:val="24"/>
          <w:rFonts w:ascii="Times New Roman" w:hAnsi="Times New Roman"/>
        </w:rPr>
      </w:pPr>
      <w:r>
        <w:rPr>
          <w:rFonts w:ascii="Times New Roman" w:hAnsi="Times New Roman"/>
        </w:rPr>
        <w:t xml:space="preserve">Conformément au pacte vert et à la stratégie «De la ferme à la table», la Commission applique des approches intégrées aux systèmes alimentaires afin d’assurer une transition juste vers des systèmes alimentaires plus durables dans les pays partenaires.</w:t>
      </w:r>
      <w:r>
        <w:rPr>
          <w:rFonts w:ascii="Times New Roman" w:hAnsi="Times New Roman"/>
        </w:rPr>
        <w:t xml:space="preserve"> </w:t>
      </w:r>
      <w:r>
        <w:rPr>
          <w:rFonts w:ascii="Times New Roman" w:hAnsi="Times New Roman"/>
        </w:rPr>
        <w:t xml:space="preserve">La Commission intègre activement et de plus en plus l’adaptation au changement climatique et la réduction des risques de catastrophe dans son aide au développement et ses partenariats, conformément à la stratégie de l’UE relative à l’adaptation au changement climatique (paragraphe 70).</w:t>
      </w:r>
    </w:p>
    <w:p w:rsidR="002841C9" w:rsidRPr="009129F8" w:rsidRDefault="002841C9" w:rsidP="002841C9">
      <w:pPr>
        <w:pStyle w:val="FootnoteText"/>
        <w:spacing w:after="120"/>
        <w:ind w:left="0" w:firstLine="0"/>
        <w:rPr>
          <w:sz w:val="24"/>
          <w:szCs w:val="24"/>
          <w:rFonts w:ascii="Times New Roman" w:hAnsi="Times New Roman"/>
        </w:rPr>
      </w:pPr>
      <w:r>
        <w:rPr>
          <w:sz w:val="24"/>
          <w:rFonts w:ascii="Times New Roman" w:hAnsi="Times New Roman"/>
        </w:rPr>
        <w:t xml:space="preserve">Le plan d’action de l’UE sur la nutrition</w:t>
      </w:r>
      <w:r>
        <w:rPr>
          <w:rStyle w:val="FootnoteReference"/>
          <w:rFonts w:ascii="Times New Roman" w:hAnsi="Times New Roman"/>
          <w:sz w:val="24"/>
          <w:szCs w:val="24"/>
        </w:rPr>
        <w:footnoteReference w:id="10"/>
      </w:r>
      <w:r>
        <w:rPr>
          <w:sz w:val="24"/>
          <w:rFonts w:ascii="Times New Roman" w:hAnsi="Times New Roman"/>
        </w:rPr>
        <w:t xml:space="preserve"> décrit la manière dont la Commission entend tenir son engagement de réduire d’au moins 10 % (7 millions d’enfants) le retard de croissance chez les enfants de moins de cinq ans d’ici à 2025.</w:t>
      </w:r>
      <w:r>
        <w:rPr>
          <w:sz w:val="24"/>
          <w:rFonts w:ascii="Times New Roman" w:hAnsi="Times New Roman"/>
        </w:rPr>
        <w:t xml:space="preserve"> </w:t>
      </w:r>
      <w:r>
        <w:rPr>
          <w:sz w:val="24"/>
          <w:rFonts w:ascii="Times New Roman" w:hAnsi="Times New Roman"/>
        </w:rPr>
        <w:t xml:space="preserve">Elle continuera donc à orienter les travaux sur la nutrition et la nécessité de les réviser sera examinée en temps utile.</w:t>
      </w:r>
      <w:r>
        <w:rPr>
          <w:sz w:val="24"/>
          <w:rFonts w:ascii="Times New Roman" w:hAnsi="Times New Roman"/>
        </w:rPr>
        <w:t xml:space="preserve"> </w:t>
      </w:r>
      <w:r>
        <w:rPr>
          <w:sz w:val="24"/>
          <w:rFonts w:ascii="Times New Roman" w:hAnsi="Times New Roman"/>
        </w:rPr>
        <w:t xml:space="preserve">La Commission a introduit des orientations stratégiques mondiales en matière de sécurité alimentaire et nutritionnelle dans la stratégie «De la ferme à la table», ainsi que dans la communication intitulée «Préserver la sécurité alimentaire».</w:t>
      </w:r>
      <w:r>
        <w:rPr>
          <w:sz w:val="24"/>
          <w:rFonts w:ascii="Times New Roman" w:hAnsi="Times New Roman"/>
        </w:rPr>
        <w:t xml:space="preserve"> </w:t>
      </w:r>
      <w:r>
        <w:rPr>
          <w:sz w:val="24"/>
          <w:rFonts w:ascii="Times New Roman" w:hAnsi="Times New Roman"/>
        </w:rPr>
        <w:t xml:space="preserve">La Commission continuera d’examiner la nécessité d’actualiser les cadres d’action en matière de sécurité alimentaire et nutritionnelle (paragraphes 77 et 78).</w:t>
      </w:r>
    </w:p>
    <w:p w:rsidR="002841C9" w:rsidRPr="009129F8" w:rsidRDefault="002841C9" w:rsidP="002841C9">
      <w:pPr>
        <w:pStyle w:val="Subheading"/>
        <w:widowControl/>
        <w:numPr>
          <w:ilvl w:val="0"/>
          <w:numId w:val="41"/>
        </w:numPr>
        <w:spacing w:before="0" w:after="120"/>
        <w:ind w:left="1077"/>
        <w:jc w:val="both"/>
        <w:rPr>
          <w:b w:val="0"/>
          <w:i w:val="0"/>
          <w:szCs w:val="24"/>
        </w:rPr>
      </w:pPr>
      <w:r>
        <w:rPr>
          <w:rStyle w:val="BoldItalic"/>
        </w:rPr>
        <w:t xml:space="preserve">Une réponse complémentaire de l’Union en matière d’aide humanitaire et de développement (paragraphes 83 à 118)</w:t>
      </w:r>
    </w:p>
    <w:p w:rsidR="002841C9" w:rsidRPr="009129F8" w:rsidRDefault="002841C9" w:rsidP="002841C9">
      <w:pPr>
        <w:spacing w:after="120" w:line="256" w:lineRule="auto"/>
        <w:rPr>
          <w:szCs w:val="24"/>
          <w:rFonts w:ascii="Times New Roman" w:hAnsi="Times New Roman"/>
        </w:rPr>
      </w:pPr>
      <w:r>
        <w:rPr>
          <w:rFonts w:ascii="Times New Roman" w:hAnsi="Times New Roman"/>
        </w:rPr>
        <w:t xml:space="preserve">La Commission s’est engagée à progresser sur deux axes importants:</w:t>
      </w:r>
      <w:r>
        <w:rPr>
          <w:rFonts w:ascii="Times New Roman" w:hAnsi="Times New Roman"/>
        </w:rPr>
        <w:t xml:space="preserve"> </w:t>
      </w:r>
      <w:r>
        <w:rPr>
          <w:rFonts w:ascii="Times New Roman" w:hAnsi="Times New Roman"/>
        </w:rPr>
        <w:t xml:space="preserve">participer aux efforts multilatéraux pour trouver des solutions qui rendent la dette plus soutenable et garantir que les pays en développement continuent à recevoir un financement suffisant à l’avenir.</w:t>
      </w:r>
      <w:r>
        <w:rPr>
          <w:rFonts w:ascii="Times New Roman" w:hAnsi="Times New Roman"/>
        </w:rPr>
        <w:t xml:space="preserve"> </w:t>
      </w:r>
      <w:r>
        <w:rPr>
          <w:rFonts w:ascii="Times New Roman" w:hAnsi="Times New Roman"/>
        </w:rPr>
        <w:t xml:space="preserve">À l’appui des efforts multilatéraux, la Commission a annoncé une contribution de 100 millions d’euros à la subvention du Fonds pour la réduction de la pauvreté et la croissance, qui aidera les pays éligibles ayant des besoins urgents en matière de balance des paiements (paragraphe 84)</w:t>
      </w:r>
      <w:r>
        <w:rPr>
          <w:rStyle w:val="FootnoteReference"/>
          <w:rFonts w:ascii="Times New Roman" w:hAnsi="Times New Roman"/>
          <w:szCs w:val="24"/>
          <w:lang w:val="en-US"/>
        </w:rPr>
        <w:footnoteReference w:id="11"/>
      </w:r>
      <w:r>
        <w:rPr>
          <w:rFonts w:ascii="Times New Roman" w:hAnsi="Times New Roman"/>
        </w:rPr>
        <w:t xml:space="preserve">.</w:t>
      </w:r>
    </w:p>
    <w:p w:rsidR="002841C9" w:rsidRPr="009129F8" w:rsidRDefault="00D1293B" w:rsidP="002841C9">
      <w:pPr>
        <w:spacing w:after="120"/>
        <w:rPr>
          <w:szCs w:val="24"/>
          <w:rFonts w:ascii="Times New Roman" w:hAnsi="Times New Roman"/>
        </w:rPr>
      </w:pPr>
      <w:r>
        <w:rPr>
          <w:rFonts w:ascii="Times New Roman" w:hAnsi="Times New Roman"/>
        </w:rPr>
        <w:t xml:space="preserve">La Commission européenne, par le biais de programmes de financement antérieurs tels que le 7</w:t>
      </w:r>
      <w:r>
        <w:rPr>
          <w:vertAlign w:val="superscript"/>
          <w:rFonts w:ascii="Times New Roman" w:hAnsi="Times New Roman"/>
        </w:rPr>
        <w:t xml:space="preserve">e</w:t>
      </w:r>
      <w:r>
        <w:rPr>
          <w:rFonts w:ascii="Times New Roman" w:hAnsi="Times New Roman"/>
        </w:rPr>
        <w:t xml:space="preserve"> programme-cadre de recherche (7</w:t>
      </w:r>
      <w:r>
        <w:rPr>
          <w:vertAlign w:val="superscript"/>
          <w:rFonts w:ascii="Times New Roman" w:hAnsi="Times New Roman"/>
        </w:rPr>
        <w:t xml:space="preserve">e</w:t>
      </w:r>
      <w:r>
        <w:rPr>
          <w:rFonts w:ascii="Times New Roman" w:hAnsi="Times New Roman"/>
        </w:rPr>
        <w:t xml:space="preserve"> PC) et Horizon 2020, a déjà financé la recherche et l’innovation pour relever les défis en matière de résilience des systèmes alimentaires.</w:t>
      </w:r>
      <w:r>
        <w:rPr>
          <w:rFonts w:ascii="Times New Roman" w:hAnsi="Times New Roman"/>
        </w:rPr>
        <w:t xml:space="preserve"> </w:t>
      </w:r>
      <w:r>
        <w:rPr>
          <w:rFonts w:ascii="Times New Roman" w:hAnsi="Times New Roman"/>
        </w:rPr>
        <w:t xml:space="preserve">Horizon Europe investira encore davantage dans la recherche et l’innovation afin d’accélérer la transition vers des systèmes alimentaires durables, y compris le remplacement des engrais de synthèse qui sont utilisés actuellement.</w:t>
      </w:r>
      <w:r>
        <w:rPr>
          <w:rFonts w:ascii="Times New Roman" w:hAnsi="Times New Roman"/>
        </w:rPr>
        <w:t xml:space="preserve"> </w:t>
      </w:r>
      <w:r>
        <w:rPr>
          <w:rFonts w:ascii="Times New Roman" w:hAnsi="Times New Roman"/>
        </w:rPr>
        <w:t xml:space="preserve">Au moyen d’initiatives</w:t>
      </w:r>
      <w:r>
        <w:rPr>
          <w:rStyle w:val="FootnoteReference"/>
          <w:rFonts w:ascii="Times New Roman" w:hAnsi="Times New Roman"/>
          <w:szCs w:val="24"/>
        </w:rPr>
        <w:footnoteReference w:id="12"/>
      </w:r>
      <w:r>
        <w:rPr>
          <w:rFonts w:ascii="Times New Roman" w:hAnsi="Times New Roman"/>
        </w:rPr>
        <w:t xml:space="preserve"> telles que DeSIRA +, la Commission promeut l’innovation et la recherche en faveur de systèmes alimentaires durables avec les pays partenaires.</w:t>
      </w:r>
      <w:r>
        <w:rPr>
          <w:rFonts w:ascii="Times New Roman" w:hAnsi="Times New Roman"/>
        </w:rPr>
        <w:t xml:space="preserve"> </w:t>
      </w:r>
      <w:r>
        <w:rPr>
          <w:rFonts w:ascii="Times New Roman" w:hAnsi="Times New Roman"/>
        </w:rPr>
        <w:t xml:space="preserve">La Commission joue un rôle de premier plan dans la «Coalition on AgroEcology» (coalition en faveur de l’agroécologie) et promeut les approches agroécologiques en tant que moyen de stimuler la production et la sécurité alimentaires, de renforcer la résilience et d’améliorer la biodiversité et les ressources naturelles (paragraphes 87 et 94).</w:t>
      </w:r>
    </w:p>
    <w:p w:rsidR="002841C9" w:rsidRPr="009129F8" w:rsidRDefault="002841C9" w:rsidP="002841C9">
      <w:pPr>
        <w:spacing w:after="120"/>
        <w:rPr>
          <w:szCs w:val="24"/>
          <w:rFonts w:ascii="Times New Roman" w:hAnsi="Times New Roman"/>
        </w:rPr>
      </w:pPr>
      <w:r>
        <w:rPr>
          <w:rFonts w:ascii="Times New Roman" w:hAnsi="Times New Roman"/>
        </w:rPr>
        <w:t xml:space="preserve">La Commission a intégré des approches multisectorielles dans la programmation et la mise en œuvre de l’instrument de voisinage, de coopération au développement et de coopération internationale — Europe dans le monde afin de garantir la réalisation de l’objectif de 20 % d’inclusion sociale et de développement humain (paragraphe 89).</w:t>
      </w:r>
    </w:p>
    <w:p w:rsidR="002841C9" w:rsidRPr="009129F8" w:rsidRDefault="002841C9" w:rsidP="002841C9">
      <w:pPr>
        <w:spacing w:after="120"/>
        <w:rPr>
          <w:szCs w:val="24"/>
          <w:rFonts w:ascii="Times New Roman" w:hAnsi="Times New Roman"/>
        </w:rPr>
      </w:pPr>
      <w:r>
        <w:rPr>
          <w:rFonts w:ascii="Times New Roman" w:hAnsi="Times New Roman"/>
        </w:rPr>
        <w:t xml:space="preserve">L’UE promeut un système de protection des nouvelles variétés végétales en encourageant l’adhésion de ses partenaires commerciaux à l’Union internationale pour la protection des obtentions végétales (UPOV).</w:t>
      </w:r>
      <w:r>
        <w:rPr>
          <w:rFonts w:ascii="Times New Roman" w:hAnsi="Times New Roman"/>
        </w:rPr>
        <w:t xml:space="preserve"> </w:t>
      </w:r>
      <w:r>
        <w:rPr>
          <w:rFonts w:ascii="Times New Roman" w:hAnsi="Times New Roman"/>
        </w:rPr>
        <w:t xml:space="preserve">Cette dernière, ainsi que le traité international sur les ressources phytogénétiques pour l’alimentation et l’agriculture (TIRPAA), visent à soutenir les activités de sélection végétale et à encourager le développement de nouvelles variétés végétales dans l’intérêt des agriculteurs et de la société dans son ensemble.</w:t>
      </w:r>
      <w:r>
        <w:rPr>
          <w:rFonts w:ascii="Times New Roman" w:hAnsi="Times New Roman"/>
        </w:rPr>
        <w:t xml:space="preserve"> </w:t>
      </w:r>
      <w:r>
        <w:rPr>
          <w:rFonts w:ascii="Times New Roman" w:hAnsi="Times New Roman"/>
        </w:rPr>
        <w:t xml:space="preserve">L’UPOV n’empêche pas les pays de disposer de cadres pour les variétés adaptées localement, la sélection végétale participative et les semences paysannes.</w:t>
      </w:r>
    </w:p>
    <w:p w:rsidR="002841C9" w:rsidRPr="009129F8" w:rsidRDefault="002841C9" w:rsidP="002841C9">
      <w:pPr>
        <w:spacing w:after="120"/>
        <w:rPr>
          <w:szCs w:val="24"/>
          <w:rFonts w:ascii="Times New Roman" w:hAnsi="Times New Roman"/>
        </w:rPr>
      </w:pPr>
      <w:r>
        <w:rPr>
          <w:rFonts w:ascii="Times New Roman" w:hAnsi="Times New Roman"/>
        </w:rPr>
        <w:t xml:space="preserve">Le 17 juin 2022, l’Organisation mondiale du commerce est parvenue à un accord sur la suppression des subventions à la pêche non durable, après plus de 20 ans de négociations visant à atteindre l’objectif de développement durable 14.6 des Nations unies.</w:t>
      </w:r>
      <w:r>
        <w:rPr>
          <w:rFonts w:ascii="Times New Roman" w:hAnsi="Times New Roman"/>
        </w:rPr>
        <w:t xml:space="preserve"> </w:t>
      </w:r>
      <w:r>
        <w:rPr>
          <w:rFonts w:ascii="Times New Roman" w:hAnsi="Times New Roman"/>
        </w:rPr>
        <w:t xml:space="preserve">L’examen de la politique commerciale de février 2021 définit la voie à suivre pour mettre en place une politique commerciale ouverte, durable et ferme, mieux à même d’orienter le changement mondial et de refléter les intérêts stratégiques et les valeurs de l’Union, dans le respect des règles de l’OMC.</w:t>
      </w:r>
      <w:r>
        <w:rPr>
          <w:rFonts w:ascii="Times New Roman" w:hAnsi="Times New Roman"/>
        </w:rPr>
        <w:t xml:space="preserve"> </w:t>
      </w:r>
      <w:r>
        <w:rPr>
          <w:rFonts w:ascii="Times New Roman" w:hAnsi="Times New Roman"/>
        </w:rPr>
        <w:t xml:space="preserve">La lutte contre le changement climatique et la dégradation de l’environnement figure parmi les principales priorités de l’UE (paragraphes 110, 111 et 113).</w:t>
      </w:r>
    </w:p>
    <w:sectPr w:rsidR="002841C9" w:rsidRPr="009129F8" w:rsidSect="00FA5191">
      <w:footerReference w:type="even" r:id="rId8"/>
      <w:footerReference w:type="default" r:id="rId9"/>
      <w:footerReference w:type="first" r:id="rId10"/>
      <w:footnotePr>
        <w:pos w:val="beneathText"/>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97" w:rsidRDefault="00267797" w:rsidP="00E5337B">
      <w:pPr>
        <w:spacing w:after="0"/>
      </w:pPr>
      <w:r>
        <w:separator/>
      </w:r>
    </w:p>
  </w:endnote>
  <w:endnote w:type="continuationSeparator" w:id="0">
    <w:p w:rsidR="00267797" w:rsidRDefault="00267797"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68" w:rsidRDefault="00FA5191"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35</w:t>
    </w:r>
    <w:r>
      <w:rPr>
        <w:rStyle w:val="PageNumber"/>
      </w:rPr>
      <w:fldChar w:fldCharType="end"/>
    </w:r>
  </w:p>
  <w:p w:rsidR="00471068" w:rsidRDefault="00924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68" w:rsidRPr="00857616" w:rsidRDefault="00FA5191" w:rsidP="006E5696">
    <w:pPr>
      <w:pStyle w:val="Footer"/>
      <w:framePr w:wrap="around" w:vAnchor="text" w:hAnchor="margin" w:xAlign="center" w:y="1"/>
      <w:rPr>
        <w:rStyle w:val="PageNumber"/>
        <w:sz w:val="20"/>
        <w:rFonts w:ascii="Times New Roman" w:hAnsi="Times New Roman"/>
      </w:rPr>
    </w:pPr>
    <w:r>
      <w:rPr>
        <w:rStyle w:val="PageNumber"/>
        <w:sz w:val="20"/>
        <w:rFonts w:ascii="Times New Roman" w:hAnsi="Times New Roman"/>
      </w:rPr>
      <w:fldChar w:fldCharType="begin"/>
    </w:r>
    <w:r>
      <w:rPr>
        <w:rStyle w:val="PageNumber"/>
        <w:sz w:val="20"/>
        <w:rFonts w:ascii="Times New Roman" w:hAnsi="Times New Roman"/>
      </w:rPr>
      <w:instrText xml:space="preserve">PAGE  </w:instrText>
    </w:r>
    <w:r>
      <w:rPr>
        <w:rStyle w:val="PageNumber"/>
        <w:sz w:val="20"/>
        <w:rFonts w:ascii="Times New Roman" w:hAnsi="Times New Roman"/>
      </w:rPr>
      <w:fldChar w:fldCharType="separate"/>
    </w:r>
    <w:r>
      <w:rPr>
        <w:rStyle w:val="PageNumber"/>
        <w:sz w:val="20"/>
        <w:rFonts w:ascii="Times New Roman" w:hAnsi="Times New Roman"/>
      </w:rPr>
      <w:t xml:space="preserve">2</w:t>
    </w:r>
    <w:r>
      <w:rPr>
        <w:rStyle w:val="PageNumber"/>
        <w:sz w:val="20"/>
        <w:rFonts w:ascii="Times New Roman" w:hAnsi="Times New Roman"/>
      </w:rPr>
      <w:fldChar w:fldCharType="end"/>
    </w:r>
  </w:p>
  <w:p w:rsidR="00471068" w:rsidRPr="00857616" w:rsidRDefault="009246B0" w:rsidP="008A6623">
    <w:pPr>
      <w:pStyle w:val="Foo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83" w:rsidRDefault="00FA5191"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1</w:t>
    </w:r>
    <w:r>
      <w:rPr>
        <w:rStyle w:val="PageNumber"/>
      </w:rPr>
      <w:fldChar w:fldCharType="end"/>
    </w:r>
  </w:p>
  <w:p w:rsidR="00471068" w:rsidRDefault="009246B0"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97" w:rsidRDefault="00267797" w:rsidP="00E5337B">
      <w:pPr>
        <w:spacing w:after="0"/>
      </w:pPr>
      <w:r>
        <w:separator/>
      </w:r>
    </w:p>
  </w:footnote>
  <w:footnote w:type="continuationSeparator" w:id="0">
    <w:p w:rsidR="00267797" w:rsidRDefault="00267797" w:rsidP="00E5337B">
      <w:pPr>
        <w:spacing w:after="0"/>
      </w:pPr>
      <w:r>
        <w:continuationSeparator/>
      </w:r>
    </w:p>
  </w:footnote>
  <w:footnote w:id="1">
    <w:p w:rsidR="002841C9" w:rsidRPr="00732687" w:rsidRDefault="002841C9" w:rsidP="00D1293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COM(2022) 133 final.</w:t>
      </w:r>
    </w:p>
  </w:footnote>
  <w:footnote w:id="2">
    <w:p w:rsidR="002841C9" w:rsidRPr="00732687" w:rsidRDefault="002841C9" w:rsidP="00D1293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Conclusions du Conseil du 20 juin 2022, 10066/22.</w:t>
      </w:r>
    </w:p>
  </w:footnote>
  <w:footnote w:id="3">
    <w:p w:rsidR="00D1293B" w:rsidRPr="00D1293B" w:rsidRDefault="00D1293B" w:rsidP="00D1293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COM(2020) 381 final.</w:t>
      </w:r>
    </w:p>
  </w:footnote>
  <w:footnote w:id="4">
    <w:p w:rsidR="00D1293B" w:rsidRPr="009129F8" w:rsidRDefault="00D1293B" w:rsidP="00D1293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Conclusions du Conseil du 20 juin 2022, 10066/22.</w:t>
      </w:r>
    </w:p>
  </w:footnote>
  <w:footnote w:id="5">
    <w:p w:rsidR="002841C9" w:rsidRPr="00D1293B" w:rsidRDefault="002841C9" w:rsidP="002841C9">
      <w:pPr>
        <w:pStyle w:val="FootnoteText"/>
        <w:spacing w:after="0"/>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COM(2022) 306 final.</w:t>
      </w:r>
    </w:p>
  </w:footnote>
  <w:footnote w:id="6">
    <w:p w:rsidR="002841C9" w:rsidRPr="00CA65A4" w:rsidRDefault="002841C9" w:rsidP="002841C9">
      <w:pPr>
        <w:pStyle w:val="FootnoteText"/>
        <w:spacing w:after="0"/>
        <w:rPr>
          <w:rStyle w:val="FootnoteReference"/>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Conseil (2022) 1223.</w:t>
      </w:r>
    </w:p>
  </w:footnote>
  <w:footnote w:id="7">
    <w:p w:rsidR="002841C9" w:rsidRPr="00CA65A4" w:rsidRDefault="002841C9" w:rsidP="002841C9">
      <w:pPr>
        <w:pStyle w:val="FootnoteText"/>
        <w:spacing w:after="0"/>
        <w:rPr>
          <w:rStyle w:val="FootnoteReference"/>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COM(2022) 6554 final.</w:t>
      </w:r>
    </w:p>
  </w:footnote>
  <w:footnote w:id="8">
    <w:p w:rsidR="002841C9" w:rsidRPr="00CA65A4" w:rsidRDefault="002841C9" w:rsidP="002841C9">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COM(2021) 689 final.</w:t>
      </w:r>
    </w:p>
  </w:footnote>
  <w:footnote w:id="9">
    <w:p w:rsidR="00D1293B" w:rsidRPr="00CA65A4" w:rsidRDefault="00D1293B" w:rsidP="00D1293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history="1">
        <w:r>
          <w:rPr>
            <w:rStyle w:val="Hyperlink"/>
            <w:rFonts w:ascii="Times New Roman" w:hAnsi="Times New Roman"/>
          </w:rPr>
          <w:t xml:space="preserve">https://europa.eu/!Rx3fqr</w:t>
        </w:r>
      </w:hyperlink>
      <w:r>
        <w:rPr>
          <w:rFonts w:ascii="Times New Roman" w:hAnsi="Times New Roman"/>
        </w:rPr>
        <w:t xml:space="preserve"> </w:t>
      </w:r>
    </w:p>
  </w:footnote>
  <w:footnote w:id="10">
    <w:p w:rsidR="002841C9" w:rsidRPr="009129F8" w:rsidRDefault="002841C9" w:rsidP="002841C9">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Commission européenne, direction générale de la coopération internationale et du développement, Plan d’action sur la nutrition:</w:t>
      </w:r>
      <w:r>
        <w:rPr>
          <w:rFonts w:ascii="Times New Roman" w:hAnsi="Times New Roman"/>
        </w:rPr>
        <w:t xml:space="preserve"> </w:t>
      </w:r>
      <w:r>
        <w:rPr>
          <w:rFonts w:ascii="Times New Roman" w:hAnsi="Times New Roman"/>
        </w:rPr>
        <w:t xml:space="preserve">Sixième rapport d’étape avril 2020 — mars 2021, Office des publications de l’Union européenne, 2021</w:t>
      </w:r>
    </w:p>
  </w:footnote>
  <w:footnote w:id="11">
    <w:p w:rsidR="002841C9" w:rsidRPr="009129F8" w:rsidRDefault="002841C9" w:rsidP="002841C9">
      <w:pPr>
        <w:pStyle w:val="FootnoteText"/>
        <w:spacing w:after="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En tant que partie intégrante de la décision de la Commission.</w:t>
      </w:r>
      <w:r>
        <w:rPr>
          <w:rFonts w:ascii="Times New Roman" w:hAnsi="Times New Roman"/>
        </w:rPr>
        <w:t xml:space="preserve"> </w:t>
      </w:r>
    </w:p>
  </w:footnote>
  <w:footnote w:id="12">
    <w:p w:rsidR="00D1293B" w:rsidRDefault="00D1293B" w:rsidP="00D1293B">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2" w:history="1">
        <w:r>
          <w:rPr>
            <w:rStyle w:val="Hyperlink"/>
            <w:rFonts w:ascii="Times New Roman" w:hAnsi="Times New Roman"/>
          </w:rPr>
          <w:t xml:space="preserve">https://europa.eu/!nccJ4W</w:t>
        </w:r>
      </w:hyperlink>
    </w:p>
    <w:p w:rsidR="00732687" w:rsidRPr="00D1293B" w:rsidRDefault="00732687" w:rsidP="00D1293B">
      <w:pPr>
        <w:pStyle w:val="FootnoteText"/>
        <w:spacing w:after="0"/>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4507A7"/>
    <w:multiLevelType w:val="hybridMultilevel"/>
    <w:tmpl w:val="8F4C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A3083"/>
    <w:multiLevelType w:val="hybridMultilevel"/>
    <w:tmpl w:val="AC40BA9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070083"/>
    <w:multiLevelType w:val="hybridMultilevel"/>
    <w:tmpl w:val="EB14E452"/>
    <w:lvl w:ilvl="0" w:tplc="FFFFFFFF">
      <w:start w:val="1"/>
      <w:numFmt w:val="lowerRoman"/>
      <w:lvlText w:val="(%1)"/>
      <w:lvlJc w:val="left"/>
      <w:pPr>
        <w:ind w:left="720" w:hanging="360"/>
      </w:pPr>
    </w:lvl>
    <w:lvl w:ilvl="1" w:tplc="0A3012A2">
      <w:start w:val="1"/>
      <w:numFmt w:val="lowerLetter"/>
      <w:lvlText w:val="%2."/>
      <w:lvlJc w:val="left"/>
      <w:pPr>
        <w:ind w:left="1440" w:hanging="360"/>
      </w:pPr>
    </w:lvl>
    <w:lvl w:ilvl="2" w:tplc="2EF60ED8">
      <w:start w:val="1"/>
      <w:numFmt w:val="lowerRoman"/>
      <w:lvlText w:val="%3."/>
      <w:lvlJc w:val="right"/>
      <w:pPr>
        <w:ind w:left="2160" w:hanging="180"/>
      </w:pPr>
    </w:lvl>
    <w:lvl w:ilvl="3" w:tplc="B2A2A128">
      <w:start w:val="1"/>
      <w:numFmt w:val="decimal"/>
      <w:lvlText w:val="%4."/>
      <w:lvlJc w:val="left"/>
      <w:pPr>
        <w:ind w:left="2880" w:hanging="360"/>
      </w:pPr>
    </w:lvl>
    <w:lvl w:ilvl="4" w:tplc="126CFC20">
      <w:start w:val="1"/>
      <w:numFmt w:val="lowerLetter"/>
      <w:lvlText w:val="%5."/>
      <w:lvlJc w:val="left"/>
      <w:pPr>
        <w:ind w:left="3600" w:hanging="360"/>
      </w:pPr>
    </w:lvl>
    <w:lvl w:ilvl="5" w:tplc="F4D65290">
      <w:start w:val="1"/>
      <w:numFmt w:val="lowerRoman"/>
      <w:lvlText w:val="%6."/>
      <w:lvlJc w:val="right"/>
      <w:pPr>
        <w:ind w:left="4320" w:hanging="180"/>
      </w:pPr>
    </w:lvl>
    <w:lvl w:ilvl="6" w:tplc="CD4C5B5E">
      <w:start w:val="1"/>
      <w:numFmt w:val="decimal"/>
      <w:lvlText w:val="%7."/>
      <w:lvlJc w:val="left"/>
      <w:pPr>
        <w:ind w:left="5040" w:hanging="360"/>
      </w:pPr>
    </w:lvl>
    <w:lvl w:ilvl="7" w:tplc="821AAA7E">
      <w:start w:val="1"/>
      <w:numFmt w:val="lowerLetter"/>
      <w:lvlText w:val="%8."/>
      <w:lvlJc w:val="left"/>
      <w:pPr>
        <w:ind w:left="5760" w:hanging="360"/>
      </w:pPr>
    </w:lvl>
    <w:lvl w:ilvl="8" w:tplc="52DE92EA">
      <w:start w:val="1"/>
      <w:numFmt w:val="lowerRoman"/>
      <w:lvlText w:val="%9."/>
      <w:lvlJc w:val="right"/>
      <w:pPr>
        <w:ind w:left="6480" w:hanging="180"/>
      </w:pPr>
    </w:lvl>
  </w:abstractNum>
  <w:abstractNum w:abstractNumId="14"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C28F9"/>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6"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311267D"/>
    <w:multiLevelType w:val="hybridMultilevel"/>
    <w:tmpl w:val="97E49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3" w15:restartNumberingAfterBreak="0">
    <w:nsid w:val="51852415"/>
    <w:multiLevelType w:val="hybridMultilevel"/>
    <w:tmpl w:val="CDAE29B0"/>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9F950A3"/>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2"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A68"/>
    <w:multiLevelType w:val="hybridMultilevel"/>
    <w:tmpl w:val="46C0C776"/>
    <w:lvl w:ilvl="0" w:tplc="2612FD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2C54C3"/>
    <w:multiLevelType w:val="hybridMultilevel"/>
    <w:tmpl w:val="242E5B24"/>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9"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6"/>
  </w:num>
  <w:num w:numId="3">
    <w:abstractNumId w:val="24"/>
  </w:num>
  <w:num w:numId="4">
    <w:abstractNumId w:val="3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0"/>
  </w:num>
  <w:num w:numId="8">
    <w:abstractNumId w:val="27"/>
  </w:num>
  <w:num w:numId="9">
    <w:abstractNumId w:val="8"/>
  </w:num>
  <w:num w:numId="10">
    <w:abstractNumId w:val="6"/>
  </w:num>
  <w:num w:numId="11">
    <w:abstractNumId w:val="37"/>
  </w:num>
  <w:num w:numId="12">
    <w:abstractNumId w:val="16"/>
  </w:num>
  <w:num w:numId="13">
    <w:abstractNumId w:val="11"/>
  </w:num>
  <w:num w:numId="14">
    <w:abstractNumId w:val="2"/>
  </w:num>
  <w:num w:numId="15">
    <w:abstractNumId w:val="3"/>
  </w:num>
  <w:num w:numId="16">
    <w:abstractNumId w:val="19"/>
  </w:num>
  <w:num w:numId="17">
    <w:abstractNumId w:val="17"/>
  </w:num>
  <w:num w:numId="18">
    <w:abstractNumId w:val="32"/>
  </w:num>
  <w:num w:numId="19">
    <w:abstractNumId w:val="12"/>
  </w:num>
  <w:num w:numId="20">
    <w:abstractNumId w:val="29"/>
  </w:num>
  <w:num w:numId="21">
    <w:abstractNumId w:val="21"/>
  </w:num>
  <w:num w:numId="22">
    <w:abstractNumId w:val="10"/>
  </w:num>
  <w:num w:numId="23">
    <w:abstractNumId w:val="28"/>
  </w:num>
  <w:num w:numId="24">
    <w:abstractNumId w:val="4"/>
  </w:num>
  <w:num w:numId="25">
    <w:abstractNumId w:val="1"/>
  </w:num>
  <w:num w:numId="26">
    <w:abstractNumId w:val="30"/>
  </w:num>
  <w:num w:numId="27">
    <w:abstractNumId w:val="33"/>
  </w:num>
  <w:num w:numId="28">
    <w:abstractNumId w:val="14"/>
  </w:num>
  <w:num w:numId="29">
    <w:abstractNumId w:val="18"/>
  </w:num>
  <w:num w:numId="30">
    <w:abstractNumId w:val="38"/>
  </w:num>
  <w:num w:numId="31">
    <w:abstractNumId w:val="25"/>
  </w:num>
  <w:num w:numId="32">
    <w:abstractNumId w:val="20"/>
  </w:num>
  <w:num w:numId="33">
    <w:abstractNumId w:val="5"/>
  </w:num>
  <w:num w:numId="34">
    <w:abstractNumId w:val="23"/>
  </w:num>
  <w:num w:numId="35">
    <w:abstractNumId w:val="22"/>
  </w:num>
  <w:num w:numId="36">
    <w:abstractNumId w:val="13"/>
  </w:num>
  <w:num w:numId="37">
    <w:abstractNumId w:val="31"/>
  </w:num>
  <w:num w:numId="38">
    <w:abstractNumId w:val="15"/>
  </w:num>
  <w:num w:numId="39">
    <w:abstractNumId w:val="7"/>
  </w:num>
  <w:num w:numId="40">
    <w:abstractNumId w:val="3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657"/>
    <w:rsid w:val="00013C39"/>
    <w:rsid w:val="0002618B"/>
    <w:rsid w:val="000B1BD0"/>
    <w:rsid w:val="000E1ECC"/>
    <w:rsid w:val="000E7824"/>
    <w:rsid w:val="00105C85"/>
    <w:rsid w:val="00112492"/>
    <w:rsid w:val="0014233F"/>
    <w:rsid w:val="00195D43"/>
    <w:rsid w:val="001B314B"/>
    <w:rsid w:val="001C268C"/>
    <w:rsid w:val="001D7866"/>
    <w:rsid w:val="001E5FC3"/>
    <w:rsid w:val="001F62FC"/>
    <w:rsid w:val="002020CD"/>
    <w:rsid w:val="002073A0"/>
    <w:rsid w:val="00234D47"/>
    <w:rsid w:val="002358C4"/>
    <w:rsid w:val="00242C66"/>
    <w:rsid w:val="00267797"/>
    <w:rsid w:val="0027220A"/>
    <w:rsid w:val="00273ED5"/>
    <w:rsid w:val="002841C9"/>
    <w:rsid w:val="002903BD"/>
    <w:rsid w:val="00295501"/>
    <w:rsid w:val="002D1783"/>
    <w:rsid w:val="002E4148"/>
    <w:rsid w:val="002F1D09"/>
    <w:rsid w:val="002F298F"/>
    <w:rsid w:val="002F5E9D"/>
    <w:rsid w:val="00325C83"/>
    <w:rsid w:val="003358A2"/>
    <w:rsid w:val="00346FB9"/>
    <w:rsid w:val="00351FD9"/>
    <w:rsid w:val="00377D9C"/>
    <w:rsid w:val="00392320"/>
    <w:rsid w:val="0039252C"/>
    <w:rsid w:val="003A7A26"/>
    <w:rsid w:val="003B3F3D"/>
    <w:rsid w:val="003C6E78"/>
    <w:rsid w:val="003E68E6"/>
    <w:rsid w:val="003F3F39"/>
    <w:rsid w:val="00404E13"/>
    <w:rsid w:val="00405DCF"/>
    <w:rsid w:val="004245C1"/>
    <w:rsid w:val="00467201"/>
    <w:rsid w:val="00467C10"/>
    <w:rsid w:val="00495226"/>
    <w:rsid w:val="004B0F78"/>
    <w:rsid w:val="004C6C03"/>
    <w:rsid w:val="00506B10"/>
    <w:rsid w:val="00513141"/>
    <w:rsid w:val="00523D9C"/>
    <w:rsid w:val="00531B75"/>
    <w:rsid w:val="00557DC1"/>
    <w:rsid w:val="00562B92"/>
    <w:rsid w:val="005A15A0"/>
    <w:rsid w:val="005B6018"/>
    <w:rsid w:val="005B6F40"/>
    <w:rsid w:val="005D352F"/>
    <w:rsid w:val="005E6BB5"/>
    <w:rsid w:val="005F6F65"/>
    <w:rsid w:val="00604EB4"/>
    <w:rsid w:val="0061693B"/>
    <w:rsid w:val="0062336A"/>
    <w:rsid w:val="0062705E"/>
    <w:rsid w:val="00651DE5"/>
    <w:rsid w:val="006642E5"/>
    <w:rsid w:val="00673C24"/>
    <w:rsid w:val="006762B5"/>
    <w:rsid w:val="00681A07"/>
    <w:rsid w:val="006A1AAA"/>
    <w:rsid w:val="006B0722"/>
    <w:rsid w:val="006B5130"/>
    <w:rsid w:val="006B5CD4"/>
    <w:rsid w:val="006C123C"/>
    <w:rsid w:val="006D1DE3"/>
    <w:rsid w:val="006D2011"/>
    <w:rsid w:val="006E0B2E"/>
    <w:rsid w:val="006E531A"/>
    <w:rsid w:val="00711B1C"/>
    <w:rsid w:val="00714FC4"/>
    <w:rsid w:val="00723091"/>
    <w:rsid w:val="0072318A"/>
    <w:rsid w:val="00731ABA"/>
    <w:rsid w:val="00732687"/>
    <w:rsid w:val="007378D8"/>
    <w:rsid w:val="007552A6"/>
    <w:rsid w:val="0076016D"/>
    <w:rsid w:val="00761704"/>
    <w:rsid w:val="00773E4C"/>
    <w:rsid w:val="00775133"/>
    <w:rsid w:val="00775247"/>
    <w:rsid w:val="00781A72"/>
    <w:rsid w:val="007906E6"/>
    <w:rsid w:val="00795AF7"/>
    <w:rsid w:val="007A4F5B"/>
    <w:rsid w:val="007B4FE9"/>
    <w:rsid w:val="007B7941"/>
    <w:rsid w:val="007C5B49"/>
    <w:rsid w:val="007F5EF8"/>
    <w:rsid w:val="007F725B"/>
    <w:rsid w:val="00836884"/>
    <w:rsid w:val="008405AB"/>
    <w:rsid w:val="008511E0"/>
    <w:rsid w:val="00857616"/>
    <w:rsid w:val="00865B95"/>
    <w:rsid w:val="008722A2"/>
    <w:rsid w:val="008A411C"/>
    <w:rsid w:val="008C74DD"/>
    <w:rsid w:val="008D0021"/>
    <w:rsid w:val="008D68F3"/>
    <w:rsid w:val="008F3947"/>
    <w:rsid w:val="00900924"/>
    <w:rsid w:val="00902931"/>
    <w:rsid w:val="0090330B"/>
    <w:rsid w:val="00904041"/>
    <w:rsid w:val="00914768"/>
    <w:rsid w:val="00917059"/>
    <w:rsid w:val="009246B0"/>
    <w:rsid w:val="00925AE6"/>
    <w:rsid w:val="00936432"/>
    <w:rsid w:val="00936E06"/>
    <w:rsid w:val="00945403"/>
    <w:rsid w:val="009527BC"/>
    <w:rsid w:val="00961A39"/>
    <w:rsid w:val="00974F08"/>
    <w:rsid w:val="00982937"/>
    <w:rsid w:val="00984EC9"/>
    <w:rsid w:val="009C1DD1"/>
    <w:rsid w:val="009C604A"/>
    <w:rsid w:val="009E2C40"/>
    <w:rsid w:val="009E7F21"/>
    <w:rsid w:val="009F7BE6"/>
    <w:rsid w:val="009F7F09"/>
    <w:rsid w:val="00A01117"/>
    <w:rsid w:val="00A02369"/>
    <w:rsid w:val="00A058ED"/>
    <w:rsid w:val="00A1588D"/>
    <w:rsid w:val="00A32EC0"/>
    <w:rsid w:val="00A4272F"/>
    <w:rsid w:val="00A62B81"/>
    <w:rsid w:val="00A944BB"/>
    <w:rsid w:val="00AA6E88"/>
    <w:rsid w:val="00AB32EC"/>
    <w:rsid w:val="00AC1160"/>
    <w:rsid w:val="00AD5E99"/>
    <w:rsid w:val="00AE3DE2"/>
    <w:rsid w:val="00B3590A"/>
    <w:rsid w:val="00B50BAE"/>
    <w:rsid w:val="00BB0437"/>
    <w:rsid w:val="00BB1328"/>
    <w:rsid w:val="00BC0F81"/>
    <w:rsid w:val="00C25DA3"/>
    <w:rsid w:val="00C33F9B"/>
    <w:rsid w:val="00C35640"/>
    <w:rsid w:val="00C439F4"/>
    <w:rsid w:val="00C46B78"/>
    <w:rsid w:val="00C533D4"/>
    <w:rsid w:val="00C55BB1"/>
    <w:rsid w:val="00C61F9D"/>
    <w:rsid w:val="00C7687F"/>
    <w:rsid w:val="00CA65A4"/>
    <w:rsid w:val="00CB1B47"/>
    <w:rsid w:val="00CC2DC6"/>
    <w:rsid w:val="00CE3707"/>
    <w:rsid w:val="00CE5F71"/>
    <w:rsid w:val="00CF66A7"/>
    <w:rsid w:val="00D01DE0"/>
    <w:rsid w:val="00D1293B"/>
    <w:rsid w:val="00D27F0D"/>
    <w:rsid w:val="00D61D4B"/>
    <w:rsid w:val="00D8112F"/>
    <w:rsid w:val="00D85A0D"/>
    <w:rsid w:val="00D94818"/>
    <w:rsid w:val="00D96050"/>
    <w:rsid w:val="00D974F3"/>
    <w:rsid w:val="00DC07EC"/>
    <w:rsid w:val="00DF12D8"/>
    <w:rsid w:val="00DF3B48"/>
    <w:rsid w:val="00E05DD0"/>
    <w:rsid w:val="00E071C6"/>
    <w:rsid w:val="00E52176"/>
    <w:rsid w:val="00E5337B"/>
    <w:rsid w:val="00EA06F8"/>
    <w:rsid w:val="00EA3A35"/>
    <w:rsid w:val="00EA51AA"/>
    <w:rsid w:val="00EB3388"/>
    <w:rsid w:val="00EB3C3C"/>
    <w:rsid w:val="00EB775C"/>
    <w:rsid w:val="00EC6319"/>
    <w:rsid w:val="00EE214F"/>
    <w:rsid w:val="00EE43AC"/>
    <w:rsid w:val="00F0041A"/>
    <w:rsid w:val="00F00A73"/>
    <w:rsid w:val="00F00B24"/>
    <w:rsid w:val="00F02029"/>
    <w:rsid w:val="00F36D6D"/>
    <w:rsid w:val="00F413A4"/>
    <w:rsid w:val="00F57C59"/>
    <w:rsid w:val="00F63BEA"/>
    <w:rsid w:val="00F83D5E"/>
    <w:rsid w:val="00FA5191"/>
    <w:rsid w:val="00FB0DCA"/>
    <w:rsid w:val="00FB7A5A"/>
    <w:rsid w:val="00FC33CC"/>
    <w:rsid w:val="00FD1E2C"/>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0E0A"/>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stile 1"/>
    <w:basedOn w:val="Normal"/>
    <w:link w:val="FootnoteTextChar2"/>
    <w:qFormat/>
    <w:rsid w:val="00E5337B"/>
    <w:pPr>
      <w:ind w:left="357" w:hanging="357"/>
    </w:pPr>
    <w:rPr>
      <w:sz w:val="20"/>
    </w:rPr>
  </w:style>
  <w:style w:type="character" w:customStyle="1" w:styleId="FootnoteTextChar">
    <w:name w:val="Footnote Text Char"/>
    <w:aliases w:val="Footnote Text Char1 Char Char1,Footnote Text Char Char Char Char1,Fußnotentext Char Char1 Char Char Char1,Fußnotentext Char1 Char1 Char Char Char Char1,Fußnotentext Char Char Char Char Char Char Char1 Char1,Footnote Text Char1 Char2"/>
    <w:basedOn w:val="DefaultParagraphFont"/>
    <w:uiPriority w:val="99"/>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styleId="Header">
    <w:name w:val="header"/>
    <w:basedOn w:val="Normal"/>
    <w:link w:val="HeaderChar"/>
    <w:uiPriority w:val="99"/>
    <w:unhideWhenUsed/>
    <w:rsid w:val="00CF66A7"/>
    <w:pPr>
      <w:tabs>
        <w:tab w:val="center" w:pos="4680"/>
        <w:tab w:val="right" w:pos="9360"/>
      </w:tabs>
      <w:spacing w:after="0"/>
    </w:pPr>
  </w:style>
  <w:style w:type="character" w:customStyle="1" w:styleId="HeaderChar">
    <w:name w:val="Header Char"/>
    <w:basedOn w:val="DefaultParagraphFont"/>
    <w:link w:val="Header"/>
    <w:uiPriority w:val="99"/>
    <w:rsid w:val="00CF66A7"/>
    <w:rPr>
      <w:rFonts w:ascii="Courier New" w:eastAsia="Times New Roman" w:hAnsi="Courier New" w:cs="Times New Roman"/>
      <w:sz w:val="24"/>
      <w:szCs w:val="20"/>
      <w:lang w:eastAsia="en-GB"/>
    </w:rPr>
  </w:style>
  <w:style w:type="paragraph" w:styleId="Footer">
    <w:name w:val="footer"/>
    <w:basedOn w:val="Normal"/>
    <w:link w:val="FooterChar"/>
    <w:unhideWhenUsed/>
    <w:rsid w:val="00CF66A7"/>
    <w:pPr>
      <w:tabs>
        <w:tab w:val="center" w:pos="4680"/>
        <w:tab w:val="right" w:pos="9360"/>
      </w:tabs>
      <w:spacing w:after="0"/>
    </w:pPr>
  </w:style>
  <w:style w:type="character" w:customStyle="1" w:styleId="FooterChar">
    <w:name w:val="Footer Char"/>
    <w:basedOn w:val="DefaultParagraphFont"/>
    <w:link w:val="Footer"/>
    <w:rsid w:val="00CF66A7"/>
    <w:rPr>
      <w:rFonts w:ascii="Courier New" w:eastAsia="Times New Roman" w:hAnsi="Courier New" w:cs="Times New Roman"/>
      <w:sz w:val="24"/>
      <w:szCs w:val="20"/>
      <w:lang w:eastAsia="en-GB"/>
    </w:rPr>
  </w:style>
  <w:style w:type="character" w:styleId="PageNumber">
    <w:name w:val="page number"/>
    <w:basedOn w:val="DefaultParagraphFont"/>
    <w:rsid w:val="004C6C03"/>
  </w:style>
  <w:style w:type="paragraph" w:customStyle="1" w:styleId="Default">
    <w:name w:val="Default"/>
    <w:rsid w:val="004C6C03"/>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character" w:customStyle="1" w:styleId="bumpedfont15">
    <w:name w:val="bumpedfont15"/>
    <w:basedOn w:val="DefaultParagraphFont"/>
    <w:rsid w:val="004C6C03"/>
  </w:style>
  <w:style w:type="paragraph" w:customStyle="1" w:styleId="NormalHanging12a">
    <w:name w:val="NormalHanging12a"/>
    <w:basedOn w:val="Normal"/>
    <w:link w:val="NormalHanging12aChar"/>
    <w:rsid w:val="0014233F"/>
    <w:pPr>
      <w:widowControl w:val="0"/>
      <w:ind w:left="567" w:hanging="567"/>
    </w:pPr>
    <w:rPr>
      <w:rFonts w:ascii="Times New Roman" w:hAnsi="Times New Roman"/>
    </w:rPr>
  </w:style>
  <w:style w:type="character" w:customStyle="1" w:styleId="NormalHanging12aChar">
    <w:name w:val="NormalHanging12a Char"/>
    <w:link w:val="NormalHanging12a"/>
    <w:rsid w:val="0014233F"/>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557DC1"/>
    <w:rPr>
      <w:color w:val="800080" w:themeColor="followedHyperlink"/>
      <w:u w:val="single"/>
    </w:rPr>
  </w:style>
  <w:style w:type="paragraph" w:customStyle="1" w:styleId="Subheading">
    <w:name w:val="Subheading"/>
    <w:basedOn w:val="Normal"/>
    <w:rsid w:val="002841C9"/>
    <w:pPr>
      <w:widowControl w:val="0"/>
      <w:spacing w:before="480"/>
      <w:jc w:val="left"/>
    </w:pPr>
    <w:rPr>
      <w:rFonts w:ascii="Times New Roman" w:hAnsi="Times New Roman"/>
      <w:b/>
      <w:bCs/>
      <w:i/>
      <w:iCs/>
      <w:snapToGrid w:val="0"/>
      <w:lang w:val="fr-FR" w:eastAsia="en-US"/>
    </w:rPr>
  </w:style>
  <w:style w:type="character" w:customStyle="1" w:styleId="BoldItalic">
    <w:name w:val="BoldItalic"/>
    <w:uiPriority w:val="1"/>
    <w:rsid w:val="002841C9"/>
    <w:rPr>
      <w:b/>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europa.eu/!nccJ4W" TargetMode="External"/><Relationship Id="rId1" Type="http://schemas.openxmlformats.org/officeDocument/2006/relationships/hyperlink" Target="https://europa.eu/!Rx3fq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CD578C-6B32-4B5A-949C-B03D1982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2048</Words>
  <Characters>11533</Characters>
  <Application>Microsoft Office Word</Application>
  <DocSecurity>0</DocSecurity>
  <Lines>180</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maria-jose.almeida@ec.europa.eu;Raffaella.BIANCHIN@ec.europa.eu</dc:creator>
  <cp:keywords/>
  <dc:description/>
  <cp:lastModifiedBy>BIANCHIN Raffaella (SG)</cp:lastModifiedBy>
  <cp:revision>3</cp:revision>
  <cp:lastPrinted>2020-01-07T10:13:00Z</cp:lastPrinted>
  <dcterms:created xsi:type="dcterms:W3CDTF">2022-10-24T09:48:00Z</dcterms:created>
  <dcterms:modified xsi:type="dcterms:W3CDTF">2022-10-24T09:49:00Z</dcterms:modified>
</cp:coreProperties>
</file>