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D186B" w14:textId="77777777" w:rsidR="00667482" w:rsidRDefault="00667482" w:rsidP="00667482">
      <w:pPr>
        <w:spacing w:after="600"/>
        <w:jc w:val="center"/>
        <w:rPr>
          <w:rFonts w:ascii="Times New Roman" w:hAnsi="Times New Roman"/>
          <w:b/>
          <w:szCs w:val="24"/>
        </w:rPr>
      </w:pPr>
      <w:bookmarkStart w:id="0" w:name="_GoBack"/>
      <w:bookmarkEnd w:id="0"/>
      <w:r>
        <w:rPr>
          <w:rFonts w:ascii="Times New Roman" w:hAnsi="Times New Roman"/>
          <w:b/>
        </w:rPr>
        <w:t>Suite donnée à la résolution du Parlement sur les conséquences de la fermeture des activités éducatives, culturelles, sportives et de jeunesse en raison de la COVID-19 pour les enfants et les jeunes dans l’UE</w:t>
      </w:r>
    </w:p>
    <w:p w14:paraId="6DAE6B34" w14:textId="77777777" w:rsidR="00667482" w:rsidRPr="004024A9" w:rsidRDefault="00667482" w:rsidP="00667482">
      <w:pPr>
        <w:ind w:left="567" w:hanging="567"/>
        <w:rPr>
          <w:rFonts w:ascii="Times New Roman" w:hAnsi="Times New Roman"/>
          <w:szCs w:val="24"/>
        </w:rPr>
      </w:pPr>
      <w:r>
        <w:rPr>
          <w:rFonts w:ascii="Times New Roman" w:hAnsi="Times New Roman"/>
        </w:rPr>
        <w:t>1.</w:t>
      </w:r>
      <w:r>
        <w:tab/>
      </w:r>
      <w:r>
        <w:rPr>
          <w:rFonts w:ascii="Times New Roman" w:hAnsi="Times New Roman"/>
          <w:b/>
        </w:rPr>
        <w:t xml:space="preserve">Rapporteur: </w:t>
      </w:r>
      <w:r>
        <w:rPr>
          <w:rFonts w:ascii="Times New Roman" w:hAnsi="Times New Roman"/>
        </w:rPr>
        <w:t>Hannes Heide (S&amp;D / AT)</w:t>
      </w:r>
    </w:p>
    <w:p w14:paraId="57539BC8" w14:textId="77777777" w:rsidR="00667482" w:rsidRPr="00573DA9" w:rsidRDefault="00667482" w:rsidP="00667482">
      <w:pPr>
        <w:ind w:left="567" w:hanging="567"/>
        <w:rPr>
          <w:rFonts w:ascii="Times New Roman" w:hAnsi="Times New Roman"/>
          <w:b/>
          <w:szCs w:val="24"/>
        </w:rPr>
      </w:pPr>
      <w:r>
        <w:rPr>
          <w:rFonts w:ascii="Times New Roman" w:hAnsi="Times New Roman"/>
          <w:b/>
        </w:rPr>
        <w:t>2.</w:t>
      </w:r>
      <w:r>
        <w:tab/>
      </w:r>
      <w:r>
        <w:rPr>
          <w:rFonts w:ascii="Times New Roman" w:hAnsi="Times New Roman"/>
          <w:b/>
        </w:rPr>
        <w:t xml:space="preserve">Numéro de référence: </w:t>
      </w:r>
      <w:r>
        <w:rPr>
          <w:rFonts w:ascii="Times New Roman" w:hAnsi="Times New Roman"/>
        </w:rPr>
        <w:t>2022/2004 (INI) / A9-0216/2022 / P9_TA (2022)0314</w:t>
      </w:r>
    </w:p>
    <w:p w14:paraId="3D8C2518" w14:textId="77777777" w:rsidR="00667482" w:rsidRPr="00BE5288" w:rsidRDefault="00667482" w:rsidP="00667482">
      <w:pPr>
        <w:ind w:left="567" w:hanging="567"/>
        <w:rPr>
          <w:rFonts w:ascii="Times New Roman" w:hAnsi="Times New Roman"/>
          <w:b/>
          <w:szCs w:val="24"/>
        </w:rPr>
      </w:pPr>
      <w:r>
        <w:rPr>
          <w:rFonts w:ascii="Times New Roman" w:hAnsi="Times New Roman"/>
          <w:b/>
        </w:rPr>
        <w:t>3.</w:t>
      </w:r>
      <w:r>
        <w:tab/>
      </w:r>
      <w:r>
        <w:rPr>
          <w:rFonts w:ascii="Times New Roman" w:hAnsi="Times New Roman"/>
          <w:b/>
        </w:rPr>
        <w:t xml:space="preserve">Date d'adoption de la résolution: </w:t>
      </w:r>
      <w:r>
        <w:rPr>
          <w:rFonts w:ascii="Times New Roman" w:hAnsi="Times New Roman"/>
        </w:rPr>
        <w:t>13 septembre 2022</w:t>
      </w:r>
      <w:r>
        <w:rPr>
          <w:rFonts w:ascii="Times New Roman" w:hAnsi="Times New Roman"/>
          <w:b/>
        </w:rPr>
        <w:t xml:space="preserve"> </w:t>
      </w:r>
    </w:p>
    <w:p w14:paraId="4477D09A" w14:textId="77777777" w:rsidR="00667482" w:rsidRPr="00BE5288" w:rsidRDefault="00667482" w:rsidP="00667482">
      <w:pPr>
        <w:ind w:left="567" w:hanging="567"/>
        <w:rPr>
          <w:rFonts w:ascii="Times New Roman" w:hAnsi="Times New Roman"/>
          <w:b/>
          <w:szCs w:val="24"/>
        </w:rPr>
      </w:pPr>
      <w:r>
        <w:rPr>
          <w:rFonts w:ascii="Times New Roman" w:hAnsi="Times New Roman"/>
          <w:b/>
        </w:rPr>
        <w:t>4.</w:t>
      </w:r>
      <w:r>
        <w:tab/>
      </w:r>
      <w:r>
        <w:rPr>
          <w:rFonts w:ascii="Times New Roman" w:hAnsi="Times New Roman"/>
          <w:b/>
        </w:rPr>
        <w:t xml:space="preserve">Commission parlementaire compétente: </w:t>
      </w:r>
      <w:r>
        <w:rPr>
          <w:rFonts w:ascii="Times New Roman" w:hAnsi="Times New Roman"/>
        </w:rPr>
        <w:t>commission de la culture et de l’éducation (CULT)</w:t>
      </w:r>
    </w:p>
    <w:p w14:paraId="438A7757" w14:textId="77777777" w:rsidR="00667482" w:rsidRDefault="00667482" w:rsidP="00667482">
      <w:pPr>
        <w:ind w:left="567" w:hanging="567"/>
        <w:rPr>
          <w:rFonts w:ascii="Times New Roman" w:hAnsi="Times New Roman"/>
          <w:b/>
          <w:szCs w:val="24"/>
        </w:rPr>
      </w:pPr>
      <w:r>
        <w:rPr>
          <w:rFonts w:ascii="Times New Roman" w:hAnsi="Times New Roman"/>
          <w:b/>
        </w:rPr>
        <w:t>5.</w:t>
      </w:r>
      <w:r>
        <w:tab/>
      </w:r>
      <w:r>
        <w:rPr>
          <w:rFonts w:ascii="Times New Roman" w:hAnsi="Times New Roman"/>
          <w:b/>
        </w:rPr>
        <w:t xml:space="preserve">Analyse/évaluation succincte de la résolution et des demandes qu’elle contient: </w:t>
      </w:r>
    </w:p>
    <w:p w14:paraId="321124D1" w14:textId="77777777" w:rsidR="00667482" w:rsidRPr="00765DC7" w:rsidRDefault="00667482" w:rsidP="00667482">
      <w:pPr>
        <w:spacing w:after="120"/>
        <w:rPr>
          <w:rFonts w:ascii="Times New Roman" w:hAnsi="Times New Roman"/>
          <w:b/>
          <w:bCs/>
          <w:szCs w:val="24"/>
        </w:rPr>
      </w:pPr>
      <w:r>
        <w:rPr>
          <w:rFonts w:ascii="Times New Roman" w:hAnsi="Times New Roman"/>
        </w:rPr>
        <w:t>La plupart des demandes formulées dans la résolution ont déjà été mises en œuvre, du moins partiellement, ou sont en cours de mise en œuvre. Ces initiatives, parmi lesquelles «Passeport pour la réussite scolaire» et le groupe d’experts sur les environnements d’apprentissage favorables pour les groupes présentant un risque d’échec scolaire et sur le bien-être à l’école, soutiennent l’élaboration d’approches globales en matière de santé mentale et de bien-être dans les établissements d’enseignement et de formation professionnelle. Elles répondent aux besoins des apprenants et des jeunes indépendamment de leurs caractéristiques personnelles et de leur milieu familial, socio-économique et culturel. Outre les environnements scolaires et acteurs traditionnels, diverses initiatives reconnaissent et s’appuient sur le rôle que les animateurs socio-éducatifs, les institutions culturelles et sportives et l’éducation non formelle doivent jouer dans la santé mentale et le bien-être des jeunes. En particulier, les initiatives prises dans le cadre de l’Année européenne de la jeunesse et de son héritage, ainsi que le suivi de la conférence sur l’avenir de l’Europe, contribuent et contribueront encore à briser le silence autour des questions de santé mentale et à éliminer la stigmatisation qui y est associée.</w:t>
      </w:r>
    </w:p>
    <w:p w14:paraId="56BE2218" w14:textId="77777777" w:rsidR="00667482" w:rsidRDefault="00667482" w:rsidP="00667482">
      <w:pPr>
        <w:ind w:left="567" w:hanging="567"/>
        <w:rPr>
          <w:rFonts w:ascii="Times New Roman" w:hAnsi="Times New Roman"/>
          <w:b/>
          <w:szCs w:val="24"/>
        </w:rPr>
      </w:pPr>
      <w:r>
        <w:rPr>
          <w:rFonts w:ascii="Times New Roman" w:hAnsi="Times New Roman"/>
          <w:b/>
        </w:rPr>
        <w:t>6.</w:t>
      </w:r>
      <w:r>
        <w:tab/>
      </w:r>
      <w:r>
        <w:rPr>
          <w:rFonts w:ascii="Times New Roman" w:hAnsi="Times New Roman"/>
          <w:b/>
        </w:rPr>
        <w:t>Réponse à ces demandes et aperçu des mesures que la Commission a prises ou envisage de prendre:</w:t>
      </w:r>
    </w:p>
    <w:p w14:paraId="572EC716" w14:textId="77777777" w:rsidR="00667482" w:rsidRPr="00765DC7" w:rsidRDefault="00667482" w:rsidP="00667482">
      <w:pPr>
        <w:spacing w:after="120"/>
      </w:pPr>
      <w:r>
        <w:rPr>
          <w:rFonts w:ascii="Times New Roman" w:hAnsi="Times New Roman"/>
        </w:rPr>
        <w:t>En ce qui concerne la demande faite à la Commission de sensibiliser les établissements d’enseignement à la santé mentale (</w:t>
      </w:r>
      <w:r>
        <w:rPr>
          <w:rFonts w:ascii="Times New Roman" w:hAnsi="Times New Roman"/>
          <w:b/>
          <w:bCs/>
        </w:rPr>
        <w:t>paragraphe 3</w:t>
      </w:r>
      <w:r>
        <w:rPr>
          <w:rFonts w:ascii="Times New Roman" w:hAnsi="Times New Roman"/>
        </w:rPr>
        <w:t>) et d’élaborer une vision commune globale de la santé et de la sécurité (</w:t>
      </w:r>
      <w:r>
        <w:rPr>
          <w:rFonts w:ascii="Times New Roman" w:hAnsi="Times New Roman"/>
          <w:b/>
          <w:bCs/>
        </w:rPr>
        <w:t>paragraphe 5</w:t>
      </w:r>
      <w:r>
        <w:rPr>
          <w:rFonts w:ascii="Times New Roman" w:hAnsi="Times New Roman"/>
        </w:rPr>
        <w:t xml:space="preserve">), le Conseil a adopté, le 29 novembre 2021, la </w:t>
      </w:r>
      <w:r>
        <w:rPr>
          <w:rFonts w:ascii="Times New Roman" w:hAnsi="Times New Roman"/>
          <w:b/>
          <w:bCs/>
        </w:rPr>
        <w:t>recommandation du Conseil sur l’apprentissage mixte pour une éducation primaire et secondaire inclusive et de haute qualité</w:t>
      </w:r>
      <w:r>
        <w:rPr>
          <w:rStyle w:val="FootnoteReference"/>
          <w:rFonts w:ascii="Times New Roman" w:hAnsi="Times New Roman"/>
          <w:bCs/>
          <w:szCs w:val="24"/>
        </w:rPr>
        <w:footnoteReference w:id="2"/>
      </w:r>
      <w:r>
        <w:rPr>
          <w:rFonts w:ascii="Times New Roman" w:hAnsi="Times New Roman"/>
        </w:rPr>
        <w:t xml:space="preserve">, à la suite d’une proposition de la Commission. La recommandation du Conseil comprend des mesures à court terme pour faire face aux défis et inégalités les plus urgents, exacerbés par la pandémie de COVID-19. Elle s’efforce également de parvenir à une préparation à long terme en combinant des environnements et des outils d’apprentissage dans l’enseignement primaire et dans l’enseignement et la formation du niveau secondaire. Elle recommande de donner la priorité, entre autres, au bien-être mental des </w:t>
      </w:r>
      <w:r>
        <w:rPr>
          <w:rFonts w:ascii="Times New Roman" w:hAnsi="Times New Roman"/>
        </w:rPr>
        <w:lastRenderedPageBreak/>
        <w:t xml:space="preserve">apprenants et de leurs familles et de mettre davantage l’accent sur le bien-être des enseignants et des formateurs. En outre, le 30 juin, la Commission a adopté la proposition de recommandation du Conseil concernant l’initiative «Passeport pour la réussite scolaire» (COM/2022/316 final), une initiative phare de l’espace européen de l’éducation visant à renforcer la dimension inclusive de l’éducation. La proposition appelle à l’élaboration ou au renforcement d’une </w:t>
      </w:r>
      <w:r>
        <w:rPr>
          <w:rFonts w:ascii="Times New Roman" w:hAnsi="Times New Roman"/>
          <w:b/>
        </w:rPr>
        <w:t>stratégie intégrée et globale en faveur de la réussite scolaire</w:t>
      </w:r>
      <w:r>
        <w:rPr>
          <w:rFonts w:ascii="Times New Roman" w:hAnsi="Times New Roman"/>
        </w:rPr>
        <w:t xml:space="preserve">. Elle propose une approche générale de la «réussite scolaire» fondée sur les principes clés de la participation, de la réussite et du bien-être. Le bien-être des apprenants est défini dans le contexte d’un environnement dans lequel les apprenants peuvent développer leur potentiel, apprendre et jouer de manière créative et productive, nouer et entretenir des relations positives avec les autres, avoir un sentiment d’estime de soi et d’efficacité personnelle, et entretenir des relations positives avec les enseignants et les pairs. L’initiative «Passeport pour la réussite scolaire» porte également sur le bien-être des enseignants et leurs conditions de travail (par exemple: bien-être et santé mentale, résolution des conflits, lutte contre le harcèlement, etc.). Il est recommandé d’intégrer pleinement le bien-être dans les processus de planification et de gouvernance scolaires. La proposition de recommandation du Conseil concernant l’initiative «Passeport pour la réussite scolaire» définit un nouveau cadre d’action qui devrait inspirer les États membres lorsqu’ils élaborent leurs stratégies en faveur de la réussite scolaire (répondant ainsi aux recommandations formulées au </w:t>
      </w:r>
      <w:r>
        <w:rPr>
          <w:rFonts w:ascii="Times New Roman" w:hAnsi="Times New Roman"/>
          <w:b/>
        </w:rPr>
        <w:t>paragraphe 8</w:t>
      </w:r>
      <w:r>
        <w:rPr>
          <w:rFonts w:ascii="Times New Roman" w:hAnsi="Times New Roman"/>
        </w:rPr>
        <w:t>)</w:t>
      </w:r>
      <w:r>
        <w:rPr>
          <w:rStyle w:val="FootnoteReference"/>
          <w:rFonts w:ascii="Times New Roman" w:hAnsi="Times New Roman"/>
          <w:szCs w:val="24"/>
        </w:rPr>
        <w:footnoteReference w:id="3"/>
      </w:r>
      <w:r>
        <w:rPr>
          <w:rFonts w:ascii="Times New Roman" w:hAnsi="Times New Roman"/>
        </w:rPr>
        <w:t>.</w:t>
      </w:r>
    </w:p>
    <w:p w14:paraId="38988510" w14:textId="77777777" w:rsidR="00667482" w:rsidRDefault="00667482" w:rsidP="00667482">
      <w:pPr>
        <w:spacing w:after="120"/>
        <w:rPr>
          <w:rFonts w:ascii="Times New Roman" w:hAnsi="Times New Roman"/>
          <w:szCs w:val="24"/>
        </w:rPr>
      </w:pPr>
      <w:r>
        <w:rPr>
          <w:rFonts w:ascii="Times New Roman" w:hAnsi="Times New Roman"/>
        </w:rPr>
        <w:t>En outre, et en ce qui concerne l’appel lancé à la Commission pour qu’elle élabore une vision commune globale de la santé et de la sécurité (</w:t>
      </w:r>
      <w:r>
        <w:rPr>
          <w:rFonts w:ascii="Times New Roman" w:hAnsi="Times New Roman"/>
          <w:b/>
          <w:bCs/>
        </w:rPr>
        <w:t>paragraphe 5</w:t>
      </w:r>
      <w:r>
        <w:rPr>
          <w:rFonts w:ascii="Times New Roman" w:hAnsi="Times New Roman"/>
        </w:rPr>
        <w:t xml:space="preserve">), la Commission a lancé, en septembre 2022, un appel à candidatures pour le </w:t>
      </w:r>
      <w:r>
        <w:rPr>
          <w:rFonts w:ascii="Times New Roman" w:hAnsi="Times New Roman"/>
          <w:b/>
        </w:rPr>
        <w:t>groupe d’experts informel sur les environnements d’apprentissage favorables pour les groupes présentant un risque d’échec scolaire et sur le bien-être à l’école</w:t>
      </w:r>
      <w:r>
        <w:rPr>
          <w:rFonts w:ascii="Times New Roman" w:hAnsi="Times New Roman"/>
        </w:rPr>
        <w:t xml:space="preserve">, la date limite étant fixée au 31 octobre 2022. L’objectif du groupe est d’aider la Commission à élaborer des politiques fondées sur des données probantes en matière de promotion d’environnements d’apprentissage favorables et du bien-être à l’école aux niveaux européen et national et dans chaque établissement scolaire. Le groupe d’experts contribuera également à l’élaboration de modes de mise en œuvre pour soutenir les parties prenantes nationales. Il sera composé de 18 experts au maximum et débutera ses activités en 2023. Le groupe d’experts fondera ses activités sur des données scientifiques actuelles telles que le rapport </w:t>
      </w:r>
      <w:r>
        <w:rPr>
          <w:rFonts w:ascii="Times New Roman" w:hAnsi="Times New Roman"/>
          <w:i/>
          <w:iCs/>
        </w:rPr>
        <w:t>Systemic, whole-school approach to mental health and well-being in schools in the EU – NESET</w:t>
      </w:r>
      <w:r>
        <w:rPr>
          <w:rFonts w:ascii="Times New Roman" w:hAnsi="Times New Roman"/>
        </w:rPr>
        <w:t xml:space="preserve"> (Approche systémique et globale de la santé mentale et du bien-être dans les écoles dans l’UE — NESET)</w:t>
      </w:r>
      <w:r>
        <w:rPr>
          <w:rStyle w:val="FootnoteReference"/>
          <w:rFonts w:ascii="Times New Roman" w:hAnsi="Times New Roman"/>
          <w:szCs w:val="24"/>
        </w:rPr>
        <w:footnoteReference w:id="4"/>
      </w:r>
      <w:r>
        <w:rPr>
          <w:rFonts w:ascii="Times New Roman" w:hAnsi="Times New Roman"/>
        </w:rPr>
        <w:t xml:space="preserve">, qui reconnaît la nécessité pour les écoles en Europe de donner la priorité à la santé mentale et au bien-être des écoliers dans des contextes sûrs et inclusifs et de promouvoir activement leur santé mentale et leur bien-être. Le rapport élabore un cadre théorique pour orienter la manière dont un système englobant tous les acteurs de l’école, en collaboration avec la communauté, peut être mobilisé à différents niveaux pour promouvoir la santé mentale et le bien-être. Le rapport formule des recommandations pour la prévention du harcèlement dans les écoles dans l’ensemble de l’UE. Le groupe d’experts sur le bien-être </w:t>
      </w:r>
      <w:r>
        <w:rPr>
          <w:rFonts w:ascii="Times New Roman" w:hAnsi="Times New Roman"/>
        </w:rPr>
        <w:lastRenderedPageBreak/>
        <w:t>développera encore cette approche en vue d’une mise en œuvre concrète de politiques et de pratiques innovantes.</w:t>
      </w:r>
    </w:p>
    <w:p w14:paraId="4E358A22" w14:textId="77777777" w:rsidR="00667482" w:rsidRPr="003C7A79" w:rsidRDefault="00667482" w:rsidP="00667482">
      <w:pPr>
        <w:spacing w:after="120"/>
        <w:rPr>
          <w:rFonts w:ascii="Times New Roman" w:hAnsi="Times New Roman"/>
          <w:szCs w:val="24"/>
        </w:rPr>
      </w:pPr>
      <w:r>
        <w:rPr>
          <w:rFonts w:ascii="Times New Roman" w:hAnsi="Times New Roman"/>
        </w:rPr>
        <w:t>La nouvelle initiative «Vivre ensemble en bonne santé»</w:t>
      </w:r>
      <w:r>
        <w:rPr>
          <w:rStyle w:val="FootnoteReference"/>
          <w:rFonts w:ascii="Times New Roman" w:hAnsi="Times New Roman"/>
          <w:szCs w:val="24"/>
          <w:lang w:eastAsia="fr-BE"/>
        </w:rPr>
        <w:footnoteReference w:id="5"/>
      </w:r>
      <w:r>
        <w:rPr>
          <w:rFonts w:ascii="Times New Roman" w:hAnsi="Times New Roman"/>
        </w:rPr>
        <w:t xml:space="preserve"> de l’UE répond également à l’appel en faveur de l’élaboration d’approches globales communes (</w:t>
      </w:r>
      <w:r>
        <w:rPr>
          <w:rFonts w:ascii="Times New Roman" w:hAnsi="Times New Roman"/>
          <w:b/>
        </w:rPr>
        <w:t>paragraphe 5</w:t>
      </w:r>
      <w:r>
        <w:rPr>
          <w:rFonts w:ascii="Times New Roman" w:hAnsi="Times New Roman"/>
        </w:rPr>
        <w:t>), car elle apporte un soutien complet et structuré à l’action de la Commission en matière de santé mentale. L’initiative contribuera à déployer des actions à fort impact dans tous les domaines, du bien-être et la prévention proactive à l’inclusion sociale des personnes souffrant de maladies de longue durée, en passant par la protection des droits et la lutte contre la stigmatisation.</w:t>
      </w:r>
    </w:p>
    <w:p w14:paraId="77011397" w14:textId="77777777" w:rsidR="00667482" w:rsidRPr="002D0EEA" w:rsidRDefault="00667482" w:rsidP="00667482">
      <w:pPr>
        <w:spacing w:after="120"/>
        <w:rPr>
          <w:rFonts w:ascii="Times New Roman" w:hAnsi="Times New Roman"/>
          <w:szCs w:val="24"/>
        </w:rPr>
      </w:pPr>
      <w:r>
        <w:rPr>
          <w:rFonts w:ascii="Times New Roman" w:hAnsi="Times New Roman"/>
        </w:rPr>
        <w:t>En ce qui concerne la demande faite à la Commission d’accorder une attention particulière aux enfants et aux jeunes qui sont particulièrement vulnérables, tels que les jeunes LGBTQ+, les enfants racisés et ceux qui ont des besoins préexistants en matière de santé mentale (</w:t>
      </w:r>
      <w:r>
        <w:rPr>
          <w:rFonts w:ascii="Times New Roman" w:hAnsi="Times New Roman"/>
          <w:b/>
        </w:rPr>
        <w:t>paragraphe 15</w:t>
      </w:r>
      <w:r>
        <w:rPr>
          <w:rFonts w:ascii="Times New Roman" w:hAnsi="Times New Roman"/>
        </w:rPr>
        <w:t>), l’équité et l’inclusion sont au cœur du cadre stratégique de coopération de l’espace européen de l’éducation. Le défi consistant à dissocier les résultats scolaires du milieu socio-économique et des caractéristiques personnelles est un problème profond, qui a été exacerbé en raison des effets à long terme de la pandémie. L’initiative «Passeport pour la réussite scolaire» vise en particulier à promouvoir de meilleurs résultats scolaires pour tous les jeunes Européens, indépendamment de leurs caractéristiques personnelles et de leur milieu familial, socio-économique et culturel. Le groupe d’experts sur le bien-être élaborera des lignes directrices de l’UE pour la promotion du bien-être, l’amélioration de la santé mentale, la résilience et la prévention du harcèlement à l’école.</w:t>
      </w:r>
    </w:p>
    <w:p w14:paraId="7F596E81" w14:textId="77777777" w:rsidR="00667482" w:rsidRDefault="00667482" w:rsidP="00667482">
      <w:pPr>
        <w:pStyle w:val="NormalWeb"/>
        <w:shd w:val="clear" w:color="auto" w:fill="FFFFFF"/>
        <w:spacing w:before="0" w:beforeAutospacing="0" w:after="120" w:afterAutospacing="0"/>
      </w:pPr>
      <w:r>
        <w:t>En ce qui concerne l’appel en faveur de la mise en place d’un réseau européen actif pour l’échange de bonnes pratiques et de méthodes permettant de relever ces défis (</w:t>
      </w:r>
      <w:r>
        <w:rPr>
          <w:b/>
        </w:rPr>
        <w:t>paragraphe 8</w:t>
      </w:r>
      <w:r>
        <w:t>) et l’appel lancé à la Commission pour faciliter l’échange de bonnes pratiques et l’apprentissage mutuel entre les États membres sur ces questions (</w:t>
      </w:r>
      <w:r>
        <w:rPr>
          <w:b/>
        </w:rPr>
        <w:t>paragraphe 36</w:t>
      </w:r>
      <w:r>
        <w:t>), le cadre stratégique existant pour la coopération européenne dans le domaine de l’éducation et de la formation dans la perspective de l’espace européen de l’éducation et au-delà (par exemple: les groupes de travail 2021 à 2025) répondent à ce besoin. L’objectif général des groupes de travail est de promouvoir l’apprentissage mutuel sur la réforme des politiques des systèmes éducatifs nationaux en vue de contribuer efficacement à la réalisation de l’espace européen de l’éducation d’ici à 2025. En particulier, le sous-groupe du groupe de travail «Écoles — Passeport pour la réussite scolaire» (2021-2025) abordera le climat d’apprentissage, la santé mentale, le bien-être et la lutte contre le harcèlement en soutenant un environnement favorable à l’enseignement et à l’apprentissage, en particulier pour les groupes à risque, et en promouvant le bien-être des élèves et des enseignants à l’école.</w:t>
      </w:r>
    </w:p>
    <w:p w14:paraId="24F1455F" w14:textId="77777777" w:rsidR="00667482" w:rsidRPr="00AA1D8C" w:rsidRDefault="00667482" w:rsidP="00667482">
      <w:pPr>
        <w:pStyle w:val="NormalWeb"/>
        <w:shd w:val="clear" w:color="auto" w:fill="FFFFFF"/>
        <w:spacing w:before="0" w:beforeAutospacing="0" w:after="120" w:afterAutospacing="0"/>
      </w:pPr>
      <w:r>
        <w:t>En ce qui concerne la demande faite à la Commission de mener des recherches comportant une évaluation exhaustive des effets à long terme de toutes les mesures liées à la pandémie de COVID-19 prises par les États membres concernant les enfants et les jeunes (</w:t>
      </w:r>
      <w:r>
        <w:rPr>
          <w:b/>
        </w:rPr>
        <w:t>paragraphe 4</w:t>
      </w:r>
      <w:r>
        <w:t>), la Commission a rédigé un rapport d’analyse intitulé «L’impact de la pandémie de COVID-19 sur la santé mentale des jeunes»</w:t>
      </w:r>
      <w:r>
        <w:rPr>
          <w:rStyle w:val="FootnoteReference"/>
          <w:lang w:val="en-IE" w:eastAsia="fr-FR"/>
        </w:rPr>
        <w:footnoteReference w:id="6"/>
      </w:r>
      <w:r>
        <w:t xml:space="preserve">. Ce rapport, qui se fonde sur les données fournies par le réseau Wiki pour les jeunes, analyse la manière dont les pays européens ont relevé les défis posés par la pandémie au bien-être mental et émotionnel des jeunes. Après un aperçu des principaux facteurs </w:t>
      </w:r>
      <w:r>
        <w:lastRenderedPageBreak/>
        <w:t>qui ont entraîné une détérioration du bien-être mental de nombreux jeunes Européens, le rapport se concentre sur les mesures prises en réaction par les différents pays. Plusieurs domaines d’action sont analysés (soins de santé, éducation, information, animation socio-éducative, loisirs et sport) et une série d’exemples de bonnes pratiques sont décrits. D’une manière générale, le rapport conclut que les pays européens se sont montrés proactifs dans la mise en place de mesures de soutien aux jeunes pendant la pandémie. Les conclusions mettent également en évidence certains domaines d’action dans lesquels des mesures supplémentaires pourraient être prises, tels que l’animation socio-éducative et le sport. Sur la base des éléments de preuve fournis et de l’analyse effectuée, le rapport peut servir de source d’inspiration pour d’autres actions.</w:t>
      </w:r>
    </w:p>
    <w:p w14:paraId="56FF26C0" w14:textId="77777777" w:rsidR="00667482" w:rsidRDefault="00667482" w:rsidP="00667482">
      <w:pPr>
        <w:pStyle w:val="NormalWeb"/>
        <w:shd w:val="clear" w:color="auto" w:fill="FFFFFF" w:themeFill="background1"/>
        <w:spacing w:before="0" w:beforeAutospacing="0" w:after="120" w:afterAutospacing="0"/>
      </w:pPr>
      <w:r>
        <w:t>La Commission a réalisé plusieurs études relatives à la santé mentale et aux conséquences de la COVID-19, parmi lesquelles:</w:t>
      </w:r>
    </w:p>
    <w:p w14:paraId="157E7A68" w14:textId="77777777" w:rsidR="00667482" w:rsidRPr="00A671BF" w:rsidRDefault="00667482" w:rsidP="00667482">
      <w:pPr>
        <w:pStyle w:val="NormalWeb"/>
        <w:numPr>
          <w:ilvl w:val="0"/>
          <w:numId w:val="1"/>
        </w:numPr>
        <w:shd w:val="clear" w:color="auto" w:fill="FFFFFF"/>
        <w:spacing w:before="0" w:beforeAutospacing="0" w:after="120" w:afterAutospacing="0"/>
        <w:ind w:left="1077" w:hanging="357"/>
      </w:pPr>
      <w:r>
        <w:t>l’édition 2021 du rapport de suivi de l’éducation et de la formation, qui examine en profondeur le bien-être des étudiants et des enseignants</w:t>
      </w:r>
      <w:r>
        <w:rPr>
          <w:rStyle w:val="FootnoteReference"/>
          <w:szCs w:val="20"/>
          <w:lang w:val="en-GB" w:eastAsia="fr-FR"/>
        </w:rPr>
        <w:footnoteReference w:id="7"/>
      </w:r>
      <w:r>
        <w:t>;</w:t>
      </w:r>
    </w:p>
    <w:p w14:paraId="302A956A" w14:textId="77777777" w:rsidR="00667482" w:rsidRDefault="00667482" w:rsidP="00667482">
      <w:pPr>
        <w:pStyle w:val="NormalWeb"/>
        <w:numPr>
          <w:ilvl w:val="0"/>
          <w:numId w:val="1"/>
        </w:numPr>
        <w:shd w:val="clear" w:color="auto" w:fill="FFFFFF"/>
        <w:spacing w:before="0" w:beforeAutospacing="0" w:after="120" w:afterAutospacing="0"/>
        <w:ind w:left="1077" w:hanging="357"/>
      </w:pPr>
      <w:r>
        <w:t>le rapport «Conséquences de la COVID-19 sur l’enseignement scolaire», qui examine la manière dont la pandémie a entraîné des changements dans les conditions d’apprentissage et a eu une incidence sur les résultats scolaires dans les écoles</w:t>
      </w:r>
      <w:r>
        <w:rPr>
          <w:rStyle w:val="FootnoteReference"/>
          <w:lang w:val="en-US"/>
        </w:rPr>
        <w:footnoteReference w:id="8"/>
      </w:r>
      <w:r>
        <w:t>;</w:t>
      </w:r>
    </w:p>
    <w:p w14:paraId="6CB2CEBC" w14:textId="77777777" w:rsidR="00667482" w:rsidRPr="002F4C68" w:rsidRDefault="00667482" w:rsidP="00667482">
      <w:pPr>
        <w:pStyle w:val="NormalWeb"/>
        <w:numPr>
          <w:ilvl w:val="0"/>
          <w:numId w:val="1"/>
        </w:numPr>
        <w:shd w:val="clear" w:color="auto" w:fill="FFFFFF" w:themeFill="background1"/>
        <w:spacing w:before="0" w:beforeAutospacing="0" w:after="120" w:afterAutospacing="0"/>
        <w:ind w:left="1077" w:hanging="357"/>
      </w:pPr>
      <w:r>
        <w:t>En outre, la Commission prévoit de mener des recherches sur les incidences socio-économiques de la solitude, dans le cadre des activités de recherche et d’innovation du pôle 2 d’Horizon Europe.</w:t>
      </w:r>
    </w:p>
    <w:p w14:paraId="22B1EA39" w14:textId="77777777" w:rsidR="00667482" w:rsidRDefault="00667482" w:rsidP="00667482">
      <w:pPr>
        <w:spacing w:after="120"/>
        <w:rPr>
          <w:rFonts w:ascii="Times New Roman" w:hAnsi="Times New Roman"/>
          <w:szCs w:val="24"/>
        </w:rPr>
      </w:pPr>
      <w:r>
        <w:rPr>
          <w:rFonts w:ascii="Times New Roman" w:hAnsi="Times New Roman"/>
        </w:rPr>
        <w:t>En ce qui concerne la demande faite à la Commission pour qu’elle lance une campagne de sensibilisation à la santé mentale dans les établissements d’enseignement et de formation professionnelle à l’échelle de l’UE afin de lutter contre la stigmatisation existante, d’offrir aux jeunes un accès aux informations sur la santé mentale et de créer une compréhension sociale claire et plus large des problèmes de santé mentale (</w:t>
      </w:r>
      <w:r>
        <w:rPr>
          <w:rFonts w:ascii="Times New Roman" w:hAnsi="Times New Roman"/>
          <w:b/>
        </w:rPr>
        <w:t>paragraphe 3</w:t>
      </w:r>
      <w:r>
        <w:rPr>
          <w:rFonts w:ascii="Times New Roman" w:hAnsi="Times New Roman"/>
        </w:rPr>
        <w:t xml:space="preserve">), la Commission a désigné 2022 </w:t>
      </w:r>
      <w:r>
        <w:rPr>
          <w:rFonts w:ascii="Times New Roman" w:hAnsi="Times New Roman"/>
          <w:b/>
        </w:rPr>
        <w:t>Année européenne de la jeunesse</w:t>
      </w:r>
      <w:r>
        <w:rPr>
          <w:rFonts w:ascii="Times New Roman" w:hAnsi="Times New Roman"/>
        </w:rPr>
        <w:t xml:space="preserve"> en reconnaissance des sacrifices consentis par les jeunes pendant la pandémie de COVID-19. L’Année européenne de la jeunesse a pour objectif général d’encourager tous les jeunes à faire entendre leur voix et à participer en partageant leurs visions et leurs espoirs pour l’avenir de l’Europe en ce qui concerne les thèmes clés de l’Année européenne. Huit domaines d’action ont été retenus sur la base des priorités politiques et de ce qui est important pour les jeunes, parmi lesquels celui de la santé, du bien-être et du sport, qui comprend un certain nombre d’initiatives axées sur la santé mentale. Stimuler le développement personnel, social et professionnel des jeunes, y compris l’attention portée à la santé mentale, est pleinement conforme à l’objectif n° 5 de la stratégie de l’UE en faveur de la jeunesse 2019-2027, à savoir: «Atteindre un meilleur niveau de bien-être mental et réduire la stigmatisation des problèmes de santé mentale, en promouvant l'inclusion sociale de tous les jeunes». En outre, dans le cadre de la campagne de communication sur l’Année européenne de la jeunesse, la santé mentale est le thème central du mois d’octobre, avec des activations sur les médias sociaux, des informations de presse et des événements.</w:t>
      </w:r>
    </w:p>
    <w:p w14:paraId="1E736427" w14:textId="77777777" w:rsidR="00667482" w:rsidRPr="00895860" w:rsidRDefault="00667482" w:rsidP="00667482">
      <w:pPr>
        <w:spacing w:after="120"/>
        <w:rPr>
          <w:rFonts w:ascii="Times New Roman" w:hAnsi="Times New Roman"/>
          <w:szCs w:val="24"/>
        </w:rPr>
      </w:pPr>
      <w:r>
        <w:rPr>
          <w:rFonts w:ascii="Times New Roman" w:hAnsi="Times New Roman"/>
        </w:rPr>
        <w:lastRenderedPageBreak/>
        <w:t>Dans le cadre de l’Année européenne de la jeunesse, la plateforme d’enregistrement de la voix</w:t>
      </w:r>
      <w:r>
        <w:rPr>
          <w:rStyle w:val="FootnoteReference"/>
          <w:rFonts w:ascii="Times New Roman" w:hAnsi="Times New Roman"/>
          <w:szCs w:val="24"/>
        </w:rPr>
        <w:footnoteReference w:id="9"/>
      </w:r>
      <w:r>
        <w:rPr>
          <w:rFonts w:ascii="Times New Roman" w:hAnsi="Times New Roman"/>
        </w:rPr>
        <w:t xml:space="preserve">, une plateforme numérique 3D innovante, permet aux jeunes de partager leurs points de vue, leurs préoccupations et leurs idées. Les jeunes peuvent faire entendre leur voix, et ainsi exprimer leurs points de vue et leurs opinions, sur les domaines d’action relevant de l’Année européenne de la jeunesse. Parmi toutes les voix enregistrées dans la catégorie «Santé, bien-être et sport», un tiers des jeunes plaident en faveur d’une sensibilisation accrue à la santé mentale et d’un accès abordable aux professionnels de la santé mentale. La Commission européenne reconnaît les voix des jeunes en tant que moteur du changement et «codéveloppeur» de la politique future. La plateforme </w:t>
      </w:r>
      <w:r>
        <w:rPr>
          <w:rFonts w:ascii="Times New Roman" w:hAnsi="Times New Roman"/>
          <w:i/>
          <w:iCs/>
        </w:rPr>
        <w:t>Voices</w:t>
      </w:r>
      <w:r>
        <w:rPr>
          <w:rFonts w:ascii="Times New Roman" w:hAnsi="Times New Roman"/>
        </w:rPr>
        <w:t xml:space="preserve"> donne un «réceptacle» à leurs pensées, questions, préoccupations, idées, espoirs et rêves. Elle vise à leur donner les moyens de nouer des liens avec d’autres jeunes Européens et des associations locales, régionales, nationales ou européennes qui partagent des croyances, des idées et des aspirations similaires.</w:t>
      </w:r>
    </w:p>
    <w:p w14:paraId="4BD5DEAB" w14:textId="77777777" w:rsidR="00667482" w:rsidRPr="00377635" w:rsidRDefault="00667482" w:rsidP="00667482">
      <w:pPr>
        <w:pStyle w:val="Briefingtext"/>
        <w:spacing w:after="120"/>
        <w:rPr>
          <w:rFonts w:ascii="Times New Roman" w:hAnsi="Times New Roman" w:cs="Times New Roman"/>
        </w:rPr>
      </w:pPr>
      <w:r>
        <w:rPr>
          <w:rFonts w:ascii="Times New Roman" w:hAnsi="Times New Roman"/>
        </w:rPr>
        <w:t>En ce qui concerne la demande faite à la Commission d’envisager de soutenir et de financer des programmes de mentorat au niveau européen afin d’encourager leur mise sur pied dans tous les États membres (</w:t>
      </w:r>
      <w:r>
        <w:rPr>
          <w:rFonts w:ascii="Times New Roman" w:hAnsi="Times New Roman"/>
          <w:b/>
        </w:rPr>
        <w:t>paragraphe 13</w:t>
      </w:r>
      <w:r>
        <w:rPr>
          <w:rFonts w:ascii="Times New Roman" w:hAnsi="Times New Roman"/>
        </w:rPr>
        <w:t xml:space="preserve">), l’importance du mentorat est clairement reconnue dans les documents stratégiques au niveau de l’UE. La recommandation du Conseil relative à l’apprentissage mixte pour un enseignement primaire et secondaire inclusif et de haute qualité (2021/C 504/03) et la proposition de recommandation du Conseil concernant l’initiative «Passeport pour la réussite scolaire», présentée par la Commission (COM/2022/316 final), font toutes deux explicitement référence au mentorat, par exemple en tant qu’outil important pour un soutien individualisé ciblé et renforcé aux apprenants confrontés à des difficultés d’apprentissage ou exposés à un risque d’échec scolaire. Le document de travail des services de la Commission accompagnant la proposition de recommandation du Conseil concernant l’initiative «Passeport pour la réussite scolaire», présentée par la Commission, fournit d’autres informations et exemples de bonnes pratiques. Le mentorat est au cœur de plusieurs projets Erasmus+, qui promeuvent cette approche, dans des contextes formels et non formels, afin d’autonomiser les étudiants, les apprenants et les apprenants adultes, de lutter contre l’abandon scolaire et les mauvais résultats, de soutenir le développement professionnel des enseignants, de garantir un enseignement et une formation professionnels de qualité, de soutenir l’inclusion des élèves issus de l’immigration, etc. Dans le domaine de l’enseignement scolaire — 2014-2020, le programme Erasmus+  a cofinancé près de 70 projets de partenariats stratégiques qui ont introduit et appliqué le concept de mentorat. Dans le cadre des appels de 2021 et 2022, 23 projets de partenariats stratégiques (y compris des partenariats à petite échelle) sont en cours et prévoient d’appliquer le programme de mentorat, entre autres, au bien-être des élèves et à l’intégration des élèves confrontés à divers obstacles. Dans le domaine de l’éducation des adultes — 2014-2020, le programme Erasmus+ a cofinancé environ 110 projets de partenariats stratégiques qui ont appliqué avec succès des techniques de mentorat pour contribuer à l’inclusion sociale de groupes vulnérables et à l’amélioration de leurs compétences. Dans le domaine de l’enseignement et de la formation professionnels, près de 30 partenariats stratégiques sont en cours (y compris des projets de partenariat à petite échelle); ils ont été sélectionnés dans le cadre des appels de 2021 et 2022 dans lesquels le mentorat est appliqué et contribue à l’acquisition de compétences de direction pour les enseignants, les formateurs et les apprenants. En outre, 5 centres d’excellence </w:t>
      </w:r>
      <w:r>
        <w:rPr>
          <w:rFonts w:ascii="Times New Roman" w:hAnsi="Times New Roman"/>
        </w:rPr>
        <w:lastRenderedPageBreak/>
        <w:t>professionnelle sélectionnés en 2019 et 2020 soulignent l’importance du mentorat dans la conception de formations pour le développement professionnel continu des enseignants de l’EFP.</w:t>
      </w:r>
    </w:p>
    <w:p w14:paraId="66CC304B" w14:textId="77777777" w:rsidR="00667482" w:rsidRPr="007A6099" w:rsidRDefault="00667482" w:rsidP="00667482">
      <w:pPr>
        <w:spacing w:after="120"/>
        <w:rPr>
          <w:rFonts w:ascii="Times New Roman" w:hAnsi="Times New Roman"/>
          <w:szCs w:val="24"/>
        </w:rPr>
      </w:pPr>
      <w:r>
        <w:rPr>
          <w:rFonts w:ascii="Times New Roman" w:hAnsi="Times New Roman"/>
        </w:rPr>
        <w:t>En ce qui concerne les appels à la Commission visant à désigner une Année européenne de la santé mentale et à élaborer un plan européen pour la protection de la santé mentale dans l’éducation, la formation professionnelle et l’apprentissage informel et non formel (</w:t>
      </w:r>
      <w:r>
        <w:rPr>
          <w:rFonts w:ascii="Times New Roman" w:hAnsi="Times New Roman"/>
          <w:b/>
        </w:rPr>
        <w:t>paragraphe 39</w:t>
      </w:r>
      <w:r>
        <w:rPr>
          <w:rFonts w:ascii="Times New Roman" w:hAnsi="Times New Roman"/>
        </w:rPr>
        <w:t>) et en ce qui concerne l’invitation faite à la Commission de suivre les recommandations de la conférence sur l’avenir de l’Europe (</w:t>
      </w:r>
      <w:r>
        <w:rPr>
          <w:rFonts w:ascii="Times New Roman" w:hAnsi="Times New Roman"/>
          <w:b/>
        </w:rPr>
        <w:t>paragraphe 41</w:t>
      </w:r>
      <w:r>
        <w:rPr>
          <w:rFonts w:ascii="Times New Roman" w:hAnsi="Times New Roman"/>
        </w:rPr>
        <w:t>), dans la lettre d’intention accompagnant le discours sur l’état de l’Union, la présidente von der Leyen a annoncé une approche globale de la santé mentale, qui constituera une nouvelle initiative clé pour 2023. En 2023, les premiers résultats du groupe d’experts sur le bien-être seront disponibles.</w:t>
      </w:r>
    </w:p>
    <w:p w14:paraId="426595D9" w14:textId="77777777" w:rsidR="00667482" w:rsidRPr="00895860" w:rsidRDefault="00667482" w:rsidP="00667482">
      <w:pPr>
        <w:pStyle w:val="paragraph"/>
        <w:spacing w:before="0" w:beforeAutospacing="0" w:after="120" w:afterAutospacing="0"/>
        <w:textAlignment w:val="baseline"/>
      </w:pPr>
      <w:r>
        <w:t>En ce qui concerne l’invitation faite à la Commission de proposer un héritage solide de l’Année européenne de la jeunesse 2022 (</w:t>
      </w:r>
      <w:r>
        <w:rPr>
          <w:b/>
        </w:rPr>
        <w:t>paragraphe 42</w:t>
      </w:r>
      <w:r>
        <w:t>), la conférence de clôture de l’Année européenne de la jeunesse intitulée «Revendiquer l’avenir», coorganisée par la présidence tchèque, le Parlement européen et la Commission européenne le 6 décembre 2022 dans les locaux du Parlement européen, sera l’occasion de faire le point sur les réalisations de l’Année européenne. L’objectif principal de cette conférence sera de lancer l’héritage de l’Année européenne et de débattre de la manière dont la politique de la jeunesse peut rester un sujet d’actualité important. La santé mentale est l’un des thèmes choisis par les jeunes pour les ateliers de la conférence.</w:t>
      </w:r>
    </w:p>
    <w:p w14:paraId="4E326F30" w14:textId="77777777" w:rsidR="00667482" w:rsidRPr="00895860" w:rsidRDefault="00667482" w:rsidP="00667482">
      <w:pPr>
        <w:pStyle w:val="paragraph"/>
        <w:spacing w:before="0" w:beforeAutospacing="0" w:after="120" w:afterAutospacing="0"/>
        <w:textAlignment w:val="baseline"/>
      </w:pPr>
      <w:r>
        <w:t>La Commission convient que l’animation socio-éducative apporte une contribution importante au développement personnel et au bien-être des jeunes (</w:t>
      </w:r>
      <w:r>
        <w:rPr>
          <w:b/>
        </w:rPr>
        <w:t>paragraphe 6</w:t>
      </w:r>
      <w:r>
        <w:t>) et qu’elle est essentielle à la socialisation des jeunes (</w:t>
      </w:r>
      <w:r>
        <w:rPr>
          <w:b/>
        </w:rPr>
        <w:t>paragraphe 7</w:t>
      </w:r>
      <w:r>
        <w:t>). À cet égard, la Commission met l’accent sur les activités et les programmes spécifiquement destinés à renforcer et à soutenir les animateurs socio-éducatifs, tels que les projets de mobilité relevant du chapitre «Jeunesse» d’Erasmus+, qui soutiennent les animateurs socio-éducatifs et les aident à développer leurs aptitudes et leurs compétences. Ces programmes ont une incidence sur le développement d’une animation socio-éducative de qualité aux niveaux local, régional, national, européen et international.</w:t>
      </w:r>
    </w:p>
    <w:p w14:paraId="7FE0579B" w14:textId="77777777" w:rsidR="00667482" w:rsidRDefault="00667482" w:rsidP="00667482">
      <w:pPr>
        <w:spacing w:after="120"/>
      </w:pPr>
      <w:r>
        <w:rPr>
          <w:rFonts w:ascii="Times New Roman" w:hAnsi="Times New Roman"/>
        </w:rPr>
        <w:t xml:space="preserve">En outre, le programme Erasmus + soutient, par ses </w:t>
      </w:r>
      <w:r>
        <w:rPr>
          <w:rFonts w:ascii="Times New Roman" w:hAnsi="Times New Roman"/>
          <w:b/>
        </w:rPr>
        <w:t>activités de formation et de coopération</w:t>
      </w:r>
      <w:r>
        <w:rPr>
          <w:rFonts w:ascii="Times New Roman" w:hAnsi="Times New Roman"/>
        </w:rPr>
        <w:t>, une activité stratégique à long terme sur la «santé mentale dans l’animation socio-éducative» (coordonnée par l’agence nationale finlandaise), qui est liée au 5</w:t>
      </w:r>
      <w:r>
        <w:rPr>
          <w:rFonts w:ascii="Times New Roman" w:hAnsi="Times New Roman"/>
          <w:vertAlign w:val="superscript"/>
        </w:rPr>
        <w:t>e</w:t>
      </w:r>
      <w:r>
        <w:rPr>
          <w:rFonts w:ascii="Times New Roman" w:hAnsi="Times New Roman"/>
        </w:rPr>
        <w:t xml:space="preserve"> objectif pour la jeunesse et met l’accent sur le travail de prévention et la promotion de la santé mentale. Le rôle des animateurs socio-éducatifs permettant de débattre du bien-être, de promouvoir la santé mentale et de lutter contre la stigmatisation est très important. Les </w:t>
      </w:r>
      <w:r>
        <w:rPr>
          <w:rFonts w:ascii="Times New Roman" w:hAnsi="Times New Roman"/>
          <w:b/>
        </w:rPr>
        <w:t>activités de formation et de coopération</w:t>
      </w:r>
      <w:r>
        <w:rPr>
          <w:rFonts w:ascii="Times New Roman" w:hAnsi="Times New Roman"/>
        </w:rPr>
        <w:t xml:space="preserve"> ciblent les animateurs socio-éducatifs, dans le but de les doter des compétences dont ils ont besoin pour soutenir les jeunes dans un monde en mutation (animation socio-éducative numérique, thèmes durables et écologiques, mais aussi santé mentale, etc.). La stratégie européenne de formation révisée récemment établit un cadre stratégique pour le développement de l’éducation et de la formation des animateurs socio-éducatifs et, parmi ses objectifs, vise à élaborer des approches innovantes en vue du développement d’une animation socio-éducative de qualité et «tournée vers l’avenir».</w:t>
      </w:r>
    </w:p>
    <w:p w14:paraId="5C8DC6F9" w14:textId="77777777" w:rsidR="00667482" w:rsidRPr="00BD6188" w:rsidRDefault="00667482" w:rsidP="00667482">
      <w:pPr>
        <w:spacing w:after="120"/>
      </w:pPr>
      <w:r>
        <w:rPr>
          <w:rFonts w:ascii="Times New Roman" w:hAnsi="Times New Roman"/>
        </w:rPr>
        <w:lastRenderedPageBreak/>
        <w:t>La Commission tient également à souligner les ressources mises à disposition par le centre de ressources SALTO (</w:t>
      </w:r>
      <w:r>
        <w:rPr>
          <w:rFonts w:ascii="Times New Roman" w:hAnsi="Times New Roman"/>
          <w:i/>
          <w:iCs/>
        </w:rPr>
        <w:t>Support, Advanced Learning and Training Opportunities</w:t>
      </w:r>
      <w:r>
        <w:rPr>
          <w:rFonts w:ascii="Times New Roman" w:hAnsi="Times New Roman"/>
        </w:rPr>
        <w:t>)</w:t>
      </w:r>
      <w:r>
        <w:rPr>
          <w:rStyle w:val="FootnoteReference"/>
          <w:rFonts w:ascii="Times New Roman" w:hAnsi="Times New Roman"/>
          <w:szCs w:val="24"/>
        </w:rPr>
        <w:footnoteReference w:id="10"/>
      </w:r>
      <w:r>
        <w:rPr>
          <w:rFonts w:ascii="Times New Roman" w:hAnsi="Times New Roman"/>
        </w:rPr>
        <w:t>. Ces supports accessibles aident les animateurs socio-éducatifs à aborder les problèmes de santé mentale des jeunes.</w:t>
      </w:r>
    </w:p>
    <w:p w14:paraId="46172D6D" w14:textId="77777777" w:rsidR="00667482" w:rsidRPr="00BD6188" w:rsidRDefault="00667482" w:rsidP="00667482">
      <w:pPr>
        <w:pStyle w:val="paragraph"/>
        <w:spacing w:before="0" w:beforeAutospacing="0" w:after="120" w:afterAutospacing="0"/>
        <w:textAlignment w:val="baseline"/>
      </w:pPr>
      <w:r>
        <w:t>En ce qui concerne la demande faite à la Commission de soutenir plus systématiquement et financièrement le travail des organisations de jeunesse (</w:t>
      </w:r>
      <w:r>
        <w:rPr>
          <w:b/>
        </w:rPr>
        <w:t>paragraphe 10</w:t>
      </w:r>
      <w:r>
        <w:t xml:space="preserve">), les </w:t>
      </w:r>
      <w:r>
        <w:rPr>
          <w:i/>
          <w:iCs/>
        </w:rPr>
        <w:t>activités de participation des jeunes</w:t>
      </w:r>
      <w:r>
        <w:t>, le nouveau format d’action introduit à partir de 2021 dans le chapitre «Jeunesse» d’Erasmus+, soutiennent en particulier les initiatives locales et transnationales menées par des groupes informels de jeunes et/ou des organisations de jeunesse, en tant que moyen de participation active des jeunes de tous horizons. En 2022, l’action est dotée d’un budget de 30 millions d’euros, ce qui permettra de financer au moins 500 projets, chacun doté d’un budget maximal de 60 000 EUR. L’action offre à plusieurs milliers de jeunes la possibilité de concevoir et de mettre en œuvre leurs propres projets, avec des activités susceptibles de toucher des centaines de milliers de jeunes dans toute l’Europe et de bénéficier à de grandes communautés en stimulant des changements sociétaux positifs.</w:t>
      </w:r>
    </w:p>
    <w:p w14:paraId="023688D1" w14:textId="77777777" w:rsidR="00667482" w:rsidRPr="00BD6188" w:rsidRDefault="00667482" w:rsidP="00667482">
      <w:pPr>
        <w:spacing w:after="120"/>
      </w:pPr>
      <w:r>
        <w:rPr>
          <w:rFonts w:ascii="Times New Roman" w:hAnsi="Times New Roman"/>
        </w:rPr>
        <w:t>En ce qui concerne l’appel à promouvoir les possibilités de mobilité en Europe, à accroître le financement d’Erasmus+, d’Europe créative et du corps européen de solidarité et à rendre les programmes plus résilients (</w:t>
      </w:r>
      <w:r>
        <w:rPr>
          <w:rFonts w:ascii="Times New Roman" w:hAnsi="Times New Roman"/>
          <w:b/>
        </w:rPr>
        <w:t>paragraphe 17</w:t>
      </w:r>
      <w:r>
        <w:rPr>
          <w:rFonts w:ascii="Times New Roman" w:hAnsi="Times New Roman"/>
        </w:rPr>
        <w:t>), la Commission souligne que le programme Erasmus+ dispose d’un budget sur 7 ans de plus de 26 milliards d’euros, ce qui représente une augmentation presque deux fois supérieure à celle du programme précédent. Elle est complétée par environ 2,2 milliards d’euros provenant de l’instrument de coopération extérieure de l’UE. La Commission convient que les activités de sensibilisation sont essentielles pour promouvoir les possibilités offertes par le programme auprès des groupes cibles sous-représentés. Les agences nationales mènent des actions de sensibilisation dans le cadre de leurs plans nationaux d’inclusion. Le programme «Corps européen de solidarité» dispose d’un budget sur 7 ans de plus d’un milliard d’euros. Il offrira des possibilités à au moins 270 000 jeunes de contribuer à relever les défis sociétaux et humanitaires grâce au volontariat ou à la mise en place de leurs propres projets de solidarité.</w:t>
      </w:r>
    </w:p>
    <w:p w14:paraId="012B61B8" w14:textId="77777777" w:rsidR="00667482" w:rsidRPr="00BD6188" w:rsidRDefault="00667482" w:rsidP="00667482">
      <w:pPr>
        <w:spacing w:after="120"/>
      </w:pPr>
      <w:r>
        <w:rPr>
          <w:rFonts w:ascii="Times New Roman" w:hAnsi="Times New Roman"/>
        </w:rPr>
        <w:t>En ce qui concerne la mobilité des artistes et des professionnels de la culture (</w:t>
      </w:r>
      <w:r>
        <w:rPr>
          <w:rFonts w:ascii="Times New Roman" w:hAnsi="Times New Roman"/>
          <w:b/>
        </w:rPr>
        <w:t>paragraphe 19</w:t>
      </w:r>
      <w:r>
        <w:rPr>
          <w:rFonts w:ascii="Times New Roman" w:hAnsi="Times New Roman"/>
        </w:rPr>
        <w:t>), la Commission a lancé, le 10 octobre, «Culture Moves Europe», un nouveau programme de mobilité permanente du programme «Europe créative». Il propose des bourses de mobilité à des artistes, à des professionnels de la culture et à des organisations d’accueil qui organisent régulièrement des résidences ou d’autres types de projets culturels locaux et qui souhaitent accueillir des artistes et des professionnels de la culture. «Culture Moves Europe» dispose d’un budget de 21 millions d’euros entre 2022 et 2025, qui peut financer des subventions en faveur d’environ 7 000 artistes, créateurs et professionnels de la culture (6 000 voyages individuels et 1 000 via des résidences) pour se rendre à l’étranger à des fins de développement professionnel ou de collaborations internationales, coproduire et cocréer.</w:t>
      </w:r>
    </w:p>
    <w:p w14:paraId="78506E44" w14:textId="77777777" w:rsidR="00667482" w:rsidRPr="00BD6188" w:rsidRDefault="00667482" w:rsidP="00667482">
      <w:pPr>
        <w:spacing w:after="120"/>
      </w:pPr>
      <w:r>
        <w:rPr>
          <w:rFonts w:ascii="Times New Roman" w:hAnsi="Times New Roman"/>
        </w:rPr>
        <w:t>En ce qui concerne l’effet de la facilité pour la reprise et la résilience (FRR) sur les enfants et les jeunes (</w:t>
      </w:r>
      <w:r>
        <w:rPr>
          <w:rFonts w:ascii="Times New Roman" w:hAnsi="Times New Roman"/>
          <w:b/>
        </w:rPr>
        <w:t>paragraphe 18</w:t>
      </w:r>
      <w:r>
        <w:rPr>
          <w:rFonts w:ascii="Times New Roman" w:hAnsi="Times New Roman"/>
        </w:rPr>
        <w:t xml:space="preserve">), il est important de souligner que les États membres ont lancé plusieurs mesures de réaction immédiate pour compenser les pertes d’apprentissage causées par les fermetures d’institutions éducatives et culturelles liées à la COVID-19. Ces mesures s’inscrivent </w:t>
      </w:r>
      <w:r>
        <w:rPr>
          <w:rFonts w:ascii="Times New Roman" w:hAnsi="Times New Roman"/>
        </w:rPr>
        <w:lastRenderedPageBreak/>
        <w:t>généralement dans des stratégies à plus long terme couvrant la décennie jusqu’en 2030. Les mesures sont soutenues par des fonds de l’UE et guidées par les objectifs de l’espace européen de l’éducation. En particulier, la facilité pour la reprise et la résilience et les fonds de la politique de cohésion apportent un soutien financier substantiel aux programmes d’apprentissage compensatoire, ainsi qu’à des mesures plus globales visant à promouvoir l’accès de tous à une éducation de qualité, y compris des réformes des programmes d’études. En outre, les fonds de l’UE contribuent à la modernisation des infrastructures, renforcent l’égalité d’accès à des services éducatifs inclusifs et de qualité, créent des environnements d’apprentissage innovants et améliorent les conditions nécessaires à l’éducation numérique inclusive au moyen d’équipements et de plateformes. En ce qui concerne l’appel à améliorer le financement et les conditions de travail des artistes, des auteurs et des créateurs (</w:t>
      </w:r>
      <w:r>
        <w:rPr>
          <w:rFonts w:ascii="Times New Roman" w:hAnsi="Times New Roman"/>
          <w:b/>
          <w:bCs/>
        </w:rPr>
        <w:t>paragraphe 18</w:t>
      </w:r>
      <w:r>
        <w:rPr>
          <w:rFonts w:ascii="Times New Roman" w:hAnsi="Times New Roman"/>
        </w:rPr>
        <w:t>), la Commission souligne que les secteurs et industries de la culture et de la création bénéficieront dans une large mesure du soutien au titre de la facilité pour la reprise et la résilience directement, au moyen de mesures ciblant ces secteurs et industries dans les plans nationaux pour la reprise et la résilience, et indirectement par des mesures horizontales bénéficiant à tous les secteurs. Les plans nationaux pour la reprise et la résilience (PNRR) comprennent des réformes et des investissements qui aideront les secteurs à se redresser et à sortir plus forts de la crise, ainsi qu’à accélérer leurs transitions numérique et écologique. Les mesures soutenant directement la culture et les industries créatives s’élèvent à plus de 10 milliards d’euros.</w:t>
      </w:r>
    </w:p>
    <w:p w14:paraId="40A30DCD" w14:textId="77777777" w:rsidR="00667482" w:rsidRPr="00BD6188" w:rsidRDefault="00667482" w:rsidP="00667482">
      <w:pPr>
        <w:spacing w:after="120"/>
      </w:pPr>
      <w:r>
        <w:rPr>
          <w:rFonts w:ascii="Times New Roman" w:hAnsi="Times New Roman"/>
        </w:rPr>
        <w:t>Le 29 septembre, la Commission a adopté de nouvelles lignes directrices précisant à quel moment les travailleurs indépendants, tels que les acteurs, les musiciens et les travailleurs rémunérés à la tâche, peuvent négocier collectivement de meilleures conditions de travail sans enfreindre les règles de concurrence. En ce qui concerne l’accroissement de la mobilité des enseignants, des volontaires, des animateurs socio-éducatifs et d’autres groupes (</w:t>
      </w:r>
      <w:r>
        <w:rPr>
          <w:rFonts w:ascii="Times New Roman" w:hAnsi="Times New Roman"/>
          <w:b/>
        </w:rPr>
        <w:t>paragraphe 19</w:t>
      </w:r>
      <w:r>
        <w:rPr>
          <w:rFonts w:ascii="Times New Roman" w:hAnsi="Times New Roman"/>
        </w:rPr>
        <w:t>), la Commission présentera, d’ici la fin de 2023, une proposition de recommandation du Conseil relative à un nouveau cadre européen de mobilité à des fins d’apprentissage afin de faire des périodes d’apprentissage à l’étranger une norme plutôt qu’une exception.</w:t>
      </w:r>
    </w:p>
    <w:p w14:paraId="4A5535E2" w14:textId="77777777" w:rsidR="00667482" w:rsidRPr="00BD6188" w:rsidRDefault="00667482" w:rsidP="00667482">
      <w:pPr>
        <w:spacing w:after="120"/>
      </w:pPr>
      <w:r>
        <w:rPr>
          <w:rFonts w:ascii="Times New Roman" w:hAnsi="Times New Roman"/>
        </w:rPr>
        <w:t>En ce qui concerne l’appel à soutenir et à financer les activités d’apprentissage non formel et informel, en accordant une attention particulière aux groupes défavorisés (</w:t>
      </w:r>
      <w:r>
        <w:rPr>
          <w:rFonts w:ascii="Times New Roman" w:hAnsi="Times New Roman"/>
          <w:b/>
        </w:rPr>
        <w:t>paragraphe 25</w:t>
      </w:r>
      <w:r>
        <w:rPr>
          <w:rFonts w:ascii="Times New Roman" w:hAnsi="Times New Roman"/>
        </w:rPr>
        <w:t>), la Commission souligne que le cadre pour les mesures d’inclusion mis en place dans le cadre des programmes Erasmus+ et Corps européen de solidarité 2021-2027 renforce les actions visant à soutenir et à contrôler la mise en œuvre des mesures d’inclusion et à en rendre compte. Ce cadre comprend notamment des possibilités de financement spécifique pour les personnes ayant besoin d’un soutien supplémentaire, des mesures d’accompagnement personnalisées et des formats de projets plus flexibles. L’action préparatoire «CultureForHealth»</w:t>
      </w:r>
      <w:r>
        <w:rPr>
          <w:rStyle w:val="FootnoteReference"/>
          <w:rFonts w:ascii="Times New Roman" w:hAnsi="Times New Roman"/>
          <w:szCs w:val="24"/>
          <w:lang w:eastAsia="fr-BE"/>
        </w:rPr>
        <w:footnoteReference w:id="11"/>
      </w:r>
      <w:r>
        <w:rPr>
          <w:rFonts w:ascii="Times New Roman" w:hAnsi="Times New Roman"/>
        </w:rPr>
        <w:t xml:space="preserve"> comprend six actions pilotes mises en œuvre au niveau local. À titre d’exemple, les «laboratoires de bien-être social» de l’Associazione Oltre à Bologne (Italie) sont spécifiquement consacrés aux enfants et aux jeunes issus de communautés défavorisées.</w:t>
      </w:r>
    </w:p>
    <w:p w14:paraId="4200F2B9" w14:textId="77777777" w:rsidR="00667482" w:rsidRPr="00BD6188" w:rsidRDefault="00667482" w:rsidP="00667482">
      <w:pPr>
        <w:pStyle w:val="NormalWeb"/>
        <w:spacing w:before="0" w:beforeAutospacing="0" w:after="120" w:afterAutospacing="0"/>
      </w:pPr>
      <w:r>
        <w:t>En ce qui concerne l’importance des ressources dans le développement de la capacité des éducateurs à aborder la question de l’égalité entre les femmes et les hommes (</w:t>
      </w:r>
      <w:r>
        <w:rPr>
          <w:b/>
        </w:rPr>
        <w:t>paragraphe 32</w:t>
      </w:r>
      <w:r>
        <w:t>), on peut citer, à titre d’exemples de projets cofinancés par la Commission, le projet «</w:t>
      </w:r>
      <w:hyperlink r:id="rId11">
        <w:r>
          <w:rPr>
            <w:rStyle w:val="Hyperlink"/>
          </w:rPr>
          <w:t>L’héritage des femmes</w:t>
        </w:r>
      </w:hyperlink>
      <w:r>
        <w:t xml:space="preserve">» financé dans le cadre du programme Erasmus+. Le projet encourage l’inclusion des </w:t>
      </w:r>
      <w:r>
        <w:lastRenderedPageBreak/>
        <w:t>femmes protagonistes de l’histoire et de la culture et de leur héritage dans le contenu éducatif. L’</w:t>
      </w:r>
      <w:bookmarkStart w:id="1" w:name="_Int_t4vsFtlr"/>
      <w:r>
        <w:t xml:space="preserve">objectif </w:t>
      </w:r>
      <w:bookmarkEnd w:id="1"/>
      <w:r>
        <w:t>est d’apporter un changement dans la transmission de la culture en classe afin de rétablir l’héritage culturel et historique des femmes et de promouvoir des modèles féminins, contribuant ainsi à l’élimination des inégalités entre les hommes et les femmes dès l’école.</w:t>
      </w:r>
    </w:p>
    <w:p w14:paraId="396C71F5" w14:textId="77777777" w:rsidR="00667482" w:rsidRDefault="00667482" w:rsidP="00667482">
      <w:pPr>
        <w:tabs>
          <w:tab w:val="left" w:pos="720"/>
        </w:tabs>
        <w:spacing w:after="120"/>
        <w:rPr>
          <w:rFonts w:ascii="Times New Roman" w:hAnsi="Times New Roman"/>
          <w:color w:val="000000" w:themeColor="text1"/>
          <w:szCs w:val="24"/>
        </w:rPr>
      </w:pPr>
      <w:r>
        <w:rPr>
          <w:rFonts w:ascii="Times New Roman" w:hAnsi="Times New Roman"/>
        </w:rPr>
        <w:t>La Commission partage l’avis du Parlement européen, qui souligne l’importance fondamentale de la culture pour le développement de l’identité propre des enfants et des jeunes, ainsi que pour leur éducation, et notamment leur compréhension de la société, et pour leur bien-être général (</w:t>
      </w:r>
      <w:r>
        <w:rPr>
          <w:rFonts w:ascii="Times New Roman" w:hAnsi="Times New Roman"/>
          <w:b/>
        </w:rPr>
        <w:t>paragraphe 22</w:t>
      </w:r>
      <w:r>
        <w:rPr>
          <w:rFonts w:ascii="Times New Roman" w:hAnsi="Times New Roman"/>
        </w:rPr>
        <w:t>). En ce qui concerne la nécessité d’inclure et de développer toutes les formes d’expression artistique (</w:t>
      </w:r>
      <w:r>
        <w:rPr>
          <w:rFonts w:ascii="Times New Roman" w:hAnsi="Times New Roman"/>
          <w:b/>
        </w:rPr>
        <w:t>paragraphe 23</w:t>
      </w:r>
      <w:r>
        <w:rPr>
          <w:rFonts w:ascii="Times New Roman" w:hAnsi="Times New Roman"/>
        </w:rPr>
        <w:t>), la Commission partage l’avis du Parlement européen et souligne que le renforcement de la liberté d’expression artistique et de la créativité devrait être un objectif stratégique clé à long terme dans la politique de l’éducation et dans les domaines d’action connexes.</w:t>
      </w:r>
    </w:p>
    <w:p w14:paraId="105C9A2D" w14:textId="77777777" w:rsidR="00667482" w:rsidRDefault="00667482" w:rsidP="00667482">
      <w:pPr>
        <w:tabs>
          <w:tab w:val="left" w:pos="720"/>
        </w:tabs>
        <w:spacing w:after="120"/>
        <w:rPr>
          <w:rFonts w:ascii="Times New Roman" w:hAnsi="Times New Roman"/>
          <w:szCs w:val="24"/>
        </w:rPr>
      </w:pPr>
      <w:r>
        <w:rPr>
          <w:rFonts w:ascii="Times New Roman" w:hAnsi="Times New Roman"/>
        </w:rPr>
        <w:t xml:space="preserve">Depuis 2018, le cadre de référence européen actualisé sur les compétences clés pour l’éducation et la formation tout au long de la vie comprend la </w:t>
      </w:r>
      <w:r>
        <w:rPr>
          <w:rFonts w:ascii="Times New Roman" w:hAnsi="Times New Roman"/>
          <w:b/>
        </w:rPr>
        <w:t>compétence clé n° 8 «Sensibilité et expression culturelles»</w:t>
      </w:r>
      <w:r>
        <w:rPr>
          <w:rFonts w:ascii="Times New Roman" w:hAnsi="Times New Roman"/>
        </w:rPr>
        <w:t>. Il s’agit de l’une des huit compétences clés que les États membres de l’UE sont censés intégrer dans leurs stratégies d’éducation et de formation tout au long de la vie.</w:t>
      </w:r>
    </w:p>
    <w:p w14:paraId="4B935F7A" w14:textId="77777777" w:rsidR="00667482" w:rsidRDefault="00667482" w:rsidP="00667482">
      <w:pPr>
        <w:spacing w:after="120"/>
        <w:rPr>
          <w:rFonts w:ascii="Times New Roman" w:hAnsi="Times New Roman"/>
          <w:sz w:val="28"/>
          <w:szCs w:val="28"/>
        </w:rPr>
      </w:pPr>
      <w:r>
        <w:rPr>
          <w:rFonts w:ascii="Times New Roman" w:hAnsi="Times New Roman"/>
        </w:rPr>
        <w:t>Toutefois, l’effet de levier de l’orientation des politiques au niveau européen est limité. Dès 2008, dans le cadre de la mise en œuvre de l’agenda européen de la culture, le Conseil des ministres de la culture a créé un groupe de travail sur l’apprentissage par les pairs composé d’experts des États membres, chargé de développer des synergies entre l’éducation et la culture, notamment grâce à l’éducation artistique. Dans son rapport final publié en 2010, ce groupe de travail sur la méthode ouverte de coordination (composé d’experts de 27 pays) a recensé les meilleures politiques et pratiques et a formulé des recommandations de mesures spécifiques à l’intention des États membres et de la Commission.</w:t>
      </w:r>
    </w:p>
    <w:p w14:paraId="6FC2AED3" w14:textId="77777777" w:rsidR="00667482" w:rsidRDefault="00667482" w:rsidP="00667482">
      <w:pPr>
        <w:spacing w:after="120"/>
        <w:rPr>
          <w:rFonts w:ascii="Times New Roman" w:hAnsi="Times New Roman"/>
          <w:sz w:val="28"/>
          <w:szCs w:val="28"/>
        </w:rPr>
      </w:pPr>
      <w:r>
        <w:rPr>
          <w:rFonts w:ascii="Times New Roman" w:hAnsi="Times New Roman"/>
        </w:rPr>
        <w:t>Dans le cadre de la mise en œuvre du plan de travail 2011-2014 en faveur de la culture, la Commission (à la demande du Conseil) a mis en place un groupe de travail d’apprentissage entre pairs, institué dans le cadre de la méthode ouverte de coordination, sur les «partenariats créatifs», c’est-à-dire des partenariats entre les institutions culturelles et d’autres secteurs (tels que l’éducation, la formation, les entreprises, la gestion, la recherche, l’agriculture, le secteur social, le secteur public). Le groupe a recensé des partenariats et des pratiques couronnés de succès et a mis en évidence leurs effets positifs. La Commission a publié le «Guide stratégique sur la promotion des partenariats créatifs» du groupe de travail en mars 2014.</w:t>
      </w:r>
    </w:p>
    <w:p w14:paraId="1AB9B6E3" w14:textId="77777777" w:rsidR="00667482" w:rsidRDefault="00667482" w:rsidP="00667482">
      <w:pPr>
        <w:tabs>
          <w:tab w:val="left" w:pos="720"/>
        </w:tabs>
        <w:spacing w:after="120"/>
        <w:rPr>
          <w:rFonts w:ascii="Times New Roman" w:hAnsi="Times New Roman"/>
          <w:sz w:val="28"/>
          <w:szCs w:val="28"/>
        </w:rPr>
      </w:pPr>
      <w:r>
        <w:rPr>
          <w:rFonts w:ascii="Times New Roman" w:hAnsi="Times New Roman"/>
        </w:rPr>
        <w:t>Dans le cadre de la mise en œuvre du plan de travail 2015-2018 en faveur de la culture, la Commission a créé un autre groupe de travail d’apprentissage par les pairs composé d’experts des États membres. Le «Manuel sur la sensibilité et l’expression culturelles» du groupe de travail a été publié en décembre 2015.</w:t>
      </w:r>
    </w:p>
    <w:p w14:paraId="61A9DB09" w14:textId="77777777" w:rsidR="00667482" w:rsidRPr="00631E1B" w:rsidRDefault="00667482" w:rsidP="00667482">
      <w:pPr>
        <w:tabs>
          <w:tab w:val="left" w:pos="720"/>
        </w:tabs>
        <w:spacing w:after="120"/>
        <w:rPr>
          <w:rFonts w:ascii="Times New Roman" w:hAnsi="Times New Roman"/>
          <w:szCs w:val="24"/>
        </w:rPr>
      </w:pPr>
      <w:r>
        <w:rPr>
          <w:rFonts w:ascii="Times New Roman" w:hAnsi="Times New Roman"/>
        </w:rPr>
        <w:t>La Commission supervise la mise en œuvre de l’action préparatoire «CultureForHealth», mise en œuvre par un consortium dirigé par Culture Action Europe. La santé mentale et sociale et le bien-être sont l’un des principaux thèmes abordés. Un atelier retransmis en ligne aura lieu le 16 novembre au Parlement européen sur le thème «Culture et créativité pour la santé mentale et le bien-être», coprésidé par Mariya Gabriel, commissaire européenne chargée de l’innovation, de la recherche, de la culture, de l’éducation et de la jeunesse, et Sabine Verheyen, présidente de la commission de la culture et de l’éducation.</w:t>
      </w:r>
    </w:p>
    <w:p w14:paraId="4C44C76E" w14:textId="77777777" w:rsidR="00667482" w:rsidRPr="00631E1B" w:rsidRDefault="00667482" w:rsidP="00667482">
      <w:pPr>
        <w:tabs>
          <w:tab w:val="left" w:pos="720"/>
        </w:tabs>
        <w:spacing w:after="120"/>
        <w:rPr>
          <w:rFonts w:ascii="Times New Roman" w:hAnsi="Times New Roman"/>
          <w:szCs w:val="24"/>
        </w:rPr>
      </w:pPr>
      <w:r>
        <w:rPr>
          <w:rFonts w:ascii="Times New Roman" w:hAnsi="Times New Roman"/>
        </w:rPr>
        <w:lastRenderedPageBreak/>
        <w:t>Les «Voix de la culture» sont le dialogue structuré de la Commission européenne avec la société civile. Un groupe «Voix de la culture» sur la jeunesse, la santé mentale et la culture a commencé à travailler le 4 octobre; un rapport devrait être disponible début 2023.</w:t>
      </w:r>
    </w:p>
    <w:p w14:paraId="05A394AA" w14:textId="77777777" w:rsidR="00667482" w:rsidRPr="00631E1B" w:rsidRDefault="00667482" w:rsidP="00667482">
      <w:pPr>
        <w:tabs>
          <w:tab w:val="left" w:pos="720"/>
        </w:tabs>
        <w:spacing w:after="120"/>
        <w:rPr>
          <w:rFonts w:ascii="Times New Roman" w:hAnsi="Times New Roman"/>
          <w:szCs w:val="24"/>
        </w:rPr>
      </w:pPr>
      <w:r>
        <w:rPr>
          <w:rFonts w:ascii="Times New Roman" w:hAnsi="Times New Roman"/>
        </w:rPr>
        <w:t>En ce qui concerne la nécessité d’accélérer la numérisation des ressources culturelles et patrimoniales, ainsi que des bibliothèques audiovisuelles, et d’introduire des systèmes de rabais donnant un accès universel aux ressources culturelles (</w:t>
      </w:r>
      <w:r>
        <w:rPr>
          <w:rFonts w:ascii="Times New Roman" w:hAnsi="Times New Roman"/>
          <w:b/>
        </w:rPr>
        <w:t>paragraphe 34</w:t>
      </w:r>
      <w:r>
        <w:rPr>
          <w:rFonts w:ascii="Times New Roman" w:hAnsi="Times New Roman"/>
        </w:rPr>
        <w:t xml:space="preserve">), une nouvelle initiative stratégique a été envisagée par la Commission dans le cadre du domaine d’intervention du pôle 2 d’Horizon Europe pour le patrimoine culturel et les industries culturelles et créatives. Il vise à soutenir les professionnels du patrimoine culturel au sens large et leurs besoins essentiels liés aux fonctions et technologies émergentes pour faire face à la transition numérique des musées et des institutions du patrimoine culturel. </w:t>
      </w:r>
    </w:p>
    <w:p w14:paraId="6F8AFF18" w14:textId="77777777" w:rsidR="00667482" w:rsidRPr="00631E1B" w:rsidRDefault="00667482" w:rsidP="00667482">
      <w:pPr>
        <w:spacing w:after="120"/>
        <w:rPr>
          <w:rFonts w:ascii="Times New Roman" w:hAnsi="Times New Roman"/>
          <w:sz w:val="28"/>
          <w:szCs w:val="28"/>
        </w:rPr>
      </w:pPr>
      <w:r>
        <w:rPr>
          <w:rFonts w:ascii="Times New Roman" w:hAnsi="Times New Roman"/>
        </w:rPr>
        <w:t>D’autres programmes ont été et seront mis en œuvre afin d’accélérer ce processus.</w:t>
      </w:r>
    </w:p>
    <w:p w14:paraId="4269248B" w14:textId="77777777" w:rsidR="00667482" w:rsidRPr="006D72B3" w:rsidRDefault="00667482" w:rsidP="00667482">
      <w:pPr>
        <w:pStyle w:val="ListParagraph"/>
        <w:numPr>
          <w:ilvl w:val="0"/>
          <w:numId w:val="3"/>
        </w:numPr>
        <w:spacing w:after="120"/>
        <w:ind w:left="714" w:hanging="357"/>
        <w:contextualSpacing w:val="0"/>
        <w:rPr>
          <w:szCs w:val="24"/>
        </w:rPr>
      </w:pPr>
      <w:r>
        <w:t>Le nouveau programme de travail 2023-2024 du programme Horizon Europe comprendra la mise en place d’un nuage collaboratif européen pour le patrimoine culturel, un espace collaboratif grâce à des techniques de numérisation de pointe destiné aux universitaires, aux curateurs, aux archivistes et aux conservateurs du patrimoine culturel de toute l’Europe. Il facilitera l’accès aux technologies de pointe et visera à supprimer les obstacles pour les institutions culturelles éloignées et de petite taille. Le nuage mettra au point des outils permettant de numériser les objets, d’étudier les œuvres d’art et de mieux documenter et interpréter les données, ce qui améliorera les procédures de préservation, de conservation et de restauration ainsi que la promotion et l’amélioration du patrimoine culturel.</w:t>
      </w:r>
    </w:p>
    <w:p w14:paraId="56ABC6D4" w14:textId="77777777" w:rsidR="00667482" w:rsidRPr="006D72B3" w:rsidRDefault="00667482" w:rsidP="00667482">
      <w:pPr>
        <w:pStyle w:val="ListParagraph"/>
        <w:numPr>
          <w:ilvl w:val="0"/>
          <w:numId w:val="3"/>
        </w:numPr>
        <w:spacing w:after="120"/>
        <w:ind w:left="714" w:hanging="357"/>
        <w:contextualSpacing w:val="0"/>
        <w:rPr>
          <w:szCs w:val="24"/>
        </w:rPr>
      </w:pPr>
      <w:r>
        <w:t>La Commission supervise les projets liés à la numérisation du patrimoine culturel. En janvier 2021, le centre de compétences européen chargé de préserver et de conserver le patrimoine culturel européen a été lancé pour une période de trois ans, avec le soutien du programme Horizon 2020. Le centre de compétences mettra en place un espace numérique collaboratif pour la conservation du patrimoine culturel et donnera accès à des répertoires de données, métadonnées, normes et lignes directrices.</w:t>
      </w:r>
    </w:p>
    <w:p w14:paraId="16F7A728" w14:textId="77777777" w:rsidR="00667482" w:rsidRDefault="00667482" w:rsidP="00667482">
      <w:pPr>
        <w:spacing w:after="120"/>
        <w:rPr>
          <w:rFonts w:ascii="Times New Roman" w:hAnsi="Times New Roman"/>
          <w:szCs w:val="24"/>
        </w:rPr>
      </w:pPr>
      <w:r>
        <w:rPr>
          <w:rFonts w:ascii="Times New Roman" w:hAnsi="Times New Roman"/>
        </w:rPr>
        <w:t>En outre, en novembre 2021, la Commission européenne a publié une recommandation relative à un espace européen commun des données pour le patrimoine culturel afin d’accélérer la numérisation de tous les monuments et sites, objets et artéfacts du patrimoine culturel pour les générations futures, de protéger et de préserver les plus fragiles d’entre eux et de stimuler leur réutilisation dans des domaines tels que l’éducation, le tourisme durable et les secteurs de la création culturelle. Europeana, la plateforme culturelle numérique européenne, sera à la base de la mise en place de l’espace commun des données pour le patrimoine culturel. Il permettra aux musées, galeries, bibliothèques et archives de toute l’Europe de partager et de réutiliser les images numérisées du patrimoine culturel, telles que les modèles en 3D de sites historiques et les scans de haute qualité de peintures. En ce qui concerne l’appel lancé à la Commission en vue d’améliorer l’accès aux infrastructures numériques, aux quartiers sensibles et aux plateformes éducatives à but non lucratif (</w:t>
      </w:r>
      <w:r>
        <w:rPr>
          <w:rFonts w:ascii="Times New Roman" w:hAnsi="Times New Roman"/>
          <w:b/>
        </w:rPr>
        <w:t>paragraphe 28</w:t>
      </w:r>
      <w:r>
        <w:rPr>
          <w:rFonts w:ascii="Times New Roman" w:hAnsi="Times New Roman"/>
        </w:rPr>
        <w:t xml:space="preserve">), il importe de souligner que la Commission s’est employée à réduire la fracture numérique sur le plan des infrastructures, de la connectivité et des outils numériques au moyen de ses programmes de financement, tels que la facilité pour la reprise et la résilience, les fonds structurels et le mécanisme pour l’interconnexion en Europe, où l’éducation est un domaine prioritaire dans les appels à la 5G. En outre, la future proposition de </w:t>
      </w:r>
      <w:r>
        <w:rPr>
          <w:rFonts w:ascii="Times New Roman" w:hAnsi="Times New Roman"/>
        </w:rPr>
        <w:lastRenderedPageBreak/>
        <w:t>recommandation du Conseil relative aux facteurs favorisant l’éducation numérique, qui sera présentée par la Commission, sera axée sur l’investissement, le renforcement des capacités et l’utilisation réussie des technologies numériques dans l’éducation et la formation formelles. Elle s’efforcera de combler les lacunes dans la fourniture de connectivité et d’équipements ainsi que dans les fractures urbaines qui en découlent. La Commission a également mis à la disposition des écoles les outils d’autoévaluation en ligne gratuits SELFIE, qui permettent à toutes les écoles d’évaluer et d’améliorer la manière dont elles utilisent les technologies numériques pour aider les enseignants à réviser et à développer leurs compétences numériques. La Commission continue de financer et de renforcer les plateformes éducatives telles que EPALE (</w:t>
      </w:r>
      <w:r>
        <w:rPr>
          <w:rFonts w:ascii="Times New Roman" w:hAnsi="Times New Roman"/>
          <w:i/>
          <w:iCs/>
        </w:rPr>
        <w:t>Electronic Platform for Adult Learning in Europe</w:t>
      </w:r>
      <w:r>
        <w:rPr>
          <w:rFonts w:ascii="Times New Roman" w:hAnsi="Times New Roman"/>
        </w:rPr>
        <w:t>, plateforme électronique pour l’éducation des adultes en Europe), eTwinning et le portail School Education Gateway (ces deux derniers ont été fusionnés dans la plateforme européenne pour l’éducation scolaire en octobre 2022). Par exemple, l’offre d’outils tels que la recherche de partenaires à l’appui du programme Erasmus+ est améliorée pour répondre aux attentes des utilisateurs.</w:t>
      </w:r>
    </w:p>
    <w:p w14:paraId="35D471D7" w14:textId="77777777" w:rsidR="00667482" w:rsidRDefault="00667482" w:rsidP="00667482">
      <w:pPr>
        <w:spacing w:after="120"/>
      </w:pPr>
      <w:r>
        <w:rPr>
          <w:rFonts w:ascii="Times New Roman" w:hAnsi="Times New Roman"/>
        </w:rPr>
        <w:t>En ce qui concerne l’amélioration de la culture numérique et la lutte contre l’exclusion numérique (</w:t>
      </w:r>
      <w:r>
        <w:rPr>
          <w:rFonts w:ascii="Times New Roman" w:hAnsi="Times New Roman"/>
          <w:b/>
        </w:rPr>
        <w:t>paragraphe 29</w:t>
      </w:r>
      <w:r>
        <w:rPr>
          <w:rFonts w:ascii="Times New Roman" w:hAnsi="Times New Roman"/>
        </w:rPr>
        <w:t>), la Commission reconnaît qu’il est essentiel de promouvoir l’habileté numérique chez les jeunes afin de veiller à ce qu’ils soient des citoyens bien informés, critiques et autonomes à l’ère du numérique. Le 11 octobre, la Commission a publié des lignes directrices pour lutter contre la désinformation et promouvoir l’habileté numérique par l’éducation et la formation, dans le but d’aider les enseignants à s’attaquer à ces problèmes en classe. Il s’agit notamment de lutter contre les menaces en ligne telles que la désinformation, les trucages vidéo ultra-réalistes et les théories du complot. En outre, Erasmus+ soutient régulièrement des projets de terrain dans ce domaine. De manière plus générale, en 2023, la Commission proposera une recommandation du Conseil relative à l’amélioration de l’acquisition de compétences numériques dans le domaine de l’éducation, qui définira ce qui est nécessaire pour promouvoir les compétences numériques à un stade précoce et à tous les stades de l’éducation et de la formation.</w:t>
      </w:r>
    </w:p>
    <w:p w14:paraId="32200372" w14:textId="77777777" w:rsidR="00667482" w:rsidRDefault="00667482" w:rsidP="00667482">
      <w:pPr>
        <w:spacing w:after="120"/>
      </w:pPr>
      <w:r>
        <w:rPr>
          <w:rFonts w:ascii="Times New Roman" w:hAnsi="Times New Roman"/>
        </w:rPr>
        <w:t>La Commission convient également que l’égalité d’accès aux infrastructures numériques, aux compétences numériques et aux ressources et outils de qualité est essentielle pour permettre une éducation et une formation numériques inclusives et accessibles (</w:t>
      </w:r>
      <w:r>
        <w:rPr>
          <w:rFonts w:ascii="Times New Roman" w:hAnsi="Times New Roman"/>
          <w:b/>
        </w:rPr>
        <w:t>paragraphe 30</w:t>
      </w:r>
      <w:r>
        <w:rPr>
          <w:rFonts w:ascii="Times New Roman" w:hAnsi="Times New Roman"/>
        </w:rPr>
        <w:t>). En tant que tel, le plan d’action en matière d’éducation numérique (2021-2027) comprend une approche globale et aborde les «éléments constitutifs» nécessaires pour fournir une expérience d’apprentissage numérique véritablement inclusive (par exemple, l’infrastructure, la connectivité, l’accessibilité et les technologies d’assistance et les contenus éducatifs numériques) ainsi que la dimension tout aussi importante des compétences [par exemple, l’habileté numérique, la pensée computationnelle, les sciences, les technologies, l’ingénierie et les mathématiques (STIM)].</w:t>
      </w:r>
    </w:p>
    <w:p w14:paraId="11310B0D" w14:textId="77777777" w:rsidR="00667482" w:rsidRDefault="00667482" w:rsidP="00667482">
      <w:pPr>
        <w:spacing w:after="120"/>
      </w:pPr>
      <w:r>
        <w:rPr>
          <w:rFonts w:ascii="Times New Roman" w:hAnsi="Times New Roman"/>
        </w:rPr>
        <w:t>En ce qui concerne l’appel à faire en sorte que les jeunes utilisent l’internet de manière sûre et appropriée (</w:t>
      </w:r>
      <w:r>
        <w:rPr>
          <w:rFonts w:ascii="Times New Roman" w:hAnsi="Times New Roman"/>
          <w:b/>
        </w:rPr>
        <w:t>paragraphe 37</w:t>
      </w:r>
      <w:r>
        <w:rPr>
          <w:rFonts w:ascii="Times New Roman" w:hAnsi="Times New Roman"/>
        </w:rPr>
        <w:t xml:space="preserve">), la Commission est fermement convaincue que la sécurité des jeunes en ligne est une priorité essentielle. En outre, le cadre des compétences numériques pour les citoyens récemment mis à jour (DigComp 2.2) comprend une compétence spécifique en matière de protection de soi-même et d’autrui contre d’éventuels dangers dans les environnements numériques, y compris le cyberharcèlement. Enfin, les lignes d’assistance téléphonique du réseau européen des centres pour un internet plus sûr fournit des informations, des conseils et une assistance aux enfants, aux jeunes et aux parents sur la manière de traiter les </w:t>
      </w:r>
      <w:r>
        <w:rPr>
          <w:rFonts w:ascii="Times New Roman" w:hAnsi="Times New Roman"/>
        </w:rPr>
        <w:lastRenderedPageBreak/>
        <w:t>problèmes liés à la santé mentale et au bien-être, y compris la lutte contre les contenus préjudiciables en ligne, les contacts nuisibles et les comportements préjudiciables.</w:t>
      </w:r>
    </w:p>
    <w:sectPr w:rsidR="0066748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1C29" w16cex:dateUtc="2022-10-18T10:35:00Z"/>
  <w16cex:commentExtensible w16cex:durableId="26F91C4C" w16cex:dateUtc="2022-10-18T10:36:00Z"/>
  <w16cex:commentExtensible w16cex:durableId="26F91C6C" w16cex:dateUtc="2022-10-18T10:37:00Z"/>
  <w16cex:commentExtensible w16cex:durableId="26F91C9B" w16cex:dateUtc="2022-10-18T10:37:00Z"/>
  <w16cex:commentExtensible w16cex:durableId="26F91CAD" w16cex:dateUtc="2022-10-18T10:38:00Z"/>
  <w16cex:commentExtensible w16cex:durableId="26F91CF8" w16cex:dateUtc="2022-10-18T10:39:00Z"/>
  <w16cex:commentExtensible w16cex:durableId="26F91DB7" w16cex:dateUtc="2022-10-18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B1B098" w16cid:durableId="26F91C29"/>
  <w16cid:commentId w16cid:paraId="41F24001" w16cid:durableId="26F91C4C"/>
  <w16cid:commentId w16cid:paraId="73DD6548" w16cid:durableId="26F91C6C"/>
  <w16cid:commentId w16cid:paraId="1C3C0698" w16cid:durableId="26F91C9B"/>
  <w16cid:commentId w16cid:paraId="0BD6FCA3" w16cid:durableId="26F91CAD"/>
  <w16cid:commentId w16cid:paraId="4E4903C2" w16cid:durableId="26F91CF8"/>
  <w16cid:commentId w16cid:paraId="226EB752" w16cid:durableId="26F91D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6A02B" w14:textId="77777777" w:rsidR="00F0346A" w:rsidRDefault="00F0346A" w:rsidP="00B53E1E">
      <w:pPr>
        <w:spacing w:after="0"/>
      </w:pPr>
      <w:r>
        <w:separator/>
      </w:r>
    </w:p>
  </w:endnote>
  <w:endnote w:type="continuationSeparator" w:id="0">
    <w:p w14:paraId="5D5B15F8" w14:textId="77777777" w:rsidR="00F0346A" w:rsidRDefault="00F0346A" w:rsidP="00B53E1E">
      <w:pPr>
        <w:spacing w:after="0"/>
      </w:pPr>
      <w:r>
        <w:continuationSeparator/>
      </w:r>
    </w:p>
  </w:endnote>
  <w:endnote w:type="continuationNotice" w:id="1">
    <w:p w14:paraId="1F0BB3E9" w14:textId="77777777" w:rsidR="00F0346A" w:rsidRDefault="00F034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ot;Times New Roman&quot;,serif">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4816E" w14:textId="77777777" w:rsidR="004608BF" w:rsidRDefault="00460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989833"/>
      <w:docPartObj>
        <w:docPartGallery w:val="Page Numbers (Bottom of Page)"/>
        <w:docPartUnique/>
      </w:docPartObj>
    </w:sdtPr>
    <w:sdtEndPr>
      <w:rPr>
        <w:rFonts w:ascii="Times New Roman" w:hAnsi="Times New Roman"/>
        <w:noProof/>
        <w:sz w:val="20"/>
      </w:rPr>
    </w:sdtEndPr>
    <w:sdtContent>
      <w:p w14:paraId="01765DC1" w14:textId="6235FC02" w:rsidR="004608BF" w:rsidRPr="00667482" w:rsidRDefault="004608BF">
        <w:pPr>
          <w:pStyle w:val="Footer"/>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F73A71">
          <w:rPr>
            <w:rFonts w:ascii="Times New Roman" w:hAnsi="Times New Roman"/>
            <w:noProof/>
            <w:sz w:val="20"/>
          </w:rPr>
          <w:t>1</w:t>
        </w:r>
        <w:r>
          <w:rPr>
            <w:rFonts w:ascii="Times New Roman" w:hAnsi="Times New Roman"/>
            <w:sz w:val="20"/>
          </w:rPr>
          <w:fldChar w:fldCharType="end"/>
        </w:r>
      </w:p>
    </w:sdtContent>
  </w:sdt>
  <w:p w14:paraId="154918BB" w14:textId="77777777" w:rsidR="004608BF" w:rsidRDefault="00460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5915D" w14:textId="77777777" w:rsidR="004608BF" w:rsidRDefault="00460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C5E7E" w14:textId="77777777" w:rsidR="00F0346A" w:rsidRDefault="00F0346A" w:rsidP="00B53E1E">
      <w:pPr>
        <w:spacing w:after="0"/>
      </w:pPr>
      <w:r>
        <w:separator/>
      </w:r>
    </w:p>
  </w:footnote>
  <w:footnote w:type="continuationSeparator" w:id="0">
    <w:p w14:paraId="39C3BD8A" w14:textId="77777777" w:rsidR="00F0346A" w:rsidRDefault="00F0346A" w:rsidP="00B53E1E">
      <w:pPr>
        <w:spacing w:after="0"/>
      </w:pPr>
      <w:r>
        <w:continuationSeparator/>
      </w:r>
    </w:p>
  </w:footnote>
  <w:footnote w:type="continuationNotice" w:id="1">
    <w:p w14:paraId="510FCD37" w14:textId="77777777" w:rsidR="00F0346A" w:rsidRDefault="00F0346A">
      <w:pPr>
        <w:spacing w:after="0"/>
      </w:pPr>
    </w:p>
  </w:footnote>
  <w:footnote w:id="2">
    <w:p w14:paraId="2181B503" w14:textId="77777777" w:rsidR="00667482" w:rsidRPr="007545EA" w:rsidRDefault="00667482" w:rsidP="00667482">
      <w:pPr>
        <w:pStyle w:val="FootnoteText"/>
        <w:ind w:left="357" w:hanging="357"/>
      </w:pPr>
      <w:r>
        <w:rPr>
          <w:rStyle w:val="FootnoteReference"/>
        </w:rPr>
        <w:footnoteRef/>
      </w:r>
      <w:r>
        <w:tab/>
      </w:r>
      <w:r>
        <w:rPr>
          <w:rFonts w:ascii="Times New Roman" w:hAnsi="Times New Roman"/>
        </w:rPr>
        <w:t xml:space="preserve">Recommandation du Conseil sur l’apprentissage mixte pour une éducation primaire et secondaire inclusive et de haute qualité: </w:t>
      </w:r>
      <w:hyperlink r:id="rId1" w:history="1">
        <w:r>
          <w:rPr>
            <w:rStyle w:val="Hyperlink"/>
            <w:rFonts w:ascii="Times New Roman" w:hAnsi="Times New Roman"/>
          </w:rPr>
          <w:t>https://eur-lex.europa.eu/legal-content/FR/TXT/?uri=CELEX%3A32021H1214%2801%29</w:t>
        </w:r>
      </w:hyperlink>
    </w:p>
  </w:footnote>
  <w:footnote w:id="3">
    <w:p w14:paraId="0809EBEA" w14:textId="77777777" w:rsidR="00667482" w:rsidRPr="00607E0B" w:rsidRDefault="00667482" w:rsidP="00667482">
      <w:pPr>
        <w:pStyle w:val="FootnoteText"/>
        <w:ind w:left="357" w:hanging="357"/>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Pour de plus amples informations sur les mesures proposées en matière de bien-être et de santé mentale, veuillez consulter l’annexe de la proposition de recommandation du Conseil concernant l’initiative «Passeport pour la réussite scolaire».</w:t>
      </w:r>
    </w:p>
  </w:footnote>
  <w:footnote w:id="4">
    <w:p w14:paraId="7FAC2FD8" w14:textId="77777777" w:rsidR="00667482" w:rsidRPr="00607E0B" w:rsidRDefault="00667482" w:rsidP="00667482">
      <w:pPr>
        <w:pStyle w:val="FootnoteText"/>
        <w:ind w:left="357" w:hanging="357"/>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hyperlink r:id="rId2" w:history="1">
        <w:r>
          <w:rPr>
            <w:rStyle w:val="Hyperlink"/>
            <w:rFonts w:ascii="Times New Roman" w:hAnsi="Times New Roman"/>
          </w:rPr>
          <w:t>A systemic, whole-school approach to mental health and well-being in schools Une approche systémique et globale de la santé mentale et du bien-être dans les écoles de l’UE (nesetweb.eu)</w:t>
        </w:r>
      </w:hyperlink>
    </w:p>
  </w:footnote>
  <w:footnote w:id="5">
    <w:p w14:paraId="0BB46862" w14:textId="77777777" w:rsidR="00667482" w:rsidRPr="003C7A79" w:rsidRDefault="00667482" w:rsidP="00667482">
      <w:pPr>
        <w:pStyle w:val="FootnoteText"/>
        <w:ind w:left="357" w:hanging="357"/>
      </w:pPr>
      <w:r>
        <w:rPr>
          <w:rStyle w:val="FootnoteReference"/>
          <w:rFonts w:ascii="Times New Roman" w:hAnsi="Times New Roman"/>
        </w:rPr>
        <w:footnoteRef/>
      </w:r>
      <w:r>
        <w:rPr>
          <w:rFonts w:ascii="Times New Roman" w:hAnsi="Times New Roman"/>
        </w:rPr>
        <w:t xml:space="preserve"> </w:t>
      </w:r>
      <w:r>
        <w:tab/>
      </w:r>
      <w:hyperlink r:id="rId3" w:history="1">
        <w:r>
          <w:rPr>
            <w:rStyle w:val="Hyperlink"/>
            <w:rFonts w:ascii="Times New Roman" w:hAnsi="Times New Roman"/>
          </w:rPr>
          <w:t>Améliorer la santé ensemble — initiative de l’UE sur les maladies non transmissibles (europa.eu)</w:t>
        </w:r>
      </w:hyperlink>
    </w:p>
  </w:footnote>
  <w:footnote w:id="6">
    <w:p w14:paraId="23153545" w14:textId="77777777" w:rsidR="00667482" w:rsidRPr="00F73A71" w:rsidRDefault="00667482" w:rsidP="00667482">
      <w:pPr>
        <w:pStyle w:val="FootnoteText"/>
        <w:ind w:left="357" w:hanging="357"/>
        <w:rPr>
          <w:rFonts w:ascii="Times New Roman" w:hAnsi="Times New Roman"/>
          <w:lang w:val="en-US"/>
        </w:rPr>
      </w:pPr>
      <w:r>
        <w:rPr>
          <w:rStyle w:val="FootnoteReference"/>
        </w:rPr>
        <w:footnoteRef/>
      </w:r>
      <w:r w:rsidRPr="00F73A71">
        <w:rPr>
          <w:lang w:val="en-US"/>
        </w:rPr>
        <w:t xml:space="preserve"> </w:t>
      </w:r>
      <w:r w:rsidRPr="00F73A71">
        <w:rPr>
          <w:lang w:val="en-US"/>
        </w:rPr>
        <w:tab/>
      </w:r>
      <w:hyperlink r:id="rId4" w:anchor=":~:text=The%20COVID%2D19%20pandemic%20has,have%20heavily%20disrupted%20interpersonal%20relations." w:history="1">
        <w:r w:rsidRPr="00F73A71">
          <w:rPr>
            <w:rStyle w:val="Hyperlink"/>
            <w:rFonts w:ascii="Times New Roman" w:hAnsi="Times New Roman"/>
            <w:lang w:val="en-US"/>
          </w:rPr>
          <w:t>The impact of the Covid-19 pandemic on the mental health of young people |</w:t>
        </w:r>
      </w:hyperlink>
      <w:hyperlink r:id="rId5" w:anchor=":~:text=The%20COVID%2D19%20pandemic%20has,have%20heavily%20disrupted%20interpersonal%20relations." w:history="1">
        <w:r w:rsidRPr="00F73A71">
          <w:rPr>
            <w:rStyle w:val="Hyperlink"/>
            <w:rFonts w:ascii="Times New Roman" w:hAnsi="Times New Roman"/>
            <w:lang w:val="en-US"/>
          </w:rPr>
          <w:t xml:space="preserve"> YouthWiki (europa.eu)</w:t>
        </w:r>
      </w:hyperlink>
    </w:p>
  </w:footnote>
  <w:footnote w:id="7">
    <w:p w14:paraId="7FA95E58" w14:textId="77777777" w:rsidR="00667482" w:rsidRPr="00607E0B" w:rsidRDefault="00667482" w:rsidP="00667482">
      <w:pPr>
        <w:pStyle w:val="FootnoteText"/>
        <w:ind w:left="357" w:hanging="357"/>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hyperlink r:id="rId6" w:history="1">
        <w:r>
          <w:rPr>
            <w:rStyle w:val="Hyperlink"/>
            <w:rFonts w:ascii="Times New Roman" w:hAnsi="Times New Roman"/>
          </w:rPr>
          <w:t>Rapport de suivi de l’éducation et de la formation 2021 (europa.eu)</w:t>
        </w:r>
      </w:hyperlink>
    </w:p>
  </w:footnote>
  <w:footnote w:id="8">
    <w:p w14:paraId="1F9564B6" w14:textId="77777777" w:rsidR="00667482" w:rsidRPr="00F73A71" w:rsidRDefault="00667482" w:rsidP="00667482">
      <w:pPr>
        <w:pStyle w:val="FootnoteText"/>
        <w:ind w:left="357" w:hanging="357"/>
        <w:rPr>
          <w:lang w:val="en-US"/>
        </w:rPr>
      </w:pPr>
      <w:r>
        <w:rPr>
          <w:rStyle w:val="FootnoteReference"/>
          <w:rFonts w:ascii="Times New Roman" w:hAnsi="Times New Roman"/>
        </w:rPr>
        <w:footnoteRef/>
      </w:r>
      <w:r w:rsidRPr="00F73A71">
        <w:rPr>
          <w:rFonts w:ascii="Times New Roman" w:hAnsi="Times New Roman"/>
          <w:lang w:val="en-US"/>
        </w:rPr>
        <w:t xml:space="preserve"> </w:t>
      </w:r>
      <w:r w:rsidRPr="00F73A71">
        <w:rPr>
          <w:lang w:val="en-US"/>
        </w:rPr>
        <w:tab/>
      </w:r>
      <w:hyperlink r:id="rId7" w:history="1">
        <w:r w:rsidRPr="00F73A71">
          <w:rPr>
            <w:rStyle w:val="Hyperlink"/>
            <w:rFonts w:ascii="Times New Roman" w:hAnsi="Times New Roman"/>
            <w:lang w:val="en-US"/>
          </w:rPr>
          <w:t>Impacts of COVID-19 on school education - Publications Office of the EU (europa.eu)</w:t>
        </w:r>
      </w:hyperlink>
    </w:p>
  </w:footnote>
  <w:footnote w:id="9">
    <w:p w14:paraId="41454EA4" w14:textId="77777777" w:rsidR="00667482" w:rsidRPr="00895860" w:rsidRDefault="00667482" w:rsidP="00667482">
      <w:pPr>
        <w:pStyle w:val="FootnoteText"/>
        <w:ind w:left="357" w:hanging="357"/>
        <w:rPr>
          <w:rFonts w:ascii="Times New Roman" w:hAnsi="Times New Roman"/>
        </w:rPr>
      </w:pPr>
      <w:r>
        <w:rPr>
          <w:rStyle w:val="FootnoteReference"/>
        </w:rPr>
        <w:footnoteRef/>
      </w:r>
      <w:r>
        <w:tab/>
      </w:r>
      <w:hyperlink r:id="rId8" w:anchor="/" w:history="1">
        <w:r>
          <w:rPr>
            <w:rStyle w:val="Hyperlink"/>
            <w:rFonts w:ascii="Times New Roman" w:hAnsi="Times New Roman"/>
          </w:rPr>
          <w:t>Année européenne de la jeunesse (europa.eu)</w:t>
        </w:r>
      </w:hyperlink>
    </w:p>
  </w:footnote>
  <w:footnote w:id="10">
    <w:p w14:paraId="1AE6D015" w14:textId="77777777" w:rsidR="00667482" w:rsidRPr="00BD6188" w:rsidRDefault="00667482" w:rsidP="00667482">
      <w:pPr>
        <w:pStyle w:val="FootnoteText"/>
        <w:ind w:left="357" w:hanging="357"/>
        <w:rPr>
          <w:rFonts w:ascii="Times New Roman" w:hAnsi="Times New Roman"/>
        </w:rPr>
      </w:pPr>
      <w:r>
        <w:rPr>
          <w:rStyle w:val="FootnoteReference"/>
        </w:rPr>
        <w:footnoteRef/>
      </w:r>
      <w:r>
        <w:tab/>
      </w:r>
      <w:hyperlink r:id="rId9" w:history="1">
        <w:r>
          <w:rPr>
            <w:rStyle w:val="Hyperlink"/>
            <w:rFonts w:ascii="Times New Roman" w:hAnsi="Times New Roman"/>
          </w:rPr>
          <w:t>SALTO-JEUNESSE — Erasmus+</w:t>
        </w:r>
      </w:hyperlink>
    </w:p>
  </w:footnote>
  <w:footnote w:id="11">
    <w:p w14:paraId="23C97BB0" w14:textId="77777777" w:rsidR="00667482" w:rsidRPr="00BD6188" w:rsidRDefault="00667482" w:rsidP="00667482">
      <w:pPr>
        <w:pStyle w:val="FootnoteText"/>
        <w:ind w:left="357" w:hanging="357"/>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La dénomination officielle de cette action préparatoire est «Élaboration à partir de la base d’actions pour la culture et le bien-être dans l’UE».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B3378" w14:textId="77777777" w:rsidR="004608BF" w:rsidRDefault="00460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DBE29" w14:textId="77777777" w:rsidR="004608BF" w:rsidRDefault="00460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B8C56" w14:textId="77777777" w:rsidR="004608BF" w:rsidRDefault="004608BF">
    <w:pPr>
      <w:pStyle w:val="Header"/>
    </w:pPr>
  </w:p>
</w:hdr>
</file>

<file path=word/intelligence2.xml><?xml version="1.0" encoding="utf-8"?>
<int2:intelligence xmlns:int2="http://schemas.microsoft.com/office/intelligence/2020/intelligence">
  <int2:observations>
    <int2:bookmark int2:bookmarkName="_Int_mki6H67v" int2:invalidationBookmarkName="" int2:hashCode="2NsFG74bPWqEVb" int2:id="OByw75XH"/>
    <int2:bookmark int2:bookmarkName="_Int_OVjMSWgt" int2:invalidationBookmarkName="" int2:hashCode="vqyerBzudMNbQg" int2:id="FDEKkbWf"/>
    <int2:bookmark int2:bookmarkName="_Int_t4vsFtlr" int2:invalidationBookmarkName="" int2:hashCode="HN54bxs7hYHd5K" int2:id="KZmjZuJD"/>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340E3"/>
    <w:multiLevelType w:val="hybridMultilevel"/>
    <w:tmpl w:val="EF4A96E0"/>
    <w:lvl w:ilvl="0" w:tplc="AD088BC6">
      <w:start w:val="1"/>
      <w:numFmt w:val="bullet"/>
      <w:lvlText w:val="-"/>
      <w:lvlJc w:val="left"/>
      <w:pPr>
        <w:ind w:left="720" w:hanging="360"/>
      </w:pPr>
      <w:rPr>
        <w:rFonts w:ascii="&quot;Times New Roman&quot;,serif" w:hAnsi="&quot;Times New Roman&quot;,serif" w:hint="default"/>
      </w:rPr>
    </w:lvl>
    <w:lvl w:ilvl="1" w:tplc="A4F6E996">
      <w:start w:val="1"/>
      <w:numFmt w:val="bullet"/>
      <w:lvlText w:val="o"/>
      <w:lvlJc w:val="left"/>
      <w:pPr>
        <w:ind w:left="1440" w:hanging="360"/>
      </w:pPr>
      <w:rPr>
        <w:rFonts w:ascii="Courier New" w:hAnsi="Courier New" w:hint="default"/>
      </w:rPr>
    </w:lvl>
    <w:lvl w:ilvl="2" w:tplc="BCDCF230">
      <w:start w:val="1"/>
      <w:numFmt w:val="bullet"/>
      <w:lvlText w:val=""/>
      <w:lvlJc w:val="left"/>
      <w:pPr>
        <w:ind w:left="2160" w:hanging="360"/>
      </w:pPr>
      <w:rPr>
        <w:rFonts w:ascii="Wingdings" w:hAnsi="Wingdings" w:hint="default"/>
      </w:rPr>
    </w:lvl>
    <w:lvl w:ilvl="3" w:tplc="ADE486BE">
      <w:start w:val="1"/>
      <w:numFmt w:val="bullet"/>
      <w:lvlText w:val=""/>
      <w:lvlJc w:val="left"/>
      <w:pPr>
        <w:ind w:left="2880" w:hanging="360"/>
      </w:pPr>
      <w:rPr>
        <w:rFonts w:ascii="Symbol" w:hAnsi="Symbol" w:hint="default"/>
      </w:rPr>
    </w:lvl>
    <w:lvl w:ilvl="4" w:tplc="D1B6DC9C">
      <w:start w:val="1"/>
      <w:numFmt w:val="bullet"/>
      <w:lvlText w:val="o"/>
      <w:lvlJc w:val="left"/>
      <w:pPr>
        <w:ind w:left="3600" w:hanging="360"/>
      </w:pPr>
      <w:rPr>
        <w:rFonts w:ascii="Courier New" w:hAnsi="Courier New" w:hint="default"/>
      </w:rPr>
    </w:lvl>
    <w:lvl w:ilvl="5" w:tplc="D83AAB18">
      <w:start w:val="1"/>
      <w:numFmt w:val="bullet"/>
      <w:lvlText w:val=""/>
      <w:lvlJc w:val="left"/>
      <w:pPr>
        <w:ind w:left="4320" w:hanging="360"/>
      </w:pPr>
      <w:rPr>
        <w:rFonts w:ascii="Wingdings" w:hAnsi="Wingdings" w:hint="default"/>
      </w:rPr>
    </w:lvl>
    <w:lvl w:ilvl="6" w:tplc="2E806260">
      <w:start w:val="1"/>
      <w:numFmt w:val="bullet"/>
      <w:lvlText w:val=""/>
      <w:lvlJc w:val="left"/>
      <w:pPr>
        <w:ind w:left="5040" w:hanging="360"/>
      </w:pPr>
      <w:rPr>
        <w:rFonts w:ascii="Symbol" w:hAnsi="Symbol" w:hint="default"/>
      </w:rPr>
    </w:lvl>
    <w:lvl w:ilvl="7" w:tplc="7E62112A">
      <w:start w:val="1"/>
      <w:numFmt w:val="bullet"/>
      <w:lvlText w:val="o"/>
      <w:lvlJc w:val="left"/>
      <w:pPr>
        <w:ind w:left="5760" w:hanging="360"/>
      </w:pPr>
      <w:rPr>
        <w:rFonts w:ascii="Courier New" w:hAnsi="Courier New" w:hint="default"/>
      </w:rPr>
    </w:lvl>
    <w:lvl w:ilvl="8" w:tplc="C358B142">
      <w:start w:val="1"/>
      <w:numFmt w:val="bullet"/>
      <w:lvlText w:val=""/>
      <w:lvlJc w:val="left"/>
      <w:pPr>
        <w:ind w:left="6480" w:hanging="360"/>
      </w:pPr>
      <w:rPr>
        <w:rFonts w:ascii="Wingdings" w:hAnsi="Wingdings" w:hint="default"/>
      </w:rPr>
    </w:lvl>
  </w:abstractNum>
  <w:abstractNum w:abstractNumId="1" w15:restartNumberingAfterBreak="0">
    <w:nsid w:val="41307DC2"/>
    <w:multiLevelType w:val="hybridMultilevel"/>
    <w:tmpl w:val="93304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B67D52"/>
    <w:multiLevelType w:val="hybridMultilevel"/>
    <w:tmpl w:val="1D8040AA"/>
    <w:lvl w:ilvl="0" w:tplc="5AE223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BE" w:vendorID="64" w:dllVersion="6" w:nlCheck="1" w:checkStyle="0"/>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0"/>
  <w:activeWritingStyle w:appName="MSWord" w:lang="fr-FR" w:vendorID="64" w:dllVersion="131078" w:nlCheck="1" w:checkStyle="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F7"/>
    <w:rsid w:val="00002B95"/>
    <w:rsid w:val="000041D8"/>
    <w:rsid w:val="00012F29"/>
    <w:rsid w:val="00041BE4"/>
    <w:rsid w:val="00080D50"/>
    <w:rsid w:val="000A6AC3"/>
    <w:rsid w:val="000B504A"/>
    <w:rsid w:val="000D070F"/>
    <w:rsid w:val="000D7B52"/>
    <w:rsid w:val="000E18B8"/>
    <w:rsid w:val="000E4323"/>
    <w:rsid w:val="001172D5"/>
    <w:rsid w:val="001255FB"/>
    <w:rsid w:val="001344B0"/>
    <w:rsid w:val="00136DB2"/>
    <w:rsid w:val="001507F4"/>
    <w:rsid w:val="001518EE"/>
    <w:rsid w:val="00170BDE"/>
    <w:rsid w:val="00182FB3"/>
    <w:rsid w:val="001C0422"/>
    <w:rsid w:val="001E5368"/>
    <w:rsid w:val="00204CAA"/>
    <w:rsid w:val="0020E1EB"/>
    <w:rsid w:val="00211D1C"/>
    <w:rsid w:val="0022310A"/>
    <w:rsid w:val="00234AD0"/>
    <w:rsid w:val="002361A9"/>
    <w:rsid w:val="0024281F"/>
    <w:rsid w:val="0028356C"/>
    <w:rsid w:val="00283896"/>
    <w:rsid w:val="0029524C"/>
    <w:rsid w:val="002B799D"/>
    <w:rsid w:val="002C57D4"/>
    <w:rsid w:val="002D0EEA"/>
    <w:rsid w:val="002E7E91"/>
    <w:rsid w:val="002F4C68"/>
    <w:rsid w:val="003037E3"/>
    <w:rsid w:val="00304AEB"/>
    <w:rsid w:val="00335D95"/>
    <w:rsid w:val="00337A24"/>
    <w:rsid w:val="003404D7"/>
    <w:rsid w:val="00341DEC"/>
    <w:rsid w:val="00345DC6"/>
    <w:rsid w:val="00377635"/>
    <w:rsid w:val="003A13C0"/>
    <w:rsid w:val="003B2EB4"/>
    <w:rsid w:val="003C7A79"/>
    <w:rsid w:val="003D11ED"/>
    <w:rsid w:val="003D4F38"/>
    <w:rsid w:val="004024A9"/>
    <w:rsid w:val="00420D4E"/>
    <w:rsid w:val="00427BF6"/>
    <w:rsid w:val="00431745"/>
    <w:rsid w:val="0044379C"/>
    <w:rsid w:val="00443ECB"/>
    <w:rsid w:val="004608BF"/>
    <w:rsid w:val="004614DE"/>
    <w:rsid w:val="00496C3B"/>
    <w:rsid w:val="004A2B35"/>
    <w:rsid w:val="004C123C"/>
    <w:rsid w:val="004E2D42"/>
    <w:rsid w:val="004F2BDD"/>
    <w:rsid w:val="005057CE"/>
    <w:rsid w:val="00507657"/>
    <w:rsid w:val="0052533F"/>
    <w:rsid w:val="00526CA6"/>
    <w:rsid w:val="00530510"/>
    <w:rsid w:val="005371BA"/>
    <w:rsid w:val="00564232"/>
    <w:rsid w:val="00564387"/>
    <w:rsid w:val="00573DA9"/>
    <w:rsid w:val="00587C9A"/>
    <w:rsid w:val="005960A2"/>
    <w:rsid w:val="0059770A"/>
    <w:rsid w:val="005B2265"/>
    <w:rsid w:val="005B38A7"/>
    <w:rsid w:val="005B681C"/>
    <w:rsid w:val="005C7776"/>
    <w:rsid w:val="005D2F89"/>
    <w:rsid w:val="005D46C6"/>
    <w:rsid w:val="005E3E21"/>
    <w:rsid w:val="005E6296"/>
    <w:rsid w:val="005F59B0"/>
    <w:rsid w:val="0060095E"/>
    <w:rsid w:val="0060260B"/>
    <w:rsid w:val="00607E0B"/>
    <w:rsid w:val="00607F78"/>
    <w:rsid w:val="00615AE4"/>
    <w:rsid w:val="00616C43"/>
    <w:rsid w:val="00631E1B"/>
    <w:rsid w:val="00647427"/>
    <w:rsid w:val="00667482"/>
    <w:rsid w:val="006A0031"/>
    <w:rsid w:val="006D0630"/>
    <w:rsid w:val="006F74BF"/>
    <w:rsid w:val="00710B13"/>
    <w:rsid w:val="007545EA"/>
    <w:rsid w:val="00765DC7"/>
    <w:rsid w:val="00770C01"/>
    <w:rsid w:val="00773E23"/>
    <w:rsid w:val="0079045A"/>
    <w:rsid w:val="00792012"/>
    <w:rsid w:val="00792FD9"/>
    <w:rsid w:val="007A20C8"/>
    <w:rsid w:val="007A6099"/>
    <w:rsid w:val="007A7A07"/>
    <w:rsid w:val="007F0CCE"/>
    <w:rsid w:val="008303D4"/>
    <w:rsid w:val="00844901"/>
    <w:rsid w:val="00865E28"/>
    <w:rsid w:val="00886B9B"/>
    <w:rsid w:val="008877ED"/>
    <w:rsid w:val="00891C54"/>
    <w:rsid w:val="00895860"/>
    <w:rsid w:val="0089636D"/>
    <w:rsid w:val="008A212A"/>
    <w:rsid w:val="008C2E92"/>
    <w:rsid w:val="009146E1"/>
    <w:rsid w:val="00935BBF"/>
    <w:rsid w:val="00936C71"/>
    <w:rsid w:val="0096763E"/>
    <w:rsid w:val="00986DD3"/>
    <w:rsid w:val="009A0846"/>
    <w:rsid w:val="009B0BC8"/>
    <w:rsid w:val="009D0135"/>
    <w:rsid w:val="009F3B84"/>
    <w:rsid w:val="00A22FA9"/>
    <w:rsid w:val="00A47CFF"/>
    <w:rsid w:val="00A5361C"/>
    <w:rsid w:val="00A671BF"/>
    <w:rsid w:val="00A7123D"/>
    <w:rsid w:val="00A878AA"/>
    <w:rsid w:val="00A91564"/>
    <w:rsid w:val="00A97ABF"/>
    <w:rsid w:val="00AA1D8C"/>
    <w:rsid w:val="00AE1B79"/>
    <w:rsid w:val="00AF0269"/>
    <w:rsid w:val="00AF4D02"/>
    <w:rsid w:val="00B0109F"/>
    <w:rsid w:val="00B224B9"/>
    <w:rsid w:val="00B27AA8"/>
    <w:rsid w:val="00B27B6A"/>
    <w:rsid w:val="00B53E1E"/>
    <w:rsid w:val="00B61F56"/>
    <w:rsid w:val="00B6492D"/>
    <w:rsid w:val="00BA6690"/>
    <w:rsid w:val="00BD6188"/>
    <w:rsid w:val="00BE1E55"/>
    <w:rsid w:val="00BE5288"/>
    <w:rsid w:val="00BF0122"/>
    <w:rsid w:val="00BF0823"/>
    <w:rsid w:val="00BF35FD"/>
    <w:rsid w:val="00BF3D4D"/>
    <w:rsid w:val="00C03AAD"/>
    <w:rsid w:val="00C10A61"/>
    <w:rsid w:val="00C169C3"/>
    <w:rsid w:val="00C24734"/>
    <w:rsid w:val="00C66B1B"/>
    <w:rsid w:val="00C704AD"/>
    <w:rsid w:val="00C717B5"/>
    <w:rsid w:val="00C86F4E"/>
    <w:rsid w:val="00C91599"/>
    <w:rsid w:val="00C94E5C"/>
    <w:rsid w:val="00CB3418"/>
    <w:rsid w:val="00CB4F6F"/>
    <w:rsid w:val="00D07644"/>
    <w:rsid w:val="00D07F2C"/>
    <w:rsid w:val="00D10421"/>
    <w:rsid w:val="00D24CB4"/>
    <w:rsid w:val="00D25568"/>
    <w:rsid w:val="00D25EF7"/>
    <w:rsid w:val="00D65611"/>
    <w:rsid w:val="00D81DF3"/>
    <w:rsid w:val="00DB3699"/>
    <w:rsid w:val="00DB652A"/>
    <w:rsid w:val="00DC3F1B"/>
    <w:rsid w:val="00DC4187"/>
    <w:rsid w:val="00DE1AA0"/>
    <w:rsid w:val="00E13092"/>
    <w:rsid w:val="00E25159"/>
    <w:rsid w:val="00E35644"/>
    <w:rsid w:val="00E4254E"/>
    <w:rsid w:val="00E46128"/>
    <w:rsid w:val="00E5665E"/>
    <w:rsid w:val="00E568B8"/>
    <w:rsid w:val="00E72CF7"/>
    <w:rsid w:val="00E8278A"/>
    <w:rsid w:val="00E94894"/>
    <w:rsid w:val="00EB494B"/>
    <w:rsid w:val="00EC782B"/>
    <w:rsid w:val="00EF2E58"/>
    <w:rsid w:val="00F0346A"/>
    <w:rsid w:val="00F10D24"/>
    <w:rsid w:val="00F11E4F"/>
    <w:rsid w:val="00F36812"/>
    <w:rsid w:val="00F370CD"/>
    <w:rsid w:val="00F44B2D"/>
    <w:rsid w:val="00F73A71"/>
    <w:rsid w:val="00FA32F4"/>
    <w:rsid w:val="00FF1B13"/>
    <w:rsid w:val="0184AB8B"/>
    <w:rsid w:val="02085412"/>
    <w:rsid w:val="02D8C6DB"/>
    <w:rsid w:val="0371C872"/>
    <w:rsid w:val="037BDFF7"/>
    <w:rsid w:val="03E79DF6"/>
    <w:rsid w:val="03F0AE14"/>
    <w:rsid w:val="05917D94"/>
    <w:rsid w:val="05D21E4B"/>
    <w:rsid w:val="05FDE37B"/>
    <w:rsid w:val="0630DDB3"/>
    <w:rsid w:val="06678333"/>
    <w:rsid w:val="0676982A"/>
    <w:rsid w:val="068D12D1"/>
    <w:rsid w:val="078FF550"/>
    <w:rsid w:val="0845190F"/>
    <w:rsid w:val="08835579"/>
    <w:rsid w:val="089FFAF1"/>
    <w:rsid w:val="08BB537F"/>
    <w:rsid w:val="08C409DA"/>
    <w:rsid w:val="08D0D6F3"/>
    <w:rsid w:val="09D1F91E"/>
    <w:rsid w:val="0A1A3E47"/>
    <w:rsid w:val="0A56DF7A"/>
    <w:rsid w:val="0B769AA0"/>
    <w:rsid w:val="0BAA9016"/>
    <w:rsid w:val="0CA58461"/>
    <w:rsid w:val="0CE03A4C"/>
    <w:rsid w:val="0D0999E0"/>
    <w:rsid w:val="0E0E403F"/>
    <w:rsid w:val="0EA205AA"/>
    <w:rsid w:val="0EC3B5A1"/>
    <w:rsid w:val="10C8D1E6"/>
    <w:rsid w:val="10CC63C7"/>
    <w:rsid w:val="10D73926"/>
    <w:rsid w:val="10EA5C22"/>
    <w:rsid w:val="1108637B"/>
    <w:rsid w:val="11BC38B6"/>
    <w:rsid w:val="11D86824"/>
    <w:rsid w:val="11DD0B03"/>
    <w:rsid w:val="121AABE4"/>
    <w:rsid w:val="12683428"/>
    <w:rsid w:val="13FD44FA"/>
    <w:rsid w:val="14DDC59E"/>
    <w:rsid w:val="15C87B00"/>
    <w:rsid w:val="16DD100E"/>
    <w:rsid w:val="175384E0"/>
    <w:rsid w:val="1765E141"/>
    <w:rsid w:val="18227225"/>
    <w:rsid w:val="18358E4E"/>
    <w:rsid w:val="18E35B8A"/>
    <w:rsid w:val="1955A29E"/>
    <w:rsid w:val="19746F5B"/>
    <w:rsid w:val="199A9981"/>
    <w:rsid w:val="1A856F63"/>
    <w:rsid w:val="1AB26EF2"/>
    <w:rsid w:val="1AFF4746"/>
    <w:rsid w:val="1BF8724C"/>
    <w:rsid w:val="1C08CAD3"/>
    <w:rsid w:val="1C3D5DC7"/>
    <w:rsid w:val="1DAB5BE9"/>
    <w:rsid w:val="1DB40DDD"/>
    <w:rsid w:val="1E52F18B"/>
    <w:rsid w:val="1EA05B70"/>
    <w:rsid w:val="1EC6CE43"/>
    <w:rsid w:val="1F3E35F1"/>
    <w:rsid w:val="1FE1DE26"/>
    <w:rsid w:val="20216251"/>
    <w:rsid w:val="202AB522"/>
    <w:rsid w:val="207FB956"/>
    <w:rsid w:val="208A1B84"/>
    <w:rsid w:val="21E5F3A4"/>
    <w:rsid w:val="22864578"/>
    <w:rsid w:val="22D3338A"/>
    <w:rsid w:val="234373CB"/>
    <w:rsid w:val="23A91456"/>
    <w:rsid w:val="23C1BC46"/>
    <w:rsid w:val="23F43624"/>
    <w:rsid w:val="2426A865"/>
    <w:rsid w:val="243ED4E6"/>
    <w:rsid w:val="2457EFAE"/>
    <w:rsid w:val="246999C4"/>
    <w:rsid w:val="24FBD6EE"/>
    <w:rsid w:val="2521EB2A"/>
    <w:rsid w:val="257260CC"/>
    <w:rsid w:val="25B48973"/>
    <w:rsid w:val="25EF69F1"/>
    <w:rsid w:val="2603C693"/>
    <w:rsid w:val="278F9070"/>
    <w:rsid w:val="292D0956"/>
    <w:rsid w:val="295D3606"/>
    <w:rsid w:val="2973F26F"/>
    <w:rsid w:val="29D947A5"/>
    <w:rsid w:val="2A541869"/>
    <w:rsid w:val="2B8E4063"/>
    <w:rsid w:val="2B8E9C9F"/>
    <w:rsid w:val="2C02D90D"/>
    <w:rsid w:val="2C30BE6E"/>
    <w:rsid w:val="2C7EEC67"/>
    <w:rsid w:val="2C9A210F"/>
    <w:rsid w:val="2CAA92FF"/>
    <w:rsid w:val="2D18EFD9"/>
    <w:rsid w:val="2D2077BD"/>
    <w:rsid w:val="2D6DD8C3"/>
    <w:rsid w:val="2D93010F"/>
    <w:rsid w:val="2DE0F3AE"/>
    <w:rsid w:val="2EC5E125"/>
    <w:rsid w:val="2F0B2911"/>
    <w:rsid w:val="2F3C5262"/>
    <w:rsid w:val="2F5E3C52"/>
    <w:rsid w:val="2FDF0983"/>
    <w:rsid w:val="306E6F01"/>
    <w:rsid w:val="30A0CBB2"/>
    <w:rsid w:val="3191772B"/>
    <w:rsid w:val="3197E989"/>
    <w:rsid w:val="31B3122F"/>
    <w:rsid w:val="32193CF7"/>
    <w:rsid w:val="3447166A"/>
    <w:rsid w:val="3451B2F1"/>
    <w:rsid w:val="3492EC0F"/>
    <w:rsid w:val="34B27AA6"/>
    <w:rsid w:val="34B3B9B6"/>
    <w:rsid w:val="3590721C"/>
    <w:rsid w:val="36AD72DB"/>
    <w:rsid w:val="36EAA685"/>
    <w:rsid w:val="370F50E2"/>
    <w:rsid w:val="374A48DF"/>
    <w:rsid w:val="3752940C"/>
    <w:rsid w:val="37A47574"/>
    <w:rsid w:val="37E79052"/>
    <w:rsid w:val="38BF29DF"/>
    <w:rsid w:val="3914761D"/>
    <w:rsid w:val="392D30C2"/>
    <w:rsid w:val="39807C8F"/>
    <w:rsid w:val="398F6293"/>
    <w:rsid w:val="39C83FB8"/>
    <w:rsid w:val="3A297AAC"/>
    <w:rsid w:val="3B84B04E"/>
    <w:rsid w:val="3DCE3DCA"/>
    <w:rsid w:val="3E5EBBAF"/>
    <w:rsid w:val="3E8BD6CA"/>
    <w:rsid w:val="3F95E5E6"/>
    <w:rsid w:val="3FC6110F"/>
    <w:rsid w:val="40DE78E2"/>
    <w:rsid w:val="410F25C0"/>
    <w:rsid w:val="41609A4B"/>
    <w:rsid w:val="41BA2940"/>
    <w:rsid w:val="423CB70B"/>
    <w:rsid w:val="42D713FB"/>
    <w:rsid w:val="42F2DE5C"/>
    <w:rsid w:val="42FE7F42"/>
    <w:rsid w:val="4302D51D"/>
    <w:rsid w:val="4352A854"/>
    <w:rsid w:val="441E05EC"/>
    <w:rsid w:val="449A8D0C"/>
    <w:rsid w:val="453DDBEA"/>
    <w:rsid w:val="459E73A9"/>
    <w:rsid w:val="45FC7C4A"/>
    <w:rsid w:val="46365D6D"/>
    <w:rsid w:val="46392255"/>
    <w:rsid w:val="464746B3"/>
    <w:rsid w:val="472D331D"/>
    <w:rsid w:val="4779A1CF"/>
    <w:rsid w:val="47A4760F"/>
    <w:rsid w:val="48477068"/>
    <w:rsid w:val="48FE4373"/>
    <w:rsid w:val="48FF6D65"/>
    <w:rsid w:val="4908D64A"/>
    <w:rsid w:val="4982E736"/>
    <w:rsid w:val="4999BA15"/>
    <w:rsid w:val="499C7E99"/>
    <w:rsid w:val="4A191A9E"/>
    <w:rsid w:val="4A1B7FD1"/>
    <w:rsid w:val="4A2199EF"/>
    <w:rsid w:val="4A6A919F"/>
    <w:rsid w:val="4A76AA29"/>
    <w:rsid w:val="4A847D4B"/>
    <w:rsid w:val="4A8E41D0"/>
    <w:rsid w:val="4AA4A6AB"/>
    <w:rsid w:val="4B55024D"/>
    <w:rsid w:val="4C066200"/>
    <w:rsid w:val="4C127A8A"/>
    <w:rsid w:val="4C380FAF"/>
    <w:rsid w:val="4C418872"/>
    <w:rsid w:val="4C5ADC02"/>
    <w:rsid w:val="4C908F06"/>
    <w:rsid w:val="4CBE6AD0"/>
    <w:rsid w:val="4CF98A9A"/>
    <w:rsid w:val="4E955AFB"/>
    <w:rsid w:val="4EED9532"/>
    <w:rsid w:val="4FD49733"/>
    <w:rsid w:val="502A1974"/>
    <w:rsid w:val="50F156ED"/>
    <w:rsid w:val="50FC5DAE"/>
    <w:rsid w:val="5168865E"/>
    <w:rsid w:val="52373DD6"/>
    <w:rsid w:val="52466073"/>
    <w:rsid w:val="52919B57"/>
    <w:rsid w:val="5374EC79"/>
    <w:rsid w:val="53757F01"/>
    <w:rsid w:val="53BBD6B6"/>
    <w:rsid w:val="53E1A289"/>
    <w:rsid w:val="54152352"/>
    <w:rsid w:val="5513B51D"/>
    <w:rsid w:val="563967CB"/>
    <w:rsid w:val="57AE5FDA"/>
    <w:rsid w:val="57E4D541"/>
    <w:rsid w:val="58DF5562"/>
    <w:rsid w:val="5931288A"/>
    <w:rsid w:val="5945ED4D"/>
    <w:rsid w:val="598BD216"/>
    <w:rsid w:val="59F0E968"/>
    <w:rsid w:val="5A03ECAA"/>
    <w:rsid w:val="5A4CDC51"/>
    <w:rsid w:val="5A61FE61"/>
    <w:rsid w:val="5B61F777"/>
    <w:rsid w:val="5C308BDA"/>
    <w:rsid w:val="5C352056"/>
    <w:rsid w:val="5C7F37A2"/>
    <w:rsid w:val="5D7C0BE3"/>
    <w:rsid w:val="5E0A3F74"/>
    <w:rsid w:val="5F233E95"/>
    <w:rsid w:val="5F730D5E"/>
    <w:rsid w:val="5FF7921A"/>
    <w:rsid w:val="60B201A8"/>
    <w:rsid w:val="60D71E23"/>
    <w:rsid w:val="611903F3"/>
    <w:rsid w:val="61AA16CD"/>
    <w:rsid w:val="61C1D099"/>
    <w:rsid w:val="62119779"/>
    <w:rsid w:val="622C723E"/>
    <w:rsid w:val="625E5204"/>
    <w:rsid w:val="627A3E12"/>
    <w:rsid w:val="63980F93"/>
    <w:rsid w:val="63A04427"/>
    <w:rsid w:val="63F3D414"/>
    <w:rsid w:val="64C037AF"/>
    <w:rsid w:val="65C6DC14"/>
    <w:rsid w:val="6628FE56"/>
    <w:rsid w:val="6629367E"/>
    <w:rsid w:val="66355513"/>
    <w:rsid w:val="6685EAA0"/>
    <w:rsid w:val="66B38BF2"/>
    <w:rsid w:val="671188C8"/>
    <w:rsid w:val="673E7D53"/>
    <w:rsid w:val="674D87F7"/>
    <w:rsid w:val="678EA579"/>
    <w:rsid w:val="67AF817D"/>
    <w:rsid w:val="680BA73D"/>
    <w:rsid w:val="6812D79B"/>
    <w:rsid w:val="68540750"/>
    <w:rsid w:val="68C43CB8"/>
    <w:rsid w:val="68C63D16"/>
    <w:rsid w:val="690F0EE2"/>
    <w:rsid w:val="6976E860"/>
    <w:rsid w:val="6A240FE1"/>
    <w:rsid w:val="6AFA1282"/>
    <w:rsid w:val="6BBE547F"/>
    <w:rsid w:val="6BCBA19E"/>
    <w:rsid w:val="6BFA1D7A"/>
    <w:rsid w:val="6C40D47A"/>
    <w:rsid w:val="6C41DD1C"/>
    <w:rsid w:val="6C43AB94"/>
    <w:rsid w:val="6C5980F3"/>
    <w:rsid w:val="6CC0BCB9"/>
    <w:rsid w:val="6D37B4C2"/>
    <w:rsid w:val="6D3BB683"/>
    <w:rsid w:val="6DB43138"/>
    <w:rsid w:val="6DE94787"/>
    <w:rsid w:val="6DF7542A"/>
    <w:rsid w:val="6E800CFC"/>
    <w:rsid w:val="6EEE883F"/>
    <w:rsid w:val="6F652809"/>
    <w:rsid w:val="7065952D"/>
    <w:rsid w:val="720769C0"/>
    <w:rsid w:val="722D0FDF"/>
    <w:rsid w:val="72548763"/>
    <w:rsid w:val="73C39BD5"/>
    <w:rsid w:val="74032355"/>
    <w:rsid w:val="746B130A"/>
    <w:rsid w:val="7474DC28"/>
    <w:rsid w:val="74F99F07"/>
    <w:rsid w:val="7521E4C1"/>
    <w:rsid w:val="7542F966"/>
    <w:rsid w:val="75A23138"/>
    <w:rsid w:val="75ED61FA"/>
    <w:rsid w:val="76E758A5"/>
    <w:rsid w:val="770B17E7"/>
    <w:rsid w:val="771207DE"/>
    <w:rsid w:val="7935C7BF"/>
    <w:rsid w:val="795291FF"/>
    <w:rsid w:val="79C0A802"/>
    <w:rsid w:val="7AA7DAB0"/>
    <w:rsid w:val="7B0032EE"/>
    <w:rsid w:val="7B3334E8"/>
    <w:rsid w:val="7C266EED"/>
    <w:rsid w:val="7C3B1617"/>
    <w:rsid w:val="7C702F7E"/>
    <w:rsid w:val="7CD5C004"/>
    <w:rsid w:val="7D5225B9"/>
    <w:rsid w:val="7D6B0A2D"/>
    <w:rsid w:val="7E2C6193"/>
    <w:rsid w:val="7F38DC90"/>
    <w:rsid w:val="7F3CBE0B"/>
    <w:rsid w:val="7F497B86"/>
    <w:rsid w:val="7F796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DCAD90"/>
  <w15:chartTrackingRefBased/>
  <w15:docId w15:val="{29DD57A1-981E-4F91-B9A2-DF964218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482"/>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234AD0"/>
    <w:rPr>
      <w:sz w:val="16"/>
      <w:szCs w:val="16"/>
    </w:rPr>
  </w:style>
  <w:style w:type="paragraph" w:styleId="CommentText">
    <w:name w:val="annotation text"/>
    <w:basedOn w:val="Normal"/>
    <w:link w:val="CommentTextChar"/>
    <w:unhideWhenUsed/>
    <w:rsid w:val="00234AD0"/>
    <w:rPr>
      <w:sz w:val="20"/>
    </w:rPr>
  </w:style>
  <w:style w:type="character" w:customStyle="1" w:styleId="CommentTextChar">
    <w:name w:val="Comment Text Char"/>
    <w:basedOn w:val="DefaultParagraphFont"/>
    <w:link w:val="CommentText"/>
    <w:rsid w:val="00234AD0"/>
    <w:rPr>
      <w:sz w:val="20"/>
      <w:szCs w:val="20"/>
    </w:rPr>
  </w:style>
  <w:style w:type="paragraph" w:styleId="CommentSubject">
    <w:name w:val="annotation subject"/>
    <w:basedOn w:val="CommentText"/>
    <w:next w:val="CommentText"/>
    <w:link w:val="CommentSubjectChar"/>
    <w:uiPriority w:val="99"/>
    <w:semiHidden/>
    <w:unhideWhenUsed/>
    <w:rsid w:val="00234AD0"/>
    <w:rPr>
      <w:b/>
      <w:bCs/>
    </w:rPr>
  </w:style>
  <w:style w:type="character" w:customStyle="1" w:styleId="CommentSubjectChar">
    <w:name w:val="Comment Subject Char"/>
    <w:basedOn w:val="CommentTextChar"/>
    <w:link w:val="CommentSubject"/>
    <w:uiPriority w:val="99"/>
    <w:semiHidden/>
    <w:rsid w:val="00234AD0"/>
    <w:rPr>
      <w:b/>
      <w:bCs/>
      <w:sz w:val="20"/>
      <w:szCs w:val="20"/>
    </w:rPr>
  </w:style>
  <w:style w:type="paragraph" w:styleId="BalloonText">
    <w:name w:val="Balloon Text"/>
    <w:basedOn w:val="Normal"/>
    <w:link w:val="BalloonTextChar"/>
    <w:uiPriority w:val="99"/>
    <w:semiHidden/>
    <w:unhideWhenUsed/>
    <w:rsid w:val="00234AD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AD0"/>
    <w:rPr>
      <w:rFonts w:ascii="Segoe UI" w:hAnsi="Segoe UI" w:cs="Segoe UI"/>
      <w:sz w:val="18"/>
      <w:szCs w:val="18"/>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unhideWhenUsed/>
    <w:qFormat/>
    <w:rsid w:val="00B53E1E"/>
    <w:pPr>
      <w:spacing w:after="0"/>
    </w:pPr>
    <w:rPr>
      <w:sz w:val="20"/>
    </w:rPr>
  </w:style>
  <w:style w:type="character" w:customStyle="1" w:styleId="FootnoteTextChar">
    <w:name w:val="Footnote Text Char"/>
    <w:aliases w:val="Footnote Text Char1 Char Char1,Footnote Text Char Char Char Char1,Fußnotentext Char Char1 Char Char Char1,Fußnotentext Char1 Char1 Char Char Char Char1,Fußnotentext Char Char Char Char Char Char Char1 Char1,Footnote Text Char1 Char2"/>
    <w:basedOn w:val="DefaultParagraphFont"/>
    <w:link w:val="FootnoteText"/>
    <w:uiPriority w:val="99"/>
    <w:semiHidden/>
    <w:rsid w:val="00B53E1E"/>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basedOn w:val="DefaultParagraphFont"/>
    <w:link w:val="ftrefCharCharCharCharCharCharCharCharChar"/>
    <w:uiPriority w:val="99"/>
    <w:unhideWhenUsed/>
    <w:qFormat/>
    <w:rsid w:val="00B53E1E"/>
    <w:rPr>
      <w:vertAlign w:val="superscript"/>
    </w:rPr>
  </w:style>
  <w:style w:type="character" w:styleId="Hyperlink">
    <w:name w:val="Hyperlink"/>
    <w:aliases w:val="Char1"/>
    <w:basedOn w:val="DefaultParagraphFont"/>
    <w:uiPriority w:val="99"/>
    <w:unhideWhenUsed/>
    <w:rsid w:val="00B53E1E"/>
    <w:rPr>
      <w:color w:val="0000FF"/>
      <w:u w:val="single"/>
    </w:rPr>
  </w:style>
  <w:style w:type="paragraph" w:styleId="Header">
    <w:name w:val="header"/>
    <w:basedOn w:val="Normal"/>
    <w:link w:val="HeaderChar"/>
    <w:uiPriority w:val="99"/>
    <w:unhideWhenUsed/>
    <w:rsid w:val="003037E3"/>
    <w:pPr>
      <w:tabs>
        <w:tab w:val="center" w:pos="4680"/>
        <w:tab w:val="right" w:pos="9360"/>
      </w:tabs>
      <w:spacing w:after="0"/>
    </w:pPr>
  </w:style>
  <w:style w:type="character" w:customStyle="1" w:styleId="HeaderChar">
    <w:name w:val="Header Char"/>
    <w:basedOn w:val="DefaultParagraphFont"/>
    <w:link w:val="Header"/>
    <w:uiPriority w:val="99"/>
    <w:rsid w:val="003037E3"/>
  </w:style>
  <w:style w:type="paragraph" w:styleId="Footer">
    <w:name w:val="footer"/>
    <w:basedOn w:val="Normal"/>
    <w:link w:val="FooterChar"/>
    <w:uiPriority w:val="99"/>
    <w:unhideWhenUsed/>
    <w:rsid w:val="003037E3"/>
    <w:pPr>
      <w:tabs>
        <w:tab w:val="center" w:pos="4680"/>
        <w:tab w:val="right" w:pos="9360"/>
      </w:tabs>
      <w:spacing w:after="0"/>
    </w:pPr>
  </w:style>
  <w:style w:type="character" w:customStyle="1" w:styleId="FooterChar">
    <w:name w:val="Footer Char"/>
    <w:basedOn w:val="DefaultParagraphFont"/>
    <w:link w:val="Footer"/>
    <w:uiPriority w:val="99"/>
    <w:rsid w:val="003037E3"/>
  </w:style>
  <w:style w:type="paragraph" w:styleId="NormalWeb">
    <w:name w:val="Normal (Web)"/>
    <w:aliases w:val=" webb,webb"/>
    <w:basedOn w:val="Normal"/>
    <w:link w:val="NormalWebChar"/>
    <w:uiPriority w:val="99"/>
    <w:unhideWhenUsed/>
    <w:rsid w:val="00C24734"/>
    <w:pPr>
      <w:spacing w:before="100" w:beforeAutospacing="1" w:after="100" w:afterAutospacing="1"/>
    </w:pPr>
    <w:rPr>
      <w:rFonts w:ascii="Times New Roman" w:hAnsi="Times New Roman"/>
      <w:szCs w:val="24"/>
      <w:lang w:eastAsia="fr-BE"/>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Nad,OBC Bullet"/>
    <w:basedOn w:val="Normal"/>
    <w:link w:val="ListParagraphChar"/>
    <w:uiPriority w:val="34"/>
    <w:qFormat/>
    <w:rsid w:val="00765DC7"/>
    <w:pPr>
      <w:widowControl w:val="0"/>
      <w:spacing w:after="0"/>
      <w:ind w:left="720"/>
      <w:contextualSpacing/>
    </w:pPr>
    <w:rPr>
      <w:rFonts w:ascii="Times New Roman" w:hAnsi="Times New Roman"/>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link w:val="ListParagraph"/>
    <w:uiPriority w:val="34"/>
    <w:qFormat/>
    <w:locked/>
    <w:rsid w:val="00765DC7"/>
    <w:rPr>
      <w:rFonts w:ascii="Times New Roman" w:eastAsia="Times New Roman" w:hAnsi="Times New Roman" w:cs="Times New Roman"/>
      <w:sz w:val="24"/>
      <w:szCs w:val="20"/>
      <w:lang w:val="fr-FR" w:eastAsia="en-GB"/>
    </w:rPr>
  </w:style>
  <w:style w:type="character" w:customStyle="1" w:styleId="visible-description">
    <w:name w:val="visible-description"/>
    <w:basedOn w:val="DefaultParagraphFont"/>
    <w:rsid w:val="00615AE4"/>
  </w:style>
  <w:style w:type="character" w:customStyle="1" w:styleId="show-more-description">
    <w:name w:val="show-more-description"/>
    <w:basedOn w:val="DefaultParagraphFont"/>
    <w:rsid w:val="00615AE4"/>
  </w:style>
  <w:style w:type="character" w:customStyle="1" w:styleId="BriefingtextChar">
    <w:name w:val="Briefing text Char"/>
    <w:link w:val="Briefingtext"/>
    <w:locked/>
    <w:rsid w:val="00377635"/>
    <w:rPr>
      <w:rFonts w:ascii="Arial" w:hAnsi="Arial" w:cs="Arial"/>
      <w:szCs w:val="24"/>
    </w:rPr>
  </w:style>
  <w:style w:type="paragraph" w:customStyle="1" w:styleId="Briefingtext">
    <w:name w:val="Briefing text"/>
    <w:basedOn w:val="Normal"/>
    <w:link w:val="BriefingtextChar"/>
    <w:qFormat/>
    <w:rsid w:val="00377635"/>
    <w:rPr>
      <w:rFonts w:ascii="Arial" w:hAnsi="Arial" w:cs="Arial"/>
      <w:szCs w:val="24"/>
    </w:rPr>
  </w:style>
  <w:style w:type="paragraph" w:customStyle="1" w:styleId="NormalHanging12a">
    <w:name w:val="NormalHanging12a"/>
    <w:basedOn w:val="Normal"/>
    <w:rsid w:val="00080D50"/>
    <w:pPr>
      <w:ind w:left="567" w:hanging="567"/>
    </w:pPr>
    <w:rPr>
      <w:rFonts w:ascii="Times New Roman" w:hAnsi="Times New Roman"/>
      <w:snapToGrid w:val="0"/>
    </w:rPr>
  </w:style>
  <w:style w:type="character" w:customStyle="1" w:styleId="normaltextrun">
    <w:name w:val="normaltextrun"/>
    <w:basedOn w:val="DefaultParagraphFont"/>
    <w:rsid w:val="004F2BDD"/>
  </w:style>
  <w:style w:type="paragraph" w:customStyle="1" w:styleId="paragraph">
    <w:name w:val="paragraph"/>
    <w:basedOn w:val="Normal"/>
    <w:rsid w:val="004F2BDD"/>
    <w:pPr>
      <w:spacing w:before="100" w:beforeAutospacing="1" w:after="100" w:afterAutospacing="1"/>
    </w:pPr>
    <w:rPr>
      <w:rFonts w:ascii="Times New Roman" w:hAnsi="Times New Roman"/>
      <w:szCs w:val="24"/>
      <w:lang w:eastAsia="fr-BE"/>
    </w:rPr>
  </w:style>
  <w:style w:type="character" w:styleId="FollowedHyperlink">
    <w:name w:val="FollowedHyperlink"/>
    <w:basedOn w:val="DefaultParagraphFont"/>
    <w:uiPriority w:val="99"/>
    <w:semiHidden/>
    <w:unhideWhenUsed/>
    <w:rsid w:val="00BE1E55"/>
    <w:rPr>
      <w:color w:val="954F72" w:themeColor="followedHyperlink"/>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uiPriority w:val="99"/>
    <w:rsid w:val="00667482"/>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667482"/>
    <w:pPr>
      <w:spacing w:after="160" w:line="240" w:lineRule="exact"/>
      <w:jc w:val="left"/>
    </w:pPr>
    <w:rPr>
      <w:rFonts w:asciiTheme="minorHAnsi" w:eastAsiaTheme="minorHAnsi" w:hAnsiTheme="minorHAnsi" w:cstheme="minorBidi"/>
      <w:sz w:val="22"/>
      <w:szCs w:val="22"/>
      <w:vertAlign w:val="superscript"/>
      <w:lang w:eastAsia="en-US"/>
    </w:rPr>
  </w:style>
  <w:style w:type="character" w:customStyle="1" w:styleId="NormalWebChar">
    <w:name w:val="Normal (Web) Char"/>
    <w:aliases w:val=" webb Char,webb Char"/>
    <w:link w:val="NormalWeb"/>
    <w:uiPriority w:val="99"/>
    <w:rsid w:val="00667482"/>
    <w:rPr>
      <w:rFonts w:ascii="Times New Roman" w:eastAsia="Times New Roman" w:hAnsi="Times New Roman" w:cs="Times New Roman"/>
      <w:sz w:val="24"/>
      <w:szCs w:val="24"/>
      <w:lang w:val="fr-FR"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menslegacyproject.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voices.youth.europa.eu/" TargetMode="External"/><Relationship Id="rId3" Type="http://schemas.openxmlformats.org/officeDocument/2006/relationships/hyperlink" Target="https://health.ec.europa.eu/non-communicable-diseases/healthier-together-eu-non-communicable-diseases-initiative_en" TargetMode="External"/><Relationship Id="rId7" Type="http://schemas.openxmlformats.org/officeDocument/2006/relationships/hyperlink" Target="https://op.europa.eu/fr/publication-detail/-/publication/e3804ae5-f68d-11ec-b976-01aa75ed71a1" TargetMode="External"/><Relationship Id="rId2" Type="http://schemas.openxmlformats.org/officeDocument/2006/relationships/hyperlink" Target="https://nesetweb.eu/fr/ressources/bibliotheque/une-approche-systemique-et-globale-de-la-sante-mentale-et-du-bien-etre-dans-les-ecoles-de-lue/" TargetMode="External"/><Relationship Id="rId1" Type="http://schemas.openxmlformats.org/officeDocument/2006/relationships/hyperlink" Target="https://eur-lex.europa.eu/legal-content/FR/TXT/?uri=CELEX%3A32021H1214%2801%29" TargetMode="External"/><Relationship Id="rId6" Type="http://schemas.openxmlformats.org/officeDocument/2006/relationships/hyperlink" Target="https://op.europa.eu/webpub/eac/education-and-training-monitor-2021/fr/" TargetMode="External"/><Relationship Id="rId5" Type="http://schemas.openxmlformats.org/officeDocument/2006/relationships/hyperlink" Target="https://national-policies.eacea.ec.europa.eu/youthwiki/publications/the-impact-of-the-covid-19-pandemic-on-the-mental-health-of-young-people" TargetMode="External"/><Relationship Id="rId4" Type="http://schemas.openxmlformats.org/officeDocument/2006/relationships/hyperlink" Target="https://national-policies.eacea.ec.europa.eu/youthwiki/publications/the-impact-of-the-covid-19-pandemic-on-the-mental-health-of-young-people" TargetMode="External"/><Relationship Id="rId9" Type="http://schemas.openxmlformats.org/officeDocument/2006/relationships/hyperlink" Target="https://www.salto-youth.net/about/about/yiayouth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541a8a8b-b856-4d35-a5c7-7f2c0ec3d499" xsi:nil="true"/>
    <lcf76f155ced4ddcb4097134ff3c332f xmlns="541a8a8b-b856-4d35-a5c7-7f2c0ec3d49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0757b53-df10-4b98-9811-094c4c3e23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6" ma:contentTypeDescription="Create a new document." ma:contentTypeScope="" ma:versionID="d43e1c7bd4a295cfa2776a1eb1cf32dc">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a60d1dfc967694f6f73fa32807514e63"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Topic"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Topic" ma:index="16" nillable="true" ma:displayName="Topic" ma:format="Dropdown" ma:internalName="Topic">
      <xsd:complexType>
        <xsd:complexContent>
          <xsd:extension base="dms:MultiChoiceFillIn">
            <xsd:sequence>
              <xsd:element name="Value" maxOccurs="unbounded" minOccurs="0" nillable="true">
                <xsd:simpleType>
                  <xsd:union memberTypes="dms:Text">
                    <xsd:simpleType>
                      <xsd:restriction base="dms:Choice">
                        <xsd:enumeration value="policy"/>
                        <xsd:enumeration value="programme"/>
                        <xsd:enumeration value="platforms"/>
                        <xsd:enumeration value="eTw"/>
                        <xsd:enumeration value="SEG"/>
                        <xsd:enumeration value="EPALE"/>
                        <xsd:enumeration value="toolkit"/>
                        <xsd:enumeration value="pathways"/>
                        <xsd:enumeration value="EEA"/>
                        <xsd:enumeration value="DEAP"/>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34cd3e-c663-4a13-a17c-ea121cdb85b8}"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47B03-858B-45F4-8E90-FE69D19C3F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1a8a8b-b856-4d35-a5c7-7f2c0ec3d499"/>
    <ds:schemaRef ds:uri="http://purl.org/dc/elements/1.1/"/>
    <ds:schemaRef ds:uri="http://schemas.microsoft.com/office/2006/metadata/properties"/>
    <ds:schemaRef ds:uri="e0757b53-df10-4b98-9811-094c4c3e23a8"/>
    <ds:schemaRef ds:uri="http://www.w3.org/XML/1998/namespace"/>
    <ds:schemaRef ds:uri="http://purl.org/dc/dcmitype/"/>
  </ds:schemaRefs>
</ds:datastoreItem>
</file>

<file path=customXml/itemProps2.xml><?xml version="1.0" encoding="utf-8"?>
<ds:datastoreItem xmlns:ds="http://schemas.openxmlformats.org/officeDocument/2006/customXml" ds:itemID="{C478BF24-B608-44D4-A684-C044CB1697BA}">
  <ds:schemaRefs>
    <ds:schemaRef ds:uri="http://schemas.microsoft.com/sharepoint/v3/contenttype/forms"/>
  </ds:schemaRefs>
</ds:datastoreItem>
</file>

<file path=customXml/itemProps3.xml><?xml version="1.0" encoding="utf-8"?>
<ds:datastoreItem xmlns:ds="http://schemas.openxmlformats.org/officeDocument/2006/customXml" ds:itemID="{1BBA6A22-E09D-40BD-B4FB-8B9417D76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03EAC-C1E8-4D12-9BEF-CCC7CFBA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6078</Words>
  <Characters>34281</Characters>
  <Application>Microsoft Office Word</Application>
  <DocSecurity>0</DocSecurity>
  <Lines>457</Lines>
  <Paragraphs>56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NOWICZ Iga (EAC)</dc:creator>
  <cp:keywords/>
  <dc:description/>
  <cp:lastModifiedBy>DODEKOVA Gabriela (SG)</cp:lastModifiedBy>
  <cp:revision>2</cp:revision>
  <cp:lastPrinted>2022-10-11T11:07:00Z</cp:lastPrinted>
  <dcterms:created xsi:type="dcterms:W3CDTF">2022-12-13T14:05:00Z</dcterms:created>
  <dcterms:modified xsi:type="dcterms:W3CDTF">2022-12-13T14:05:00Z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2022-10-18T10:34:25Z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a046369c-8bf0-4d80-917e-9e240fde5e4e</vt:lpwstr>
  </property>
  <property fmtid="{D5CDD505-2E9C-101B-9397-08002B2CF9AE}" pid="10" name="MSIP_Label_6bd9ddd1-4d20-43f6-abfa-fc3c07406f94_ContentBits">
    <vt:lpwstr>0</vt:lpwstr>
  </property>
</Properties>
</file>