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279E0" w14:textId="709110BB" w:rsidR="007340A9" w:rsidRPr="00AF094E" w:rsidRDefault="00E52A49" w:rsidP="007B0D32">
      <w:pPr>
        <w:spacing w:after="6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IE" w:eastAsia="en-GB"/>
        </w:rPr>
      </w:pPr>
      <w:r w:rsidRPr="00E52A4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Follow-up to the European Parliament non-legislative resolution on</w:t>
      </w:r>
      <w:r w:rsidR="007B0D3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gramStart"/>
      <w:r w:rsidR="00433516" w:rsidRPr="0043351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Renewed</w:t>
      </w:r>
      <w:proofErr w:type="gramEnd"/>
      <w:r w:rsidR="00433516" w:rsidRPr="0043351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partnership with the Southern Neighbourhood – a new agenda for the Mediterranean</w:t>
      </w:r>
    </w:p>
    <w:p w14:paraId="1785ED6B" w14:textId="2F3EEABA" w:rsidR="005A3E3A" w:rsidRPr="007D2B1A" w:rsidRDefault="007340A9" w:rsidP="007B0D32">
      <w:pPr>
        <w:numPr>
          <w:ilvl w:val="0"/>
          <w:numId w:val="1"/>
        </w:num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s-CU" w:eastAsia="en-GB"/>
        </w:rPr>
      </w:pPr>
      <w:r w:rsidRPr="00921F7A">
        <w:rPr>
          <w:rFonts w:ascii="Times New Roman" w:eastAsia="Times New Roman" w:hAnsi="Times New Roman" w:cs="Times New Roman"/>
          <w:b/>
          <w:sz w:val="24"/>
          <w:szCs w:val="24"/>
          <w:lang w:val="es-CU" w:eastAsia="en-GB"/>
        </w:rPr>
        <w:t>Rapporteur:</w:t>
      </w:r>
      <w:r w:rsidRPr="00921F7A">
        <w:rPr>
          <w:rFonts w:ascii="Times New Roman" w:eastAsia="Times New Roman" w:hAnsi="Times New Roman" w:cs="Times New Roman"/>
          <w:sz w:val="24"/>
          <w:szCs w:val="24"/>
          <w:lang w:val="es-CU" w:eastAsia="en-GB"/>
        </w:rPr>
        <w:t xml:space="preserve"> </w:t>
      </w:r>
      <w:r w:rsidR="00433516" w:rsidRPr="007D2B1A">
        <w:rPr>
          <w:rFonts w:ascii="Times New Roman" w:hAnsi="Times New Roman" w:cs="Times New Roman"/>
          <w:noProof/>
          <w:sz w:val="24"/>
          <w:szCs w:val="24"/>
          <w:lang w:val="es-CU"/>
        </w:rPr>
        <w:t>Antonio LÓPEZ-ISTÚRIZ WHITE</w:t>
      </w:r>
      <w:r w:rsidR="00433516" w:rsidRPr="007D2B1A">
        <w:rPr>
          <w:rFonts w:ascii="Times New Roman" w:eastAsia="Times New Roman" w:hAnsi="Times New Roman" w:cs="Times New Roman"/>
          <w:sz w:val="24"/>
          <w:szCs w:val="24"/>
          <w:lang w:val="es-CU" w:eastAsia="en-GB"/>
        </w:rPr>
        <w:t xml:space="preserve"> </w:t>
      </w:r>
      <w:r w:rsidR="00B90522" w:rsidRPr="007D2B1A">
        <w:rPr>
          <w:rFonts w:ascii="Times New Roman" w:eastAsia="Times New Roman" w:hAnsi="Times New Roman" w:cs="Times New Roman"/>
          <w:sz w:val="24"/>
          <w:szCs w:val="24"/>
          <w:lang w:val="es-CU" w:eastAsia="en-GB"/>
        </w:rPr>
        <w:t>(</w:t>
      </w:r>
      <w:r w:rsidR="00433516" w:rsidRPr="007D2B1A">
        <w:rPr>
          <w:rFonts w:ascii="Times New Roman" w:eastAsia="Times New Roman" w:hAnsi="Times New Roman" w:cs="Times New Roman"/>
          <w:sz w:val="24"/>
          <w:szCs w:val="24"/>
          <w:lang w:val="es-CU" w:eastAsia="en-GB"/>
        </w:rPr>
        <w:t>EPP</w:t>
      </w:r>
      <w:r w:rsidR="00280851">
        <w:rPr>
          <w:rFonts w:ascii="Times New Roman" w:eastAsia="Times New Roman" w:hAnsi="Times New Roman" w:cs="Times New Roman"/>
          <w:sz w:val="24"/>
          <w:szCs w:val="24"/>
          <w:lang w:val="es-CU" w:eastAsia="en-GB"/>
        </w:rPr>
        <w:t xml:space="preserve"> </w:t>
      </w:r>
      <w:r w:rsidR="00433516" w:rsidRPr="007D2B1A">
        <w:rPr>
          <w:rFonts w:ascii="Times New Roman" w:eastAsia="Times New Roman" w:hAnsi="Times New Roman" w:cs="Times New Roman"/>
          <w:sz w:val="24"/>
          <w:szCs w:val="24"/>
          <w:lang w:val="es-CU" w:eastAsia="en-GB"/>
        </w:rPr>
        <w:t>/</w:t>
      </w:r>
      <w:r w:rsidR="00280851">
        <w:rPr>
          <w:rFonts w:ascii="Times New Roman" w:eastAsia="Times New Roman" w:hAnsi="Times New Roman" w:cs="Times New Roman"/>
          <w:sz w:val="24"/>
          <w:szCs w:val="24"/>
          <w:lang w:val="es-CU" w:eastAsia="en-GB"/>
        </w:rPr>
        <w:t xml:space="preserve"> </w:t>
      </w:r>
      <w:r w:rsidR="00433516" w:rsidRPr="007D2B1A">
        <w:rPr>
          <w:rFonts w:ascii="Times New Roman" w:eastAsia="Times New Roman" w:hAnsi="Times New Roman" w:cs="Times New Roman"/>
          <w:sz w:val="24"/>
          <w:szCs w:val="24"/>
          <w:lang w:val="es-CU" w:eastAsia="en-GB"/>
        </w:rPr>
        <w:t>ES</w:t>
      </w:r>
      <w:r w:rsidR="00B90522" w:rsidRPr="007D2B1A">
        <w:rPr>
          <w:rFonts w:ascii="Times New Roman" w:eastAsia="Times New Roman" w:hAnsi="Times New Roman" w:cs="Times New Roman"/>
          <w:sz w:val="24"/>
          <w:szCs w:val="24"/>
          <w:lang w:val="es-CU" w:eastAsia="en-GB"/>
        </w:rPr>
        <w:t>)</w:t>
      </w:r>
    </w:p>
    <w:p w14:paraId="07F1D055" w14:textId="2BD88D54" w:rsidR="005A3E3A" w:rsidRPr="007D2B1A" w:rsidRDefault="007340A9" w:rsidP="007B0D32">
      <w:pPr>
        <w:numPr>
          <w:ilvl w:val="0"/>
          <w:numId w:val="1"/>
        </w:num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E2B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Reference number: </w:t>
      </w:r>
      <w:r w:rsidR="00B90522" w:rsidRPr="00EE2B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 w:rsidR="00B90522" w:rsidRPr="007D2B1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202</w:t>
      </w:r>
      <w:r w:rsidR="00433516" w:rsidRPr="007D2B1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</w:t>
      </w:r>
      <w:r w:rsidR="00B90522" w:rsidRPr="007D2B1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/2</w:t>
      </w:r>
      <w:r w:rsidR="00433516" w:rsidRPr="007D2B1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007</w:t>
      </w:r>
      <w:r w:rsidR="002808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(INI) / </w:t>
      </w:r>
      <w:r w:rsidR="00B90522" w:rsidRPr="007D2B1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A9-0</w:t>
      </w:r>
      <w:r w:rsidR="00433516" w:rsidRPr="007D2B1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220</w:t>
      </w:r>
      <w:r w:rsidR="00B90522" w:rsidRPr="007D2B1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/2022 / P9_TA(2022)0</w:t>
      </w:r>
      <w:r w:rsidR="00433516" w:rsidRPr="007D2B1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318</w:t>
      </w:r>
    </w:p>
    <w:p w14:paraId="62D1F1AB" w14:textId="178E776C" w:rsidR="005A3E3A" w:rsidRPr="007D2B1A" w:rsidRDefault="007340A9" w:rsidP="007B0D32">
      <w:pPr>
        <w:numPr>
          <w:ilvl w:val="0"/>
          <w:numId w:val="1"/>
        </w:num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E2B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Date of adoption of the resolution:</w:t>
      </w:r>
      <w:r w:rsidRPr="007B0D3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433516" w:rsidRPr="007D2B1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14 September 2022</w:t>
      </w:r>
    </w:p>
    <w:p w14:paraId="2B310E14" w14:textId="77777777" w:rsidR="005A3E3A" w:rsidRPr="00875B38" w:rsidRDefault="007340A9" w:rsidP="007B0D32">
      <w:pPr>
        <w:numPr>
          <w:ilvl w:val="0"/>
          <w:numId w:val="1"/>
        </w:num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</w:pPr>
      <w:r w:rsidRPr="00EE2B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Competent Parliamentary Committee: </w:t>
      </w:r>
      <w:r w:rsidR="00B90522" w:rsidRPr="007D2B1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Committee on Foreign Affairs (AFET)</w:t>
      </w:r>
    </w:p>
    <w:p w14:paraId="3668A1AF" w14:textId="749FF29F" w:rsidR="002B4C56" w:rsidRPr="00EA3C21" w:rsidRDefault="007340A9" w:rsidP="007B0D32">
      <w:pPr>
        <w:widowControl w:val="0"/>
        <w:numPr>
          <w:ilvl w:val="0"/>
          <w:numId w:val="1"/>
        </w:num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IE" w:eastAsia="en-GB"/>
        </w:rPr>
      </w:pPr>
      <w:r w:rsidRPr="00AF094E">
        <w:rPr>
          <w:rFonts w:ascii="Times New Roman" w:eastAsia="Times New Roman" w:hAnsi="Times New Roman" w:cs="Times New Roman"/>
          <w:b/>
          <w:sz w:val="24"/>
          <w:szCs w:val="24"/>
          <w:lang w:val="en-IE" w:eastAsia="en-GB"/>
        </w:rPr>
        <w:t>Brief analysis/ assessment of the reso</w:t>
      </w:r>
      <w:r w:rsidR="00245606">
        <w:rPr>
          <w:rFonts w:ascii="Times New Roman" w:eastAsia="Times New Roman" w:hAnsi="Times New Roman" w:cs="Times New Roman"/>
          <w:b/>
          <w:sz w:val="24"/>
          <w:szCs w:val="24"/>
          <w:lang w:val="en-IE" w:eastAsia="en-GB"/>
        </w:rPr>
        <w:t>lution and requests made in it:</w:t>
      </w:r>
    </w:p>
    <w:p w14:paraId="1D323A25" w14:textId="77777777" w:rsidR="00EA3C21" w:rsidRDefault="00ED0F53" w:rsidP="00EA3C21">
      <w:pPr>
        <w:widowControl w:val="0"/>
        <w:spacing w:after="120" w:line="240" w:lineRule="auto"/>
        <w:jc w:val="both"/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</w:pPr>
      <w:r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 xml:space="preserve">Overall, </w:t>
      </w:r>
      <w:r w:rsidR="00E201C1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>the resolution</w:t>
      </w:r>
      <w:r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 xml:space="preserve"> </w:t>
      </w:r>
      <w:r w:rsidRPr="00ED0F53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>welcome</w:t>
      </w:r>
      <w:r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>s</w:t>
      </w:r>
      <w:r w:rsidRPr="00ED0F53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 xml:space="preserve"> the adoption of the Agenda for the Mediterran</w:t>
      </w:r>
      <w:r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 xml:space="preserve">ean, as a positive step towards further economic and policy </w:t>
      </w:r>
      <w:r w:rsidRPr="00F430BB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>integration</w:t>
      </w:r>
      <w:r w:rsidR="003E361E" w:rsidRPr="00F430BB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>;</w:t>
      </w:r>
      <w:r w:rsidR="0000602E" w:rsidRPr="00F430BB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 xml:space="preserve"> </w:t>
      </w:r>
      <w:r w:rsidR="00062B07" w:rsidRPr="00F430BB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 xml:space="preserve">it </w:t>
      </w:r>
      <w:r w:rsidR="0000602E" w:rsidRPr="00F430BB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>renews its call to invest in the S</w:t>
      </w:r>
      <w:r w:rsidR="0001263A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 xml:space="preserve">outh </w:t>
      </w:r>
      <w:r w:rsidR="0000602E" w:rsidRPr="00F430BB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>N</w:t>
      </w:r>
      <w:r w:rsidR="0001263A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>eighbourhood</w:t>
      </w:r>
      <w:r w:rsidR="0000602E" w:rsidRPr="00F430BB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>’s security, prosperity, climate resilience as it is in the EU’s interest</w:t>
      </w:r>
      <w:r w:rsidR="00062B07" w:rsidRPr="00F430BB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 xml:space="preserve"> and in line with EU values; it enumerates the new factors of fragility that worsen the situation in the </w:t>
      </w:r>
      <w:r w:rsidR="0001263A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>region</w:t>
      </w:r>
      <w:r w:rsidR="0001263A" w:rsidRPr="00F430BB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 xml:space="preserve"> </w:t>
      </w:r>
      <w:r w:rsidR="00062B07" w:rsidRPr="00F430BB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 xml:space="preserve">(political instability, socio-economic crisis, </w:t>
      </w:r>
      <w:r w:rsidR="00F1010B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>COVID-19</w:t>
      </w:r>
      <w:r w:rsidR="00F1010B" w:rsidRPr="00F430BB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 xml:space="preserve"> </w:t>
      </w:r>
      <w:r w:rsidR="00062B07" w:rsidRPr="00F430BB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 xml:space="preserve">and impact of Russia’s aggression </w:t>
      </w:r>
      <w:r w:rsidR="00EC4DF3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>of</w:t>
      </w:r>
      <w:r w:rsidR="00062B07" w:rsidRPr="00F430BB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 xml:space="preserve"> Ukraine</w:t>
      </w:r>
      <w:r w:rsidR="00620542" w:rsidRPr="00F430BB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>)</w:t>
      </w:r>
      <w:r w:rsidR="003E361E" w:rsidRPr="00F430BB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>;</w:t>
      </w:r>
      <w:r w:rsidRPr="00F430BB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 xml:space="preserve"> </w:t>
      </w:r>
      <w:r w:rsidR="0001263A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>i</w:t>
      </w:r>
      <w:r w:rsidR="001461DF" w:rsidRPr="00F430BB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 xml:space="preserve">t points to the need of securing adequate resources </w:t>
      </w:r>
      <w:r w:rsidR="003E361E" w:rsidRPr="00F430BB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>for impleme</w:t>
      </w:r>
      <w:r w:rsidR="00F430BB" w:rsidRPr="00F430BB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>n</w:t>
      </w:r>
      <w:r w:rsidR="003E361E" w:rsidRPr="00F430BB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 xml:space="preserve">ting the Agenda; </w:t>
      </w:r>
      <w:r w:rsidR="0001263A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>i</w:t>
      </w:r>
      <w:r w:rsidR="001461DF" w:rsidRPr="00F430BB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>t calls for strengthened dialogue and cooperation with Southern Neighbourhood countries</w:t>
      </w:r>
      <w:r w:rsidR="003E361E" w:rsidRPr="00F430BB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 xml:space="preserve">; </w:t>
      </w:r>
      <w:r w:rsidR="0001263A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>i</w:t>
      </w:r>
      <w:r w:rsidR="001461DF" w:rsidRPr="00F430BB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>t insists on supporting access to education and training to broad</w:t>
      </w:r>
      <w:r w:rsidR="00F430BB" w:rsidRPr="00F430BB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 xml:space="preserve">en access to employment; </w:t>
      </w:r>
      <w:r w:rsidR="0001263A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>i</w:t>
      </w:r>
      <w:r w:rsidR="001461DF" w:rsidRPr="00F430BB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>t asks to address orderly migration, respecting fully human rights and tackling</w:t>
      </w:r>
      <w:r w:rsidR="00F430BB" w:rsidRPr="00F430BB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 xml:space="preserve"> root causes through programmes; </w:t>
      </w:r>
      <w:r w:rsidR="0001263A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>i</w:t>
      </w:r>
      <w:r w:rsidR="001461DF" w:rsidRPr="00F430BB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>t asks to step up cooperation on climate change and environmental matters (including water resource</w:t>
      </w:r>
      <w:r w:rsidR="00EC4DF3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>s</w:t>
      </w:r>
      <w:r w:rsidR="001461DF" w:rsidRPr="00F430BB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>)</w:t>
      </w:r>
      <w:r w:rsidR="00EC4DF3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>,</w:t>
      </w:r>
      <w:r w:rsidR="001461DF" w:rsidRPr="00F430BB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 xml:space="preserve"> and to facilitate regional dialogue and cooperation in the field of energy and interconnection capacity between the EU and the </w:t>
      </w:r>
      <w:r w:rsidR="0001263A" w:rsidRPr="00F430BB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>S</w:t>
      </w:r>
      <w:r w:rsidR="0001263A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 xml:space="preserve">outh </w:t>
      </w:r>
      <w:r w:rsidR="0001263A" w:rsidRPr="00F430BB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>N</w:t>
      </w:r>
      <w:r w:rsidR="0001263A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>eighbourhood</w:t>
      </w:r>
      <w:r w:rsidR="001461DF" w:rsidRPr="00F430BB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 xml:space="preserve"> countries.</w:t>
      </w:r>
      <w:r w:rsidR="0094101E"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 xml:space="preserve"> </w:t>
      </w:r>
    </w:p>
    <w:p w14:paraId="4567CA04" w14:textId="262965C7" w:rsidR="002B4C56" w:rsidRPr="002B4C56" w:rsidRDefault="002B4C56" w:rsidP="007B0D32">
      <w:pPr>
        <w:widowControl w:val="0"/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IE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IE" w:eastAsia="en-GB"/>
        </w:rPr>
        <w:t>6.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IE" w:eastAsia="en-GB"/>
        </w:rPr>
        <w:tab/>
      </w:r>
      <w:r w:rsidR="007340A9" w:rsidRPr="002B4C56">
        <w:rPr>
          <w:rFonts w:ascii="Times New Roman" w:eastAsia="Times New Roman" w:hAnsi="Times New Roman" w:cs="Times New Roman"/>
          <w:b/>
          <w:sz w:val="24"/>
          <w:szCs w:val="24"/>
          <w:lang w:val="en-IE" w:eastAsia="en-GB"/>
        </w:rPr>
        <w:t xml:space="preserve">Response to requests and overview of action taken, or intended to be taken, by the Commission: </w:t>
      </w:r>
    </w:p>
    <w:p w14:paraId="6A02E302" w14:textId="64C8FF5D" w:rsidR="00062B07" w:rsidRDefault="00F1010B" w:rsidP="007B0D32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</w:pPr>
      <w:r>
        <w:rPr>
          <w:rFonts w:asciiTheme="majorBidi" w:hAnsiTheme="majorBidi" w:cstheme="majorBidi"/>
          <w:spacing w:val="-6"/>
          <w:sz w:val="24"/>
          <w:szCs w:val="24"/>
          <w:lang w:val="en-IE" w:eastAsia="de-AT"/>
        </w:rPr>
        <w:t xml:space="preserve">Most of the points raised in the resolution are covered by the Joint Communication on a new Agenda for the Mediterranean. </w:t>
      </w:r>
      <w:r w:rsidR="005006D4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In response to the resources</w:t>
      </w:r>
      <w:r w:rsidR="00D75404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theme</w:t>
      </w:r>
      <w:r w:rsidR="000350F1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(</w:t>
      </w:r>
      <w:r w:rsidR="000350F1" w:rsidRPr="00F155BE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>para</w:t>
      </w:r>
      <w:r w:rsidR="00F155BE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>graph</w:t>
      </w:r>
      <w:r w:rsidR="000350F1" w:rsidRPr="00F155BE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 xml:space="preserve"> a</w:t>
      </w:r>
      <w:r w:rsidR="000350F1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)</w:t>
      </w:r>
      <w:r w:rsidR="005006D4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, the </w:t>
      </w:r>
      <w:r w:rsidR="0082467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Neighbourhood</w:t>
      </w:r>
      <w:r w:rsidR="00EC509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,</w:t>
      </w:r>
      <w:r w:rsidR="0082467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Development </w:t>
      </w:r>
      <w:r w:rsidR="00EC509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for International</w:t>
      </w:r>
      <w:r w:rsidR="0082467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Cooperation Instrument </w:t>
      </w:r>
      <w:r w:rsidR="00EC509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(</w:t>
      </w:r>
      <w:r w:rsidR="005006D4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NDICI</w:t>
      </w:r>
      <w:r w:rsidR="00EC509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)</w:t>
      </w:r>
      <w:r w:rsidR="005006D4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South budget for </w:t>
      </w:r>
      <w:r w:rsidR="005F0206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20</w:t>
      </w:r>
      <w:r w:rsidR="005006D4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21-</w:t>
      </w:r>
      <w:r w:rsidR="005F0206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20</w:t>
      </w:r>
      <w:r w:rsidR="005006D4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27 is of approximately EUR 12 billion. This doesn’t </w:t>
      </w:r>
      <w:r w:rsidR="000350F1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take into account</w:t>
      </w:r>
      <w:r w:rsidR="005006D4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the amounts that could eventually be mobilised through the emergency funds and</w:t>
      </w:r>
      <w:r w:rsidR="009C1284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the macro-financial assistance</w:t>
      </w:r>
      <w:r w:rsidR="00D75404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inside the EU budget</w:t>
      </w:r>
      <w:r w:rsidR="009C1284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. Besides, blending and guarantees have a leverage effect </w:t>
      </w:r>
      <w:r w:rsidR="000350F1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that will trigger additional funding</w:t>
      </w:r>
      <w:r w:rsidR="009C1284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.</w:t>
      </w:r>
      <w:r w:rsidR="0001263A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High-Level</w:t>
      </w:r>
      <w:r w:rsidR="000350F1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Geopolitical </w:t>
      </w:r>
      <w:r w:rsidR="0001263A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D</w:t>
      </w:r>
      <w:r w:rsidR="000350F1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ialogues with the E</w:t>
      </w:r>
      <w:r w:rsidR="0001263A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uropean Parliament</w:t>
      </w:r>
      <w:r w:rsidR="000350F1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are held </w:t>
      </w:r>
      <w:r w:rsidR="00223980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twice a year</w:t>
      </w:r>
      <w:r w:rsidR="000350F1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</w:t>
      </w:r>
      <w:r w:rsidR="00FC6C0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to report inter alia </w:t>
      </w:r>
      <w:r w:rsidR="000350F1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on </w:t>
      </w:r>
      <w:r w:rsidR="0001263A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its</w:t>
      </w:r>
      <w:r w:rsidR="000350F1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implementation</w:t>
      </w:r>
      <w:r w:rsidR="00FC6C0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(</w:t>
      </w:r>
      <w:r w:rsidR="00FC6C0F" w:rsidRPr="00F155BE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>para</w:t>
      </w:r>
      <w:r w:rsidR="00F155BE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>graphs</w:t>
      </w:r>
      <w:r w:rsidR="00FC6C0F" w:rsidRPr="00F155BE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 xml:space="preserve"> </w:t>
      </w:r>
      <w:proofErr w:type="gramStart"/>
      <w:r w:rsidR="00FC6C0F" w:rsidRPr="00F155BE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 xml:space="preserve">a </w:t>
      </w:r>
      <w:r w:rsidR="0001263A" w:rsidRPr="00F155BE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>and</w:t>
      </w:r>
      <w:proofErr w:type="gramEnd"/>
      <w:r w:rsidR="00FC6C0F" w:rsidRPr="00F155BE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 xml:space="preserve"> </w:t>
      </w:r>
      <w:proofErr w:type="spellStart"/>
      <w:r w:rsidR="00FC6C0F" w:rsidRPr="00F155BE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>aj</w:t>
      </w:r>
      <w:proofErr w:type="spellEnd"/>
      <w:r w:rsidR="00FC6C0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).</w:t>
      </w:r>
    </w:p>
    <w:p w14:paraId="0BCBA4C3" w14:textId="179BA0E4" w:rsidR="000350F1" w:rsidRDefault="000350F1" w:rsidP="007B0D32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To ensure relevance of programming, constant dialogues are held with national authorities </w:t>
      </w:r>
      <w:r w:rsidR="004C6CA8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to ensure relevance and complementarity of support with national plans</w:t>
      </w:r>
      <w:r w:rsidR="00B96D0C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C</w:t>
      </w:r>
      <w:r w:rsidR="0001263A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ivil 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S</w:t>
      </w:r>
      <w:r w:rsidR="0001263A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ociety 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O</w:t>
      </w:r>
      <w:r w:rsidR="0001263A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rganisation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s</w:t>
      </w:r>
      <w:r w:rsidR="004C6CA8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</w:t>
      </w:r>
      <w:r w:rsidR="0001263A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(CSO) 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opinions are sought in the process</w:t>
      </w:r>
      <w:r w:rsidR="0062138A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and s</w:t>
      </w:r>
      <w:r w:rsidR="004C6CA8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upport to CSOs is </w:t>
      </w:r>
      <w:r w:rsidR="00EC4DF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ensured </w:t>
      </w:r>
      <w:r w:rsidR="004C6CA8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(</w:t>
      </w:r>
      <w:r w:rsidR="004C6CA8" w:rsidRPr="00F155BE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>para</w:t>
      </w:r>
      <w:r w:rsidR="00F155BE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>graph</w:t>
      </w:r>
      <w:r w:rsidR="004C6CA8" w:rsidRPr="00F155BE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 xml:space="preserve"> ae</w:t>
      </w:r>
      <w:r w:rsidR="004C6CA8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). </w:t>
      </w:r>
      <w:r w:rsidR="00EC4DF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Two new Partnership P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riorities</w:t>
      </w:r>
      <w:r w:rsidR="00C61A1C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(PP)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</w:t>
      </w:r>
      <w:r w:rsidR="00EC4DF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already </w:t>
      </w:r>
      <w:r w:rsidR="00EC4DF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been 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adopted </w:t>
      </w:r>
      <w:r w:rsidR="00EC4DF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together 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with E</w:t>
      </w:r>
      <w:r w:rsidR="00D75404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gypt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and J</w:t>
      </w:r>
      <w:r w:rsidR="00D75404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ordan</w:t>
      </w:r>
      <w:r w:rsidR="00223980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, while the Annual Plan</w:t>
      </w:r>
      <w:r w:rsidR="00F1010B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s</w:t>
      </w:r>
      <w:r w:rsidR="00223980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for Palestine and Israel have been extended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and consult</w:t>
      </w:r>
      <w:r w:rsidR="00EC4DF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ations are on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going </w:t>
      </w:r>
      <w:r w:rsidR="00C61A1C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the other countries (</w:t>
      </w:r>
      <w:r w:rsidRPr="00F155BE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>para</w:t>
      </w:r>
      <w:r w:rsidR="00F155BE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>graphs</w:t>
      </w:r>
      <w:r w:rsidRPr="00F155BE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 xml:space="preserve"> b, c</w:t>
      </w:r>
      <w:r w:rsidR="00280851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 xml:space="preserve"> and</w:t>
      </w:r>
      <w:r w:rsidRPr="00F155BE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 xml:space="preserve"> </w:t>
      </w:r>
      <w:r w:rsidR="008E46BB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>g</w:t>
      </w:r>
      <w:r w:rsidR="004C6CA8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)</w:t>
      </w:r>
      <w:r w:rsidR="00D75404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.</w:t>
      </w:r>
      <w:r w:rsidR="00223980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Existing old Partnership Priorities (jointly agreed documents) have been extended with all the other countries (Algeria, Lebanon, Tunisia</w:t>
      </w:r>
      <w:r w:rsidR="00E90EB9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), with the exception of Morocco. No PPs are in place for Libya and Syria.</w:t>
      </w:r>
    </w:p>
    <w:p w14:paraId="38186B42" w14:textId="18F607F9" w:rsidR="00890F08" w:rsidRDefault="0089423E" w:rsidP="007B0D32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In the Southern Neighbourhood</w:t>
      </w:r>
      <w:r w:rsidR="00AD769E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Multiannual Indicative Programmes </w:t>
      </w:r>
      <w:r w:rsidR="00E1619E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(MIP) 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for the period 2021-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lastRenderedPageBreak/>
        <w:t>2027 have been adop</w:t>
      </w:r>
      <w:r w:rsidR="00EA3C21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ted for Algeria, Egypt</w:t>
      </w:r>
      <w:r w:rsidR="00AD769E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and </w:t>
      </w:r>
      <w:r w:rsidR="00EA3C21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Jordan,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in addition to the Regional Neighbourhood South </w:t>
      </w:r>
      <w:r w:rsidRPr="00E1619E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MIP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. A Multi-country MIP on Migration is under adoption. Cooperation with partner countries that do not have a MIP in place works through either individual (Morocco and Tunisia) or special measures (Libya and Syria).</w:t>
      </w:r>
    </w:p>
    <w:p w14:paraId="1E7C88EF" w14:textId="7E19DB7B" w:rsidR="000350F1" w:rsidRDefault="00FE1A2F" w:rsidP="007B0D32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T</w:t>
      </w:r>
      <w:r w:rsidRPr="00FE1A2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o mitigate the effects of potential emerging food crises due to </w:t>
      </w:r>
      <w:r w:rsidR="00EC4DF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the </w:t>
      </w:r>
      <w:r w:rsidRPr="00FE1A2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high dependence on food imports disrupted by the </w:t>
      </w:r>
      <w:r w:rsidR="00EC4DF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Russian aggression of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Ukraine, </w:t>
      </w:r>
      <w:r w:rsidR="000350F1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the EU </w:t>
      </w:r>
      <w:r w:rsidR="00EC4DF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has </w:t>
      </w:r>
      <w:r w:rsidR="000350F1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set up a Food and Resilience Facility worth </w:t>
      </w:r>
      <w:r w:rsidR="0001263A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EUR </w:t>
      </w:r>
      <w:r w:rsidR="000350F1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225</w:t>
      </w:r>
      <w:r w:rsidR="0001263A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</w:t>
      </w:r>
      <w:r w:rsidR="000350F1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m</w:t>
      </w:r>
      <w:r w:rsidR="0001263A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illion</w:t>
      </w:r>
      <w:r w:rsidR="00EC4DF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,</w:t>
      </w:r>
      <w:r w:rsidR="000350F1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from the </w:t>
      </w:r>
      <w:r w:rsidR="00F1010B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2021/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2022 </w:t>
      </w:r>
      <w:r w:rsidR="000350F1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NDICI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</w:t>
      </w:r>
      <w:r w:rsidR="003C4BE4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South Neighbourhood 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envelop</w:t>
      </w:r>
      <w:r w:rsidR="00AD769E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e</w:t>
      </w:r>
      <w:r w:rsidR="00F1010B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. This comes in addition to the </w:t>
      </w:r>
      <w:r w:rsidRPr="00FE1A2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EU support earmarked for sustainable food systems development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and social safety nets</w:t>
      </w:r>
      <w:r w:rsidRPr="00FE1A2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in the Southern </w:t>
      </w:r>
      <w:r w:rsidR="0001263A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N</w:t>
      </w:r>
      <w:r w:rsidRPr="00FE1A2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eighbourhood </w:t>
      </w:r>
      <w:r w:rsidR="00EC4DF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until</w:t>
      </w:r>
      <w:r w:rsidRPr="00FE1A2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(</w:t>
      </w:r>
      <w:r w:rsidRPr="00F155BE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>para</w:t>
      </w:r>
      <w:r w:rsidR="00F155BE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>graph</w:t>
      </w:r>
      <w:r w:rsidRPr="00F155BE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 xml:space="preserve"> e</w:t>
      </w:r>
      <w:r w:rsidR="00721FD2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).</w:t>
      </w:r>
    </w:p>
    <w:p w14:paraId="2A9E063A" w14:textId="5F79250F" w:rsidR="002948E2" w:rsidRPr="002948E2" w:rsidRDefault="002948E2" w:rsidP="007B0D32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Regarding economic development and alleviation of poverty (</w:t>
      </w:r>
      <w:r w:rsidRPr="00F155B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para</w:t>
      </w:r>
      <w:r w:rsidR="00F155B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graph</w:t>
      </w:r>
      <w:r w:rsidRPr="00F155B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), the Joint Communication </w:t>
      </w:r>
      <w:r w:rsidR="00EC4D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is accompanied by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an Economic and Investment Plan</w:t>
      </w:r>
      <w:r w:rsidR="00EC4DF3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C4DF3">
        <w:rPr>
          <w:rFonts w:ascii="Times New Roman" w:eastAsia="Times New Roman" w:hAnsi="Times New Roman" w:cs="Times New Roman"/>
          <w:sz w:val="24"/>
          <w:szCs w:val="24"/>
          <w:lang w:eastAsia="en-GB"/>
        </w:rPr>
        <w:t>which includes</w:t>
      </w:r>
      <w:r w:rsidRPr="002948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proposals for flagship initiatives to support efforts in various policy areas</w:t>
      </w:r>
      <w:r w:rsidR="0001263A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2948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such as growth and jobs, tra</w:t>
      </w:r>
      <w:r w:rsidR="00EC4D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de, </w:t>
      </w:r>
      <w:r w:rsidRPr="002948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support to Small and Medium </w:t>
      </w:r>
      <w:r w:rsidR="0001263A" w:rsidRPr="002948E2">
        <w:rPr>
          <w:rFonts w:ascii="Times New Roman" w:eastAsia="Times New Roman" w:hAnsi="Times New Roman" w:cs="Times New Roman"/>
          <w:sz w:val="24"/>
          <w:szCs w:val="24"/>
          <w:lang w:eastAsia="en-GB"/>
        </w:rPr>
        <w:t>Enterprises</w:t>
      </w:r>
      <w:r w:rsidRPr="002948E2">
        <w:rPr>
          <w:rFonts w:ascii="Times New Roman" w:eastAsia="Times New Roman" w:hAnsi="Times New Roman" w:cs="Times New Roman"/>
          <w:sz w:val="24"/>
          <w:szCs w:val="24"/>
          <w:lang w:eastAsia="en-GB"/>
        </w:rPr>
        <w:t>, sustainable economies including green, blue and circular economies, energy and digital transition</w:t>
      </w:r>
      <w:r w:rsidR="00EC4DF3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Pr="002948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infrastructure projects</w:t>
      </w:r>
      <w:r w:rsidR="008E46BB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2948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quote but a few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 Cooperation with most of the partner countries includes a component for support to economic growth, including job creation</w:t>
      </w:r>
      <w:r w:rsidR="003053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digital transition</w:t>
      </w:r>
      <w:r w:rsidR="0028085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B61AAE7" w14:textId="7A36C64C" w:rsidR="00E75718" w:rsidRDefault="009C5FF5" w:rsidP="007B0D32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The EU</w:t>
      </w:r>
      <w:r w:rsidRPr="00CA4515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will continue </w:t>
      </w:r>
      <w:r w:rsidR="00EC4DF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its work with the </w:t>
      </w:r>
      <w:r w:rsidR="003C4BE4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European </w:t>
      </w:r>
      <w:r w:rsidR="00EC4DF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Financi</w:t>
      </w:r>
      <w:r w:rsidR="003C4BE4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ng</w:t>
      </w:r>
      <w:r w:rsidR="00EC4DF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I</w:t>
      </w:r>
      <w:r w:rsidRPr="00CA4515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nstitutions to which 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the EU</w:t>
      </w:r>
      <w:r w:rsidRPr="00CA4515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will offer guarantees or contribute to blen</w:t>
      </w:r>
      <w:r w:rsidR="00EC4DF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ding to finance infrastructures</w:t>
      </w:r>
      <w:r w:rsidR="003053AD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as well as to offer financial instruments to support private sector investment activities</w:t>
      </w:r>
      <w:r w:rsidR="00971498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.</w:t>
      </w:r>
      <w:bookmarkStart w:id="0" w:name="_GoBack"/>
      <w:bookmarkEnd w:id="0"/>
    </w:p>
    <w:p w14:paraId="3CE60C80" w14:textId="7068B9A9" w:rsidR="009C5FF5" w:rsidRDefault="00EC4DF3" w:rsidP="007B0D32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Through different Team Europe I</w:t>
      </w:r>
      <w:r w:rsidR="009C5FF5" w:rsidRPr="00CA4515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nitiatives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,</w:t>
      </w:r>
      <w:r w:rsidR="009C5FF5" w:rsidRPr="00CA4515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</w:t>
      </w:r>
      <w:r w:rsidR="009C5FF5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the EU</w:t>
      </w:r>
      <w:r w:rsidR="009C5FF5" w:rsidRPr="00CA4515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</w:t>
      </w:r>
      <w:r w:rsidR="00F1010B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and its Member States </w:t>
      </w:r>
      <w:r w:rsidR="009C5FF5" w:rsidRPr="00CA4515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will team up to increase the European impact and visibility</w:t>
      </w:r>
      <w:r w:rsidR="009C5FF5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.</w:t>
      </w:r>
    </w:p>
    <w:p w14:paraId="607A6742" w14:textId="5EBD1281" w:rsidR="009C1284" w:rsidRDefault="0020239D" w:rsidP="007B0D32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A significant part of</w:t>
      </w:r>
      <w:r w:rsidR="00FE1A2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the </w:t>
      </w:r>
      <w:r w:rsidR="00FE1A2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population in the </w:t>
      </w:r>
      <w:r w:rsidR="00EC4DF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Southern </w:t>
      </w:r>
      <w:r w:rsidR="00FE1A2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Neighbourhood is </w:t>
      </w:r>
      <w:r w:rsidR="00EC4DF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younger than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25</w:t>
      </w:r>
      <w:r w:rsidR="00FE1A2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</w:t>
      </w:r>
      <w:r w:rsidR="00EC4DF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years old, </w:t>
      </w:r>
      <w:r w:rsidR="00FE1A2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and the programmes financed by the EU address </w:t>
      </w:r>
      <w:r w:rsidR="00D166C5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youth</w:t>
      </w:r>
      <w:r w:rsidR="00EC4DF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issues</w:t>
      </w:r>
      <w:r w:rsidR="0032520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,</w:t>
      </w:r>
      <w:r w:rsidR="00D166C5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education and access to employment</w:t>
      </w:r>
      <w:r w:rsidR="00721FD2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, including through </w:t>
      </w:r>
      <w:r w:rsidR="006D424B" w:rsidRPr="006D424B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Vocational Education &amp; Training (</w:t>
      </w:r>
      <w:r w:rsidR="00721FD2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VET</w:t>
      </w:r>
      <w:r w:rsidR="006D424B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.</w:t>
      </w:r>
      <w:r w:rsidR="00D166C5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</w:t>
      </w:r>
      <w:r w:rsidR="00721FD2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For instance, i</w:t>
      </w:r>
      <w:r w:rsidR="00721FD2" w:rsidRPr="00721FD2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n Algeria, a new youth entrepreneurship</w:t>
      </w:r>
      <w:r w:rsidR="00EC4DF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programme in the tourism sector</w:t>
      </w:r>
      <w:r w:rsidR="00721FD2" w:rsidRPr="00721FD2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started in 2022</w:t>
      </w:r>
      <w:r w:rsidR="003053AD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, similarly in Palestine where targeted support for youth has started early 2022</w:t>
      </w:r>
      <w:r w:rsidR="009D3B50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. </w:t>
      </w:r>
      <w:r w:rsidR="00FE1A2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In addition, the Erasmus programme for </w:t>
      </w:r>
      <w:r w:rsidR="009C5FF5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20</w:t>
      </w:r>
      <w:r w:rsidR="00FE1A2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21-</w:t>
      </w:r>
      <w:r w:rsidR="009C5FF5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20</w:t>
      </w:r>
      <w:r w:rsidR="00FE1A2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27 will dedicate </w:t>
      </w:r>
      <w:r w:rsidR="006D424B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EUR </w:t>
      </w:r>
      <w:r w:rsidR="00FE1A2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335</w:t>
      </w:r>
      <w:r w:rsidR="006D424B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</w:t>
      </w:r>
      <w:r w:rsidR="00FE1A2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m</w:t>
      </w:r>
      <w:r w:rsidR="006D424B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illion</w:t>
      </w:r>
      <w:r w:rsidR="00FE1A2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to promoting different strands of education in the Neighbourhood South, including </w:t>
      </w:r>
      <w:r w:rsidR="0032520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mobility, </w:t>
      </w:r>
      <w:r w:rsidR="00FE1A2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higher education, </w:t>
      </w:r>
      <w:proofErr w:type="gramStart"/>
      <w:r w:rsidR="00FE1A2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youth</w:t>
      </w:r>
      <w:proofErr w:type="gramEnd"/>
      <w:r w:rsidR="00FE1A2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projects and VET</w:t>
      </w:r>
      <w:r w:rsidR="00721FD2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. </w:t>
      </w:r>
      <w:r w:rsidR="001726B2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Support</w:t>
      </w:r>
      <w:r w:rsidR="009D3B50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to education was paramount in assistance of r</w:t>
      </w:r>
      <w:r w:rsidR="00721FD2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efugees </w:t>
      </w:r>
      <w:r w:rsidR="009D3B50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in countries surrounding Syria</w:t>
      </w:r>
      <w:r w:rsidR="000A4861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(</w:t>
      </w:r>
      <w:r w:rsidR="00F155BE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 xml:space="preserve">paragraph </w:t>
      </w:r>
      <w:r w:rsidR="000A4861" w:rsidRPr="00F155BE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>g</w:t>
      </w:r>
      <w:r w:rsidR="000A4861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)</w:t>
      </w:r>
      <w:r w:rsidR="003053AD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as well as for Palestinian refugees in the respective host countries</w:t>
      </w:r>
      <w:r w:rsidR="000A4861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.</w:t>
      </w:r>
    </w:p>
    <w:p w14:paraId="52D84A3C" w14:textId="69B7CE4F" w:rsidR="00CA4515" w:rsidRDefault="00CA4515" w:rsidP="007B0D32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</w:pPr>
      <w:r w:rsidRPr="00CA4515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Despite some positive changes to improve gender equality, discrimination and hostility towards women and vulnerable groups, </w:t>
      </w:r>
      <w:r w:rsidR="00EC4DF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this topic </w:t>
      </w:r>
      <w:r w:rsidRPr="00CA4515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remains a concern in the Southern Neighbourhood. Further work is required to ensure equality between women and men, including tackling domestic and gender-based violence, and ensuring equal opportunities for women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. For instance, at re</w:t>
      </w:r>
      <w:r w:rsidR="00EC4DF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gional level, a programme is on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going to prevent and </w:t>
      </w:r>
      <w:r w:rsidR="00EC4DF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combat gender-based violence and a new programme on women economic empowerment is being set-up (</w:t>
      </w:r>
      <w:r w:rsidRPr="00F155BE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>p</w:t>
      </w:r>
      <w:r w:rsidR="00F155BE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>aragraphs</w:t>
      </w:r>
      <w:r w:rsidRPr="00F155BE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 xml:space="preserve"> h </w:t>
      </w:r>
      <w:r w:rsidR="00A02A36" w:rsidRPr="00F155BE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>and</w:t>
      </w:r>
      <w:r w:rsidRPr="00F155BE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 xml:space="preserve"> i</w:t>
      </w:r>
      <w:r w:rsidR="00280851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).</w:t>
      </w:r>
    </w:p>
    <w:p w14:paraId="094C267A" w14:textId="576194EE" w:rsidR="00EE2BB6" w:rsidRPr="00EE2BB6" w:rsidRDefault="006638C5" w:rsidP="0028085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As regards m</w:t>
      </w:r>
      <w:r w:rsidR="0032520F" w:rsidRPr="006638C5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igration (</w:t>
      </w:r>
      <w:r w:rsidR="00F155BE" w:rsidRPr="00F155BE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>paragraphs</w:t>
      </w:r>
      <w:r w:rsidR="0032520F" w:rsidRPr="00F155BE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 xml:space="preserve"> k, l</w:t>
      </w:r>
      <w:r w:rsidR="00A02A36" w:rsidRPr="00F155BE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 xml:space="preserve"> and</w:t>
      </w:r>
      <w:r w:rsidR="0032520F" w:rsidRPr="00F155BE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 xml:space="preserve"> m</w:t>
      </w:r>
      <w:r w:rsidR="0032520F" w:rsidRPr="006638C5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)</w:t>
      </w:r>
      <w:r w:rsidR="00A02A36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t</w:t>
      </w:r>
      <w:r w:rsidRPr="006638C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he resolution is in line with the Commission</w:t>
      </w:r>
      <w:r w:rsidR="00EC4DF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’s</w:t>
      </w:r>
      <w:r w:rsidRPr="006638C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actions in the framework on the New Pact on Migration and Asylum and the Agenda for the Mediterranean. </w:t>
      </w:r>
      <w:r w:rsidR="004965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The Commission</w:t>
      </w:r>
      <w:r w:rsidR="004965C0" w:rsidRPr="006638C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6638C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ha</w:t>
      </w:r>
      <w:r w:rsidR="004965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</w:t>
      </w:r>
      <w:r w:rsidRPr="006638C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been working closely with partners, in view of forging comprehensive, mutually beneficial and balanced partnership</w:t>
      </w:r>
      <w:r w:rsidR="00AD7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s </w:t>
      </w:r>
      <w:r w:rsidRPr="006638C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on the basis of a whole-of-route approach including by addressing the root causes of irregular migration and forced displacement</w:t>
      </w:r>
      <w:r w:rsidR="00EE2BB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FF66C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and</w:t>
      </w:r>
      <w:r w:rsidR="00FF66C2" w:rsidRPr="00060D88">
        <w:rPr>
          <w:rFonts w:ascii="Times New Roman" w:hAnsi="Times New Roman" w:cs="Times New Roman"/>
          <w:bCs/>
          <w:lang w:eastAsia="en-GB"/>
        </w:rPr>
        <w:t xml:space="preserve"> </w:t>
      </w:r>
      <w:r w:rsidR="00050C0C" w:rsidRPr="00060D88">
        <w:rPr>
          <w:rFonts w:ascii="Times New Roman" w:hAnsi="Times New Roman" w:cs="Times New Roman"/>
          <w:bCs/>
          <w:lang w:eastAsia="en-GB"/>
        </w:rPr>
        <w:t>seizing the benefits of legal migration</w:t>
      </w:r>
      <w:r w:rsidR="00050C0C" w:rsidRPr="00060D88">
        <w:rPr>
          <w:rFonts w:ascii="Times New Roman" w:hAnsi="Times New Roman" w:cs="Times New Roman"/>
          <w:lang w:eastAsia="en-GB"/>
        </w:rPr>
        <w:t xml:space="preserve"> efficiently and effectively</w:t>
      </w:r>
      <w:r w:rsidR="00EE2BB6">
        <w:rPr>
          <w:rFonts w:ascii="Times New Roman" w:hAnsi="Times New Roman" w:cs="Times New Roman"/>
          <w:lang w:eastAsia="en-GB"/>
        </w:rPr>
        <w:t>.</w:t>
      </w:r>
    </w:p>
    <w:p w14:paraId="1F4A6136" w14:textId="12BEFD5B" w:rsidR="006638C5" w:rsidRPr="006638C5" w:rsidRDefault="006638C5" w:rsidP="007B0D32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638C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The programming process undertaken in 2021 and 2022 factored in the indicative 10% migration </w:t>
      </w:r>
      <w:r w:rsidRPr="006638C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 xml:space="preserve">spending target, with relevant migration and forced displacement considerations integrated in a tailor-made yet flexible manner, touching on protection, legal migration, border management, as well as on return and reintegration. In cooperation with UN Agencies and International </w:t>
      </w:r>
      <w:r w:rsidR="00843A1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non-governmental organisations (NGOs)</w:t>
      </w:r>
      <w:r w:rsidRPr="006638C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 w:rsidR="004965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the EU</w:t>
      </w:r>
      <w:r w:rsidR="004965C0" w:rsidRPr="006638C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6638C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work</w:t>
      </w:r>
      <w:r w:rsidR="004965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</w:t>
      </w:r>
      <w:r w:rsidRPr="006638C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in difficult contexts to improve the living conditions and resilience of migrants, refugees and internally displaced people.</w:t>
      </w:r>
    </w:p>
    <w:p w14:paraId="03800A1F" w14:textId="2D043496" w:rsidR="006638C5" w:rsidRPr="006638C5" w:rsidRDefault="004965C0" w:rsidP="007B0D32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The EU</w:t>
      </w:r>
      <w:r w:rsidRPr="006638C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C4DF3" w:rsidRPr="006638C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condemn</w:t>
      </w:r>
      <w:r w:rsidR="00EC4DF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</w:t>
      </w:r>
      <w:r w:rsidR="00EC4DF3" w:rsidRPr="006638C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6638C5" w:rsidRPr="006638C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any violation of the human rights</w:t>
      </w:r>
      <w:r w:rsidR="00EC4DF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of migrants and refugees. These</w:t>
      </w:r>
      <w:r w:rsidR="006638C5" w:rsidRPr="006638C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will continue to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be </w:t>
      </w:r>
      <w:r w:rsidR="006638C5" w:rsidRPr="006638C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address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ed</w:t>
      </w:r>
      <w:r w:rsidR="006638C5" w:rsidRPr="006638C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by </w:t>
      </w:r>
      <w:r w:rsidR="00EC4DF3" w:rsidRPr="006638C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further </w:t>
      </w:r>
      <w:r w:rsidR="006638C5" w:rsidRPr="006638C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strengthening monitoring systems, and by regularly engaging with rele</w:t>
      </w:r>
      <w:r w:rsidR="00EC4DF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vant authorities to prevent any such violations,</w:t>
      </w:r>
      <w:r w:rsidR="006638C5" w:rsidRPr="006638C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and </w:t>
      </w:r>
      <w:r w:rsidR="00EC4DF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to </w:t>
      </w:r>
      <w:r w:rsidR="006638C5" w:rsidRPr="006638C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hold the responsible people accountable.</w:t>
      </w:r>
    </w:p>
    <w:p w14:paraId="6210EEE6" w14:textId="40BD5816" w:rsidR="0032520F" w:rsidRPr="00EC4DF3" w:rsidRDefault="001461DF" w:rsidP="007B0D32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Regarding </w:t>
      </w:r>
      <w:r w:rsidRPr="001461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regional cooperation</w:t>
      </w:r>
      <w:r w:rsidR="009C5FF5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(</w:t>
      </w:r>
      <w:r w:rsidR="009C5FF5" w:rsidRPr="00F155BE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>para</w:t>
      </w:r>
      <w:r w:rsidR="00F155BE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>graph</w:t>
      </w:r>
      <w:r w:rsidR="009C5FF5" w:rsidRPr="00F155BE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 xml:space="preserve"> x</w:t>
      </w:r>
      <w:r w:rsidR="009C5FF5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)</w:t>
      </w:r>
      <w:r w:rsidRPr="001461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, considering the strong interdependence within the region, the Agenda proposes </w:t>
      </w:r>
      <w:r w:rsidR="00EC4DF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to enhance</w:t>
      </w:r>
      <w:r w:rsidRPr="001461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regional, sub-regional, inter-regional</w:t>
      </w:r>
      <w:r w:rsidR="00890F08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and cross-regional</w:t>
      </w:r>
      <w:r w:rsidRPr="001461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cooperation</w:t>
      </w:r>
      <w:r w:rsidR="00EC4DF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initiatives</w:t>
      </w:r>
      <w:r w:rsidRPr="001461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, with the Union for the Mediterranean (</w:t>
      </w:r>
      <w:proofErr w:type="spellStart"/>
      <w:r w:rsidRPr="001461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UfM</w:t>
      </w:r>
      <w:proofErr w:type="spellEnd"/>
      <w:r w:rsidRPr="001461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),</w:t>
      </w:r>
      <w:r w:rsidR="00E75718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and other regional partners such as the League of Arab States</w:t>
      </w:r>
      <w:r w:rsidRPr="001461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and </w:t>
      </w:r>
      <w:r w:rsidR="00EC4DF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to take</w:t>
      </w:r>
      <w:r w:rsidRPr="001461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advantage of the Southern Neighbourhood strategic location as a bridge to sub-Saharan Africa and the Gulf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. </w:t>
      </w:r>
      <w:r w:rsidR="00EC4DF3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="00EC4DF3" w:rsidRPr="00DE3EB0">
        <w:rPr>
          <w:rFonts w:ascii="Times New Roman" w:eastAsia="Times New Roman" w:hAnsi="Times New Roman" w:cs="Times New Roman"/>
          <w:sz w:val="24"/>
          <w:szCs w:val="24"/>
          <w:lang w:eastAsia="en-GB"/>
        </w:rPr>
        <w:t>n addition to funding projects, the EU promote</w:t>
      </w:r>
      <w:r w:rsidR="00C61A1C">
        <w:rPr>
          <w:rFonts w:ascii="Times New Roman" w:eastAsia="Times New Roman" w:hAnsi="Times New Roman" w:cs="Times New Roman"/>
          <w:sz w:val="24"/>
          <w:szCs w:val="24"/>
          <w:lang w:eastAsia="en-GB"/>
        </w:rPr>
        <w:t>s regional policy cooperation by exercising the</w:t>
      </w:r>
      <w:r w:rsidR="00EC4DF3" w:rsidRPr="00DE3EB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co-presidency of the </w:t>
      </w:r>
      <w:proofErr w:type="spellStart"/>
      <w:r w:rsidR="00EC4DF3" w:rsidRPr="00DE3EB0">
        <w:rPr>
          <w:rFonts w:ascii="Times New Roman" w:eastAsia="Times New Roman" w:hAnsi="Times New Roman" w:cs="Times New Roman"/>
          <w:sz w:val="24"/>
          <w:szCs w:val="24"/>
          <w:lang w:eastAsia="en-GB"/>
        </w:rPr>
        <w:t>UfM</w:t>
      </w:r>
      <w:proofErr w:type="spellEnd"/>
      <w:r w:rsidR="00EC4DF3" w:rsidRPr="00DE3EB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through policy dialogue with its partners, including using the instruments of climate and water diplomacy.</w:t>
      </w:r>
      <w:r w:rsidR="00EC4D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C4DF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Complementarily</w:t>
      </w:r>
      <w:r w:rsidR="009C5FF5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, the EU </w:t>
      </w:r>
      <w:r w:rsidR="00EC4DF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finances</w:t>
      </w:r>
      <w:r w:rsidR="00890F08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an important part of</w:t>
      </w:r>
      <w:r w:rsidR="009C5FF5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the </w:t>
      </w:r>
      <w:r w:rsidR="00EC4DF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operational </w:t>
      </w:r>
      <w:r w:rsidR="009C5FF5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costs of the </w:t>
      </w:r>
      <w:proofErr w:type="spellStart"/>
      <w:r w:rsidR="009C5FF5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UfM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.</w:t>
      </w:r>
    </w:p>
    <w:p w14:paraId="3EA9CAC4" w14:textId="29A9917A" w:rsidR="00DE3EB0" w:rsidRPr="00DE3EB0" w:rsidRDefault="00CB53E6" w:rsidP="007B0D3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3EB0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In the domain of climate change and green transition (</w:t>
      </w:r>
      <w:r w:rsidRPr="00F155BE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>para</w:t>
      </w:r>
      <w:r w:rsidR="00F155BE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>graphs</w:t>
      </w:r>
      <w:r w:rsidRPr="00F155BE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 xml:space="preserve"> n</w:t>
      </w:r>
      <w:r w:rsidR="008F6AF7" w:rsidRPr="00F155BE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 xml:space="preserve">, </w:t>
      </w:r>
      <w:r w:rsidRPr="00F155BE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>o</w:t>
      </w:r>
      <w:r w:rsidR="00F155BE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 xml:space="preserve"> and</w:t>
      </w:r>
      <w:r w:rsidR="008F6AF7" w:rsidRPr="00F155BE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 xml:space="preserve"> p</w:t>
      </w:r>
      <w:r w:rsidR="008F6AF7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)</w:t>
      </w:r>
      <w:r w:rsidRPr="00DE3EB0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, </w:t>
      </w:r>
      <w:r w:rsidR="00DE3EB0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a</w:t>
      </w:r>
      <w:r w:rsidR="00AD7726" w:rsidRPr="00DE3EB0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s the Mediterranean Region is among those more seriously hit by climate change, the Commi</w:t>
      </w:r>
      <w:r w:rsidR="00C61A1C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ssion is committed to support</w:t>
      </w:r>
      <w:r w:rsidR="00AD7726" w:rsidRPr="00DE3EB0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</w:t>
      </w:r>
      <w:r w:rsidR="00C61A1C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our Southern N</w:t>
      </w:r>
      <w:r w:rsidR="00AD7726" w:rsidRPr="00DE3EB0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eighbours in their efforts to develop and implement Nati</w:t>
      </w:r>
      <w:r w:rsidR="00C61A1C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onally Determined C</w:t>
      </w:r>
      <w:r w:rsidR="00AD7726" w:rsidRPr="00DE3EB0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ontributions. The new</w:t>
      </w:r>
      <w:r w:rsidR="00C61A1C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ly adopted PPs with Egypt state</w:t>
      </w:r>
      <w:r w:rsidR="00AD7726" w:rsidRPr="00DE3EB0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that “the EU and Egypt will cooperate in the diversification of energy sources and the transition </w:t>
      </w:r>
      <w:r w:rsidR="00DE3EB0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towards a low-emissions economy […]</w:t>
      </w:r>
      <w:r w:rsidR="00AD7726" w:rsidRPr="00DE3EB0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” while the EU-Jordan PPs state that “t</w:t>
      </w:r>
      <w:r w:rsidR="00AD7726" w:rsidRPr="00DE3EB0">
        <w:rPr>
          <w:rFonts w:ascii="Times New Roman" w:eastAsia="Times New Roman" w:hAnsi="Times New Roman" w:cs="Times New Roman"/>
          <w:sz w:val="24"/>
          <w:szCs w:val="24"/>
          <w:lang w:eastAsia="en-GB"/>
        </w:rPr>
        <w:t>he EU and Jordan will enhance collaboration in dealing with climate change and environmental degradation by joining efforts to foster green growth and energy transition towards climate neutrality”.</w:t>
      </w:r>
      <w:r w:rsidR="00AD7726" w:rsidRPr="00DE3EB0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Besides, Morocco and the EU </w:t>
      </w:r>
      <w:r w:rsidR="0062138A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has recently </w:t>
      </w:r>
      <w:r w:rsidR="00AD7726" w:rsidRPr="00DE3EB0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sign</w:t>
      </w:r>
      <w:r w:rsidR="0062138A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ed</w:t>
      </w:r>
      <w:r w:rsidR="00AD7726" w:rsidRPr="00DE3EB0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</w:t>
      </w:r>
      <w:r w:rsidR="00C61A1C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a</w:t>
      </w:r>
      <w:r w:rsidR="00AD7726" w:rsidRPr="00DE3EB0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</w:t>
      </w:r>
      <w:r w:rsidR="00AD7726" w:rsidRPr="00DE3EB0">
        <w:rPr>
          <w:rFonts w:ascii="Times New Roman" w:eastAsia="Times New Roman" w:hAnsi="Times New Roman" w:cs="Times New Roman"/>
          <w:sz w:val="24"/>
          <w:szCs w:val="24"/>
          <w:lang w:eastAsia="en-GB"/>
        </w:rPr>
        <w:t>Green Partnership</w:t>
      </w:r>
      <w:r w:rsidR="00DE3EB0" w:rsidRPr="00DE3EB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provide a strong political basis for further cooperation in this area</w:t>
      </w:r>
      <w:r w:rsidR="003053A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2D4998C" w14:textId="2EC89DDC" w:rsidR="00033D83" w:rsidRPr="00033D83" w:rsidRDefault="00612571" w:rsidP="007B0D32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Regardin</w:t>
      </w:r>
      <w:r w:rsidR="00BC28A4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the Middle-East Peace Process</w:t>
      </w:r>
      <w:r w:rsidR="00517568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(</w:t>
      </w:r>
      <w:r w:rsidR="00517568" w:rsidRPr="00F155BE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>para</w:t>
      </w:r>
      <w:r w:rsidR="00F155BE" w:rsidRPr="00F155BE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>graphs</w:t>
      </w:r>
      <w:r w:rsidR="00517568" w:rsidRPr="00F155BE">
        <w:rPr>
          <w:rFonts w:ascii="Times New Roman" w:eastAsia="Times New Roman" w:hAnsi="Times New Roman" w:cs="Times New Roman"/>
          <w:i/>
          <w:sz w:val="24"/>
          <w:szCs w:val="24"/>
          <w:lang w:val="en-IE" w:eastAsia="en-GB"/>
        </w:rPr>
        <w:t xml:space="preserve"> y to ac</w:t>
      </w:r>
      <w:r w:rsidR="00517568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)</w:t>
      </w:r>
      <w:r w:rsidR="00BC28A4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, </w:t>
      </w:r>
      <w:r w:rsidR="00033D8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t</w:t>
      </w:r>
      <w:r w:rsidR="00033D83" w:rsidRPr="00033D8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he EU will continue to push for the resumption of meaningful peace talks and to halt </w:t>
      </w:r>
      <w:r w:rsidR="00C61A1C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any </w:t>
      </w:r>
      <w:r w:rsidR="00033D83" w:rsidRPr="00033D8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unilateral steps </w:t>
      </w:r>
      <w:r w:rsidR="00C61A1C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which could</w:t>
      </w:r>
      <w:r w:rsidR="00033D83" w:rsidRPr="00033D8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underm</w:t>
      </w:r>
      <w:r w:rsidR="00C61A1C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ine the feasibility of the two-S</w:t>
      </w:r>
      <w:r w:rsidR="00033D83" w:rsidRPr="00033D8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tate solution, including settlement expansions</w:t>
      </w:r>
      <w:r w:rsidR="00C61A1C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,</w:t>
      </w:r>
      <w:r w:rsidR="00033D83" w:rsidRPr="00033D8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demolitions and settlers</w:t>
      </w:r>
      <w:r w:rsidR="00C61A1C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’</w:t>
      </w:r>
      <w:r w:rsidR="00033D83" w:rsidRPr="00033D8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violence</w:t>
      </w:r>
      <w:r w:rsidR="003053AD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and to continue to gear its financial cooperation towards the establishment of democratic, viable, sustainable and independent </w:t>
      </w:r>
      <w:r w:rsidR="00B16C55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Palestinian </w:t>
      </w:r>
      <w:r w:rsidR="00A02A36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S</w:t>
      </w:r>
      <w:r w:rsidR="00B16C55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tate.</w:t>
      </w:r>
      <w:r w:rsidR="00F6406D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</w:t>
      </w:r>
      <w:r w:rsidR="00033D83" w:rsidRPr="00033D8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The EU has also started to look actively into supporting the normalisation process between Israel and some Arab neighbours. The process can have a positive impact on </w:t>
      </w:r>
      <w:r w:rsidR="0062138A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regional prosperity and stability, including on </w:t>
      </w:r>
      <w:r w:rsidR="00033D83" w:rsidRPr="00033D8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the Middle East Peace Process, as it promotes regional peace and creates opportunities for new partnerships in a wide range of policy fields, for instance in the areas of climate, renewable energy or agriculture with Jordan and Morocco.</w:t>
      </w:r>
    </w:p>
    <w:p w14:paraId="5BEE21B2" w14:textId="57029D4D" w:rsidR="00383285" w:rsidRPr="00B93809" w:rsidRDefault="00033D83" w:rsidP="007B0D32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</w:pPr>
      <w:r w:rsidRPr="00033D8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The EU will continue to offer political and financial support to the Palestinian Authority, </w:t>
      </w:r>
      <w:r w:rsidR="0062138A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including through </w:t>
      </w:r>
      <w:r w:rsidRPr="00033D8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the European Joint Strategy 2021-202</w:t>
      </w:r>
      <w:r w:rsidR="003053AD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4</w:t>
      </w:r>
      <w:r w:rsidRPr="00033D8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, which has just been adopted. The EU will also continue to be a reliable and predictable supporter of UN</w:t>
      </w:r>
      <w:r w:rsidR="00A02A36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</w:t>
      </w:r>
      <w:r w:rsidR="0062138A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R</w:t>
      </w:r>
      <w:r w:rsidR="00A02A36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elief and </w:t>
      </w:r>
      <w:r w:rsidR="0062138A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W</w:t>
      </w:r>
      <w:r w:rsidR="00A02A36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orks </w:t>
      </w:r>
      <w:r w:rsidR="0062138A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A</w:t>
      </w:r>
      <w:r w:rsidR="00A02A36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gency for Palestine refugees in the Near East (UN</w:t>
      </w:r>
      <w:r w:rsidRPr="00033D8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RWA</w:t>
      </w:r>
      <w:r w:rsidR="00A02A36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)</w:t>
      </w:r>
      <w:r w:rsidRPr="00033D8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, including in its internal reforms process</w:t>
      </w:r>
      <w:r w:rsidR="003053AD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, fully committing to the Joint Declaration 2021-24 signed with UNWRA last year</w:t>
      </w:r>
      <w:r w:rsidRPr="00033D8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.</w:t>
      </w:r>
    </w:p>
    <w:sectPr w:rsidR="00383285" w:rsidRPr="00B93809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60D9C" w14:textId="77777777" w:rsidR="004C4FBF" w:rsidRDefault="004C4FBF" w:rsidP="00AF094E">
      <w:pPr>
        <w:spacing w:after="0" w:line="240" w:lineRule="auto"/>
      </w:pPr>
      <w:r>
        <w:separator/>
      </w:r>
    </w:p>
  </w:endnote>
  <w:endnote w:type="continuationSeparator" w:id="0">
    <w:p w14:paraId="2F77E0BB" w14:textId="77777777" w:rsidR="004C4FBF" w:rsidRDefault="004C4FBF" w:rsidP="00AF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0253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5CE49C94" w14:textId="783DDF4D" w:rsidR="00AF094E" w:rsidRPr="00E1619E" w:rsidRDefault="00AF094E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161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619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161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7149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1619E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4957C9EF" w14:textId="77777777" w:rsidR="00AF094E" w:rsidRDefault="00AF0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A3ED6" w14:textId="77777777" w:rsidR="004C4FBF" w:rsidRDefault="004C4FBF" w:rsidP="00AF094E">
      <w:pPr>
        <w:spacing w:after="0" w:line="240" w:lineRule="auto"/>
      </w:pPr>
      <w:r>
        <w:separator/>
      </w:r>
    </w:p>
  </w:footnote>
  <w:footnote w:type="continuationSeparator" w:id="0">
    <w:p w14:paraId="327138E6" w14:textId="77777777" w:rsidR="004C4FBF" w:rsidRDefault="004C4FBF" w:rsidP="00AF0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440CF"/>
    <w:multiLevelType w:val="hybridMultilevel"/>
    <w:tmpl w:val="A9F6D5E6"/>
    <w:lvl w:ilvl="0" w:tplc="D236D8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33ED3"/>
    <w:multiLevelType w:val="hybridMultilevel"/>
    <w:tmpl w:val="38E41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96461"/>
    <w:multiLevelType w:val="hybridMultilevel"/>
    <w:tmpl w:val="9DF09A94"/>
    <w:lvl w:ilvl="0" w:tplc="94A62EB0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2149" w:hanging="360"/>
      </w:pPr>
    </w:lvl>
    <w:lvl w:ilvl="2" w:tplc="080C001B" w:tentative="1">
      <w:start w:val="1"/>
      <w:numFmt w:val="lowerRoman"/>
      <w:lvlText w:val="%3."/>
      <w:lvlJc w:val="right"/>
      <w:pPr>
        <w:ind w:left="2869" w:hanging="180"/>
      </w:pPr>
    </w:lvl>
    <w:lvl w:ilvl="3" w:tplc="080C000F" w:tentative="1">
      <w:start w:val="1"/>
      <w:numFmt w:val="decimal"/>
      <w:lvlText w:val="%4."/>
      <w:lvlJc w:val="left"/>
      <w:pPr>
        <w:ind w:left="3589" w:hanging="360"/>
      </w:pPr>
    </w:lvl>
    <w:lvl w:ilvl="4" w:tplc="080C0019" w:tentative="1">
      <w:start w:val="1"/>
      <w:numFmt w:val="lowerLetter"/>
      <w:lvlText w:val="%5."/>
      <w:lvlJc w:val="left"/>
      <w:pPr>
        <w:ind w:left="4309" w:hanging="360"/>
      </w:pPr>
    </w:lvl>
    <w:lvl w:ilvl="5" w:tplc="080C001B" w:tentative="1">
      <w:start w:val="1"/>
      <w:numFmt w:val="lowerRoman"/>
      <w:lvlText w:val="%6."/>
      <w:lvlJc w:val="right"/>
      <w:pPr>
        <w:ind w:left="5029" w:hanging="180"/>
      </w:pPr>
    </w:lvl>
    <w:lvl w:ilvl="6" w:tplc="080C000F" w:tentative="1">
      <w:start w:val="1"/>
      <w:numFmt w:val="decimal"/>
      <w:lvlText w:val="%7."/>
      <w:lvlJc w:val="left"/>
      <w:pPr>
        <w:ind w:left="5749" w:hanging="360"/>
      </w:pPr>
    </w:lvl>
    <w:lvl w:ilvl="7" w:tplc="080C0019" w:tentative="1">
      <w:start w:val="1"/>
      <w:numFmt w:val="lowerLetter"/>
      <w:lvlText w:val="%8."/>
      <w:lvlJc w:val="left"/>
      <w:pPr>
        <w:ind w:left="6469" w:hanging="360"/>
      </w:pPr>
    </w:lvl>
    <w:lvl w:ilvl="8" w:tplc="08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65AE6AA"/>
    <w:multiLevelType w:val="hybridMultilevel"/>
    <w:tmpl w:val="CE9CAFEA"/>
    <w:lvl w:ilvl="0" w:tplc="12523B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BE6958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E8F24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A2C7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8C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BCB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A05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63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C22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ctiveWritingStyle w:appName="MSWord" w:lang="fr-BE" w:vendorID="64" w:dllVersion="6" w:nlCheck="1" w:checkStyle="0"/>
  <w:activeWritingStyle w:appName="MSWord" w:lang="en-I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6" w:nlCheck="1" w:checkStyle="0"/>
  <w:activeWritingStyle w:appName="MSWord" w:lang="fr-BE" w:vendorID="64" w:dllVersion="0" w:nlCheck="1" w:checkStyle="0"/>
  <w:activeWritingStyle w:appName="MSWord" w:lang="en-IE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340A9"/>
    <w:rsid w:val="000042F0"/>
    <w:rsid w:val="0000602E"/>
    <w:rsid w:val="0001263A"/>
    <w:rsid w:val="00021990"/>
    <w:rsid w:val="00033D83"/>
    <w:rsid w:val="000350F1"/>
    <w:rsid w:val="00050C0C"/>
    <w:rsid w:val="00062B07"/>
    <w:rsid w:val="00066A8D"/>
    <w:rsid w:val="000752DA"/>
    <w:rsid w:val="000A4861"/>
    <w:rsid w:val="000D1370"/>
    <w:rsid w:val="000F4976"/>
    <w:rsid w:val="00103F24"/>
    <w:rsid w:val="001461DF"/>
    <w:rsid w:val="00165FAE"/>
    <w:rsid w:val="001712B8"/>
    <w:rsid w:val="001726B2"/>
    <w:rsid w:val="00195B1C"/>
    <w:rsid w:val="001C3DE5"/>
    <w:rsid w:val="001C5C97"/>
    <w:rsid w:val="001E06C1"/>
    <w:rsid w:val="0020239D"/>
    <w:rsid w:val="00223980"/>
    <w:rsid w:val="00245606"/>
    <w:rsid w:val="0024719A"/>
    <w:rsid w:val="00280851"/>
    <w:rsid w:val="002948E2"/>
    <w:rsid w:val="002B3073"/>
    <w:rsid w:val="002B4C56"/>
    <w:rsid w:val="002B5794"/>
    <w:rsid w:val="002D03F0"/>
    <w:rsid w:val="003053AD"/>
    <w:rsid w:val="003132EE"/>
    <w:rsid w:val="00315D72"/>
    <w:rsid w:val="0032520F"/>
    <w:rsid w:val="003269BD"/>
    <w:rsid w:val="0035710B"/>
    <w:rsid w:val="00357F7B"/>
    <w:rsid w:val="00381BBD"/>
    <w:rsid w:val="00383285"/>
    <w:rsid w:val="00394358"/>
    <w:rsid w:val="003A4497"/>
    <w:rsid w:val="003B78C7"/>
    <w:rsid w:val="003C4A88"/>
    <w:rsid w:val="003C4BE4"/>
    <w:rsid w:val="003D63C4"/>
    <w:rsid w:val="003E2810"/>
    <w:rsid w:val="003E361E"/>
    <w:rsid w:val="003E5B65"/>
    <w:rsid w:val="003F362A"/>
    <w:rsid w:val="004276D4"/>
    <w:rsid w:val="00433516"/>
    <w:rsid w:val="0047063A"/>
    <w:rsid w:val="004965C0"/>
    <w:rsid w:val="004B3042"/>
    <w:rsid w:val="004C4FBF"/>
    <w:rsid w:val="004C6CA8"/>
    <w:rsid w:val="005006D4"/>
    <w:rsid w:val="00517568"/>
    <w:rsid w:val="00522DEA"/>
    <w:rsid w:val="00530266"/>
    <w:rsid w:val="005336D9"/>
    <w:rsid w:val="00543FE6"/>
    <w:rsid w:val="005620ED"/>
    <w:rsid w:val="00567326"/>
    <w:rsid w:val="00574F6D"/>
    <w:rsid w:val="005A3E3A"/>
    <w:rsid w:val="005A5324"/>
    <w:rsid w:val="005C1EE5"/>
    <w:rsid w:val="005C7CF9"/>
    <w:rsid w:val="005F0206"/>
    <w:rsid w:val="005F4563"/>
    <w:rsid w:val="006022EF"/>
    <w:rsid w:val="0060406B"/>
    <w:rsid w:val="00612571"/>
    <w:rsid w:val="00620542"/>
    <w:rsid w:val="0062138A"/>
    <w:rsid w:val="0062602F"/>
    <w:rsid w:val="00651394"/>
    <w:rsid w:val="00654821"/>
    <w:rsid w:val="00663032"/>
    <w:rsid w:val="006638C5"/>
    <w:rsid w:val="00677B9C"/>
    <w:rsid w:val="006876CE"/>
    <w:rsid w:val="006946DF"/>
    <w:rsid w:val="006D424B"/>
    <w:rsid w:val="00707421"/>
    <w:rsid w:val="00721FD2"/>
    <w:rsid w:val="007340A9"/>
    <w:rsid w:val="007453F8"/>
    <w:rsid w:val="0075673A"/>
    <w:rsid w:val="00773D5F"/>
    <w:rsid w:val="007A54D7"/>
    <w:rsid w:val="007B0D32"/>
    <w:rsid w:val="007D2B1A"/>
    <w:rsid w:val="00824673"/>
    <w:rsid w:val="00843A14"/>
    <w:rsid w:val="00873231"/>
    <w:rsid w:val="00875B38"/>
    <w:rsid w:val="00890F08"/>
    <w:rsid w:val="0089423E"/>
    <w:rsid w:val="008A6E35"/>
    <w:rsid w:val="008A7B1F"/>
    <w:rsid w:val="008C7A98"/>
    <w:rsid w:val="008D6FF1"/>
    <w:rsid w:val="008E46BB"/>
    <w:rsid w:val="008F18DA"/>
    <w:rsid w:val="008F6AF7"/>
    <w:rsid w:val="00921F7A"/>
    <w:rsid w:val="0094101E"/>
    <w:rsid w:val="00970DFC"/>
    <w:rsid w:val="00971498"/>
    <w:rsid w:val="00983B8F"/>
    <w:rsid w:val="0099009E"/>
    <w:rsid w:val="009A3677"/>
    <w:rsid w:val="009C1284"/>
    <w:rsid w:val="009C5FF5"/>
    <w:rsid w:val="009D3B50"/>
    <w:rsid w:val="009E3030"/>
    <w:rsid w:val="009E42F2"/>
    <w:rsid w:val="009E6DC5"/>
    <w:rsid w:val="00A02A36"/>
    <w:rsid w:val="00A05BDD"/>
    <w:rsid w:val="00A526C3"/>
    <w:rsid w:val="00A555EA"/>
    <w:rsid w:val="00A66BE9"/>
    <w:rsid w:val="00A854D0"/>
    <w:rsid w:val="00AC0152"/>
    <w:rsid w:val="00AD2CF4"/>
    <w:rsid w:val="00AD769E"/>
    <w:rsid w:val="00AD7726"/>
    <w:rsid w:val="00AF094E"/>
    <w:rsid w:val="00B16C55"/>
    <w:rsid w:val="00B1740F"/>
    <w:rsid w:val="00B363CA"/>
    <w:rsid w:val="00B4102C"/>
    <w:rsid w:val="00B56144"/>
    <w:rsid w:val="00B72F89"/>
    <w:rsid w:val="00B75A9E"/>
    <w:rsid w:val="00B90522"/>
    <w:rsid w:val="00B93809"/>
    <w:rsid w:val="00B96D0C"/>
    <w:rsid w:val="00BC2014"/>
    <w:rsid w:val="00BC28A4"/>
    <w:rsid w:val="00BE7769"/>
    <w:rsid w:val="00C254EA"/>
    <w:rsid w:val="00C33736"/>
    <w:rsid w:val="00C53058"/>
    <w:rsid w:val="00C61A1C"/>
    <w:rsid w:val="00C87454"/>
    <w:rsid w:val="00CA0D53"/>
    <w:rsid w:val="00CA4515"/>
    <w:rsid w:val="00CB53E6"/>
    <w:rsid w:val="00CC27A2"/>
    <w:rsid w:val="00CF5DAA"/>
    <w:rsid w:val="00CF6E5A"/>
    <w:rsid w:val="00D166C5"/>
    <w:rsid w:val="00D31DD4"/>
    <w:rsid w:val="00D32AAF"/>
    <w:rsid w:val="00D5340F"/>
    <w:rsid w:val="00D75404"/>
    <w:rsid w:val="00D927F9"/>
    <w:rsid w:val="00DA33C2"/>
    <w:rsid w:val="00DB2188"/>
    <w:rsid w:val="00DB272A"/>
    <w:rsid w:val="00DC7D9A"/>
    <w:rsid w:val="00DE1B13"/>
    <w:rsid w:val="00DE3EB0"/>
    <w:rsid w:val="00DF5C9D"/>
    <w:rsid w:val="00E1619E"/>
    <w:rsid w:val="00E201C1"/>
    <w:rsid w:val="00E265B1"/>
    <w:rsid w:val="00E4317A"/>
    <w:rsid w:val="00E52A49"/>
    <w:rsid w:val="00E75718"/>
    <w:rsid w:val="00E90EB9"/>
    <w:rsid w:val="00EA3C21"/>
    <w:rsid w:val="00EB1FB7"/>
    <w:rsid w:val="00EB5286"/>
    <w:rsid w:val="00EC0B3C"/>
    <w:rsid w:val="00EC4DF3"/>
    <w:rsid w:val="00EC5093"/>
    <w:rsid w:val="00EC758A"/>
    <w:rsid w:val="00ED0F53"/>
    <w:rsid w:val="00EE2BB6"/>
    <w:rsid w:val="00EF3A06"/>
    <w:rsid w:val="00F03901"/>
    <w:rsid w:val="00F1010B"/>
    <w:rsid w:val="00F155BE"/>
    <w:rsid w:val="00F21A47"/>
    <w:rsid w:val="00F430BB"/>
    <w:rsid w:val="00F5025F"/>
    <w:rsid w:val="00F6406D"/>
    <w:rsid w:val="00F6706A"/>
    <w:rsid w:val="00FA37DD"/>
    <w:rsid w:val="00FC52BD"/>
    <w:rsid w:val="00FC6C0F"/>
    <w:rsid w:val="00FE1A2F"/>
    <w:rsid w:val="00FF2071"/>
    <w:rsid w:val="00FF66C2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1050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62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0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94E"/>
  </w:style>
  <w:style w:type="paragraph" w:styleId="Footer">
    <w:name w:val="footer"/>
    <w:basedOn w:val="Normal"/>
    <w:link w:val="FooterChar"/>
    <w:uiPriority w:val="99"/>
    <w:unhideWhenUsed/>
    <w:rsid w:val="00AF0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94E"/>
  </w:style>
  <w:style w:type="paragraph" w:styleId="FootnoteText">
    <w:name w:val="footnote text"/>
    <w:basedOn w:val="Normal"/>
    <w:link w:val="FootnoteTextChar"/>
    <w:uiPriority w:val="99"/>
    <w:semiHidden/>
    <w:unhideWhenUsed/>
    <w:rsid w:val="000219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19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199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B5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7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794"/>
    <w:rPr>
      <w:b/>
      <w:bCs/>
      <w:sz w:val="20"/>
      <w:szCs w:val="20"/>
    </w:rPr>
  </w:style>
  <w:style w:type="paragraph" w:styleId="ListParagraph">
    <w:name w:val="List Paragraph"/>
    <w:aliases w:val="Heading 2_sj,List Paragraph1,Számozott lista 1,LISTA,Listaszerű bekezdés1,Dot pt,No Spacing1,List Paragraph Char Char Char,Indicator Text,Numbered Para 1,List Paragraph à moi,Welt L Char,Welt L,Bullet List,FooterText,numbered,2,3,GSA List"/>
    <w:basedOn w:val="Normal"/>
    <w:link w:val="ListParagraphChar"/>
    <w:uiPriority w:val="34"/>
    <w:qFormat/>
    <w:rsid w:val="008A6E35"/>
    <w:pPr>
      <w:ind w:left="720"/>
      <w:contextualSpacing/>
    </w:pPr>
  </w:style>
  <w:style w:type="paragraph" w:styleId="NormalWeb">
    <w:name w:val="Normal (Web)"/>
    <w:aliases w:val=" webb,webb"/>
    <w:basedOn w:val="Normal"/>
    <w:link w:val="NormalWebChar"/>
    <w:uiPriority w:val="99"/>
    <w:qFormat/>
    <w:rsid w:val="0014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WebChar">
    <w:name w:val="Normal (Web) Char"/>
    <w:aliases w:val=" webb Char,webb Char"/>
    <w:link w:val="NormalWeb"/>
    <w:uiPriority w:val="99"/>
    <w:locked/>
    <w:rsid w:val="001461D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arkedcontent">
    <w:name w:val="markedcontent"/>
    <w:basedOn w:val="DefaultParagraphFont"/>
    <w:rsid w:val="00357F7B"/>
  </w:style>
  <w:style w:type="character" w:customStyle="1" w:styleId="ListParagraphChar">
    <w:name w:val="List Paragraph Char"/>
    <w:aliases w:val="Heading 2_sj Char,List Paragraph1 Char,Számozott lista 1 Char,LISTA Char,Listaszerű bekezdés1 Char,Dot pt Char,No Spacing1 Char,List Paragraph Char Char Char Char,Indicator Text Char,Numbered Para 1 Char,List Paragraph à moi Char"/>
    <w:basedOn w:val="DefaultParagraphFont"/>
    <w:link w:val="ListParagraph"/>
    <w:uiPriority w:val="34"/>
    <w:qFormat/>
    <w:locked/>
    <w:rsid w:val="00AD7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6AC71-2E18-4E0F-BA6E-5F02E3E2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1588</Words>
  <Characters>9120</Characters>
  <Application>Microsoft Office Word</Application>
  <DocSecurity>0</DocSecurity>
  <Lines>121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2022-11-09T14:28:00Z</dcterms:created>
  <dcterms:modified xsi:type="dcterms:W3CDTF">2022-11-09T14:29:00Z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2022-10-31T11:31:38Z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2e851545-8c74-4dc5-a7c9-6dad73bf7c27</vt:lpwstr>
  </property>
  <property fmtid="{D5CDD505-2E9C-101B-9397-08002B2CF9AE}" pid="8" name="MSIP_Label_6bd9ddd1-4d20-43f6-abfa-fc3c07406f94_ContentBits">
    <vt:lpwstr>0</vt:lpwstr>
  </property>
</Properties>
</file>