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6C7" w:rsidRPr="00AD06C7" w:rsidRDefault="00AD06C7" w:rsidP="00AD06C7">
      <w:pPr>
        <w:spacing w:after="600" w:line="240" w:lineRule="auto"/>
        <w:jc w:val="center"/>
        <w:rPr>
          <w:rFonts w:eastAsia="Times New Roman" w:cs="Times New Roman"/>
          <w:b/>
          <w:szCs w:val="24"/>
          <w:lang w:val="fr-FR" w:eastAsia="en-GB"/>
        </w:rPr>
      </w:pPr>
      <w:r w:rsidRPr="00AD06C7">
        <w:rPr>
          <w:rFonts w:eastAsia="Times New Roman" w:cs="Times New Roman"/>
          <w:b/>
          <w:bCs/>
          <w:szCs w:val="24"/>
          <w:lang w:val="fr-FR" w:eastAsia="en-GB"/>
        </w:rPr>
        <w:t>Suite donnée à la</w:t>
      </w:r>
      <w:r w:rsidRPr="00AD06C7">
        <w:rPr>
          <w:rFonts w:eastAsia="Times New Roman" w:cs="Times New Roman"/>
          <w:b/>
          <w:szCs w:val="24"/>
          <w:lang w:val="fr-FR" w:eastAsia="en-GB"/>
        </w:rPr>
        <w:t xml:space="preserve"> résolution non législative du Parlement européen </w:t>
      </w:r>
      <w:r w:rsidRPr="00AD06C7">
        <w:rPr>
          <w:rFonts w:eastAsia="Times New Roman" w:cs="Times New Roman"/>
          <w:b/>
          <w:bCs/>
          <w:szCs w:val="24"/>
          <w:lang w:val="fr-FR" w:eastAsia="en-GB"/>
        </w:rPr>
        <w:t>sur les lignes directrices concernant les aides d’État au climat, à la protection</w:t>
      </w:r>
      <w:r>
        <w:rPr>
          <w:rFonts w:eastAsia="Times New Roman" w:cs="Times New Roman"/>
          <w:b/>
          <w:bCs/>
          <w:szCs w:val="24"/>
          <w:lang w:val="fr-FR" w:eastAsia="en-GB"/>
        </w:rPr>
        <w:br/>
      </w:r>
      <w:r w:rsidRPr="00AD06C7">
        <w:rPr>
          <w:rFonts w:eastAsia="Times New Roman" w:cs="Times New Roman"/>
          <w:b/>
          <w:bCs/>
          <w:szCs w:val="24"/>
          <w:lang w:val="fr-FR" w:eastAsia="en-GB"/>
        </w:rPr>
        <w:t>de l’environnement et à l’énergie</w:t>
      </w:r>
    </w:p>
    <w:p w:rsidR="00AD06C7" w:rsidRPr="00AD06C7" w:rsidRDefault="00AD06C7" w:rsidP="00AD06C7">
      <w:pPr>
        <w:spacing w:after="240" w:line="240" w:lineRule="auto"/>
        <w:ind w:left="720" w:hanging="720"/>
        <w:jc w:val="both"/>
        <w:rPr>
          <w:rFonts w:eastAsia="Times New Roman" w:cs="Times New Roman"/>
          <w:b/>
          <w:szCs w:val="24"/>
          <w:lang w:val="fr-FR" w:eastAsia="en-GB"/>
        </w:rPr>
      </w:pPr>
      <w:r w:rsidRPr="00AD06C7">
        <w:rPr>
          <w:rFonts w:eastAsia="Times New Roman" w:cs="Times New Roman"/>
          <w:b/>
          <w:szCs w:val="24"/>
          <w:lang w:val="fr-FR" w:eastAsia="en-GB"/>
        </w:rPr>
        <w:t>1.</w:t>
      </w:r>
      <w:r w:rsidRPr="00AD06C7">
        <w:rPr>
          <w:rFonts w:ascii="Courier New" w:eastAsia="Times New Roman" w:hAnsi="Courier New" w:cs="Times New Roman"/>
          <w:szCs w:val="20"/>
          <w:lang w:val="fr-FR" w:eastAsia="en-GB"/>
        </w:rPr>
        <w:tab/>
      </w:r>
      <w:r w:rsidRPr="00AD06C7">
        <w:rPr>
          <w:rFonts w:eastAsia="Times New Roman" w:cs="Times New Roman"/>
          <w:b/>
          <w:szCs w:val="24"/>
          <w:lang w:val="fr-FR" w:eastAsia="en-GB"/>
        </w:rPr>
        <w:t>Résolution présentée conformément à l’article 132, paragraphes 2 et 4, du règlement intérieur du Parlement européen</w:t>
      </w:r>
    </w:p>
    <w:p w:rsidR="00AD06C7" w:rsidRPr="00AD06C7" w:rsidRDefault="00AD06C7" w:rsidP="00AD06C7">
      <w:pPr>
        <w:spacing w:after="240" w:line="240" w:lineRule="auto"/>
        <w:ind w:left="720" w:hanging="720"/>
        <w:jc w:val="both"/>
        <w:rPr>
          <w:rFonts w:eastAsia="Times New Roman" w:cs="Times New Roman"/>
          <w:i/>
          <w:szCs w:val="24"/>
          <w:lang w:val="fr-FR" w:eastAsia="en-GB"/>
        </w:rPr>
      </w:pPr>
      <w:r w:rsidRPr="00AD06C7">
        <w:rPr>
          <w:rFonts w:eastAsia="Times New Roman" w:cs="Times New Roman"/>
          <w:b/>
          <w:szCs w:val="24"/>
          <w:lang w:val="fr-FR" w:eastAsia="en-GB"/>
        </w:rPr>
        <w:t>2.</w:t>
      </w:r>
      <w:r w:rsidRPr="00AD06C7">
        <w:rPr>
          <w:rFonts w:ascii="Courier New" w:eastAsia="Times New Roman" w:hAnsi="Courier New" w:cs="Times New Roman"/>
          <w:szCs w:val="20"/>
          <w:lang w:val="fr-FR" w:eastAsia="en-GB"/>
        </w:rPr>
        <w:tab/>
      </w:r>
      <w:r w:rsidRPr="00AD06C7">
        <w:rPr>
          <w:rFonts w:eastAsia="Times New Roman" w:cs="Times New Roman"/>
          <w:b/>
          <w:szCs w:val="24"/>
          <w:lang w:val="fr-FR" w:eastAsia="en-GB"/>
        </w:rPr>
        <w:t xml:space="preserve">Numéro de référence: </w:t>
      </w:r>
      <w:r w:rsidRPr="00AD06C7">
        <w:rPr>
          <w:rFonts w:eastAsia="Times New Roman" w:cs="Times New Roman"/>
          <w:szCs w:val="20"/>
          <w:lang w:val="fr-FR" w:eastAsia="en-GB"/>
        </w:rPr>
        <w:t>2021/2923 (</w:t>
      </w:r>
      <w:proofErr w:type="spellStart"/>
      <w:r w:rsidRPr="00AD06C7">
        <w:rPr>
          <w:rFonts w:eastAsia="Times New Roman" w:cs="Times New Roman"/>
          <w:szCs w:val="20"/>
          <w:lang w:val="fr-FR" w:eastAsia="en-GB"/>
        </w:rPr>
        <w:t>RSP</w:t>
      </w:r>
      <w:proofErr w:type="spellEnd"/>
      <w:r w:rsidRPr="00AD06C7">
        <w:rPr>
          <w:rFonts w:eastAsia="Times New Roman" w:cs="Times New Roman"/>
          <w:szCs w:val="20"/>
          <w:lang w:val="fr-FR" w:eastAsia="en-GB"/>
        </w:rPr>
        <w:t xml:space="preserve">) / </w:t>
      </w:r>
      <w:bookmarkStart w:id="0" w:name="_GoBack"/>
      <w:r w:rsidRPr="00AD06C7">
        <w:rPr>
          <w:rFonts w:eastAsia="Times New Roman" w:cs="Times New Roman"/>
          <w:szCs w:val="20"/>
          <w:lang w:val="fr-FR" w:eastAsia="en-GB"/>
        </w:rPr>
        <w:t>RC9-0535/2021</w:t>
      </w:r>
      <w:bookmarkEnd w:id="0"/>
      <w:r w:rsidRPr="00AD06C7">
        <w:rPr>
          <w:rFonts w:eastAsia="Times New Roman" w:cs="Times New Roman"/>
          <w:szCs w:val="20"/>
          <w:lang w:val="fr-FR" w:eastAsia="en-GB"/>
        </w:rPr>
        <w:t xml:space="preserve"> / P9_TA </w:t>
      </w:r>
      <w:proofErr w:type="spellStart"/>
      <w:proofErr w:type="gramStart"/>
      <w:r w:rsidRPr="00AD06C7">
        <w:rPr>
          <w:rFonts w:eastAsia="Times New Roman" w:cs="Times New Roman"/>
          <w:szCs w:val="20"/>
          <w:lang w:val="fr-FR" w:eastAsia="en-GB"/>
        </w:rPr>
        <w:t>PROV</w:t>
      </w:r>
      <w:proofErr w:type="spellEnd"/>
      <w:r w:rsidRPr="00AD06C7">
        <w:rPr>
          <w:rFonts w:eastAsia="Times New Roman" w:cs="Times New Roman"/>
          <w:szCs w:val="20"/>
          <w:lang w:val="fr-FR" w:eastAsia="en-GB"/>
        </w:rPr>
        <w:t>(</w:t>
      </w:r>
      <w:proofErr w:type="gramEnd"/>
      <w:r w:rsidRPr="00AD06C7">
        <w:rPr>
          <w:rFonts w:eastAsia="Times New Roman" w:cs="Times New Roman"/>
          <w:szCs w:val="20"/>
          <w:lang w:val="fr-FR" w:eastAsia="en-GB"/>
        </w:rPr>
        <w:t>2021)0441</w:t>
      </w:r>
    </w:p>
    <w:p w:rsidR="00AD06C7" w:rsidRPr="00AD06C7" w:rsidRDefault="00AD06C7" w:rsidP="00AD06C7">
      <w:pPr>
        <w:spacing w:after="240" w:line="240" w:lineRule="auto"/>
        <w:jc w:val="both"/>
        <w:rPr>
          <w:rFonts w:eastAsia="Times New Roman" w:cs="Times New Roman"/>
          <w:szCs w:val="24"/>
          <w:lang w:val="fr-FR" w:eastAsia="en-GB"/>
        </w:rPr>
      </w:pPr>
      <w:r w:rsidRPr="00AD06C7">
        <w:rPr>
          <w:rFonts w:eastAsia="Times New Roman" w:cs="Times New Roman"/>
          <w:b/>
          <w:szCs w:val="24"/>
          <w:lang w:val="fr-FR" w:eastAsia="en-GB"/>
        </w:rPr>
        <w:t>3.</w:t>
      </w:r>
      <w:r w:rsidRPr="00AD06C7">
        <w:rPr>
          <w:rFonts w:ascii="Courier New" w:eastAsia="Times New Roman" w:hAnsi="Courier New" w:cs="Times New Roman"/>
          <w:szCs w:val="20"/>
          <w:lang w:val="fr-FR" w:eastAsia="en-GB"/>
        </w:rPr>
        <w:tab/>
      </w:r>
      <w:r w:rsidRPr="00AD06C7">
        <w:rPr>
          <w:rFonts w:eastAsia="Times New Roman" w:cs="Times New Roman"/>
          <w:b/>
          <w:szCs w:val="24"/>
          <w:lang w:val="fr-FR" w:eastAsia="en-GB"/>
        </w:rPr>
        <w:t>Date d'adoption de la résolution:</w:t>
      </w:r>
      <w:r w:rsidRPr="00AD06C7">
        <w:rPr>
          <w:rFonts w:eastAsia="Times New Roman" w:cs="Times New Roman"/>
          <w:szCs w:val="24"/>
          <w:lang w:val="fr-FR" w:eastAsia="en-GB"/>
        </w:rPr>
        <w:t xml:space="preserve"> 21 octobre 2021</w:t>
      </w:r>
    </w:p>
    <w:p w:rsidR="00AD06C7" w:rsidRPr="00AD06C7" w:rsidRDefault="00AD06C7" w:rsidP="00AD06C7">
      <w:pPr>
        <w:spacing w:after="240" w:line="240" w:lineRule="auto"/>
        <w:ind w:left="720" w:hanging="720"/>
        <w:jc w:val="both"/>
        <w:rPr>
          <w:rFonts w:eastAsia="Times New Roman" w:cs="Times New Roman"/>
          <w:i/>
          <w:szCs w:val="24"/>
          <w:lang w:val="fr-FR" w:eastAsia="en-GB"/>
        </w:rPr>
      </w:pPr>
      <w:r w:rsidRPr="00AD06C7">
        <w:rPr>
          <w:rFonts w:eastAsia="Times New Roman" w:cs="Times New Roman"/>
          <w:b/>
          <w:szCs w:val="24"/>
          <w:lang w:val="fr-FR" w:eastAsia="en-GB"/>
        </w:rPr>
        <w:t>4.</w:t>
      </w:r>
      <w:r w:rsidRPr="00AD06C7">
        <w:rPr>
          <w:rFonts w:ascii="Courier New" w:eastAsia="Times New Roman" w:hAnsi="Courier New" w:cs="Times New Roman"/>
          <w:szCs w:val="20"/>
          <w:lang w:val="fr-FR" w:eastAsia="en-GB"/>
        </w:rPr>
        <w:tab/>
      </w:r>
      <w:r w:rsidRPr="00AD06C7">
        <w:rPr>
          <w:rFonts w:eastAsia="Times New Roman" w:cs="Times New Roman"/>
          <w:b/>
          <w:szCs w:val="24"/>
          <w:lang w:val="fr-FR" w:eastAsia="en-GB"/>
        </w:rPr>
        <w:t xml:space="preserve">Commission parlementaire compétente: </w:t>
      </w:r>
      <w:r w:rsidRPr="00AD06C7">
        <w:rPr>
          <w:rFonts w:eastAsia="Times New Roman" w:cs="Times New Roman"/>
          <w:szCs w:val="24"/>
          <w:lang w:val="fr-FR" w:eastAsia="en-GB"/>
        </w:rPr>
        <w:t>Sans objet</w:t>
      </w:r>
      <w:bookmarkStart w:id="1" w:name="CEEAG"/>
      <w:bookmarkEnd w:id="1"/>
    </w:p>
    <w:p w:rsidR="00AD06C7" w:rsidRPr="00AD06C7" w:rsidRDefault="00AD06C7" w:rsidP="00AD06C7">
      <w:pPr>
        <w:widowControl w:val="0"/>
        <w:spacing w:after="240" w:line="240" w:lineRule="auto"/>
        <w:jc w:val="both"/>
        <w:rPr>
          <w:rFonts w:eastAsia="Times New Roman" w:cs="Times New Roman"/>
          <w:b/>
          <w:szCs w:val="24"/>
          <w:lang w:val="fr-FR" w:eastAsia="en-GB"/>
        </w:rPr>
      </w:pPr>
      <w:r w:rsidRPr="00AD06C7">
        <w:rPr>
          <w:rFonts w:eastAsia="Times New Roman" w:cs="Times New Roman"/>
          <w:b/>
          <w:szCs w:val="24"/>
          <w:lang w:val="fr-FR" w:eastAsia="en-GB"/>
        </w:rPr>
        <w:t>5.</w:t>
      </w:r>
      <w:r w:rsidRPr="00AD06C7">
        <w:rPr>
          <w:rFonts w:ascii="Courier New" w:eastAsia="Times New Roman" w:hAnsi="Courier New" w:cs="Times New Roman"/>
          <w:szCs w:val="20"/>
          <w:lang w:val="fr-FR" w:eastAsia="en-GB"/>
        </w:rPr>
        <w:tab/>
      </w:r>
      <w:r w:rsidRPr="00AD06C7">
        <w:rPr>
          <w:rFonts w:eastAsia="Times New Roman" w:cs="Times New Roman"/>
          <w:b/>
          <w:szCs w:val="24"/>
          <w:lang w:val="fr-FR" w:eastAsia="en-GB"/>
        </w:rPr>
        <w:t>Analyse/évaluation succincte de la résolution et des demandes qu’elle contient:</w:t>
      </w:r>
    </w:p>
    <w:p w:rsidR="00AD06C7" w:rsidRPr="00AD06C7" w:rsidRDefault="00AD06C7" w:rsidP="00AD06C7">
      <w:pPr>
        <w:widowControl w:val="0"/>
        <w:spacing w:after="120" w:line="240" w:lineRule="auto"/>
        <w:jc w:val="both"/>
        <w:rPr>
          <w:rFonts w:eastAsia="Times New Roman" w:cs="Times New Roman"/>
          <w:b/>
          <w:szCs w:val="24"/>
          <w:lang w:val="fr-FR" w:eastAsia="en-GB"/>
        </w:rPr>
      </w:pPr>
      <w:r w:rsidRPr="00AD06C7">
        <w:rPr>
          <w:rFonts w:eastAsia="Times New Roman" w:cs="Times New Roman"/>
          <w:szCs w:val="20"/>
          <w:lang w:val="fr-FR" w:eastAsia="en-GB"/>
        </w:rPr>
        <w:t xml:space="preserve">La résolution présente la position du Parlement européen sur le projet de </w:t>
      </w:r>
      <w:r w:rsidRPr="00AD06C7">
        <w:rPr>
          <w:rFonts w:eastAsia="Times New Roman" w:cs="Times New Roman"/>
          <w:lang w:val="fr-FR" w:eastAsia="en-GB"/>
        </w:rPr>
        <w:t>lignes directrices concernant les aides d’État au climat, à la protection de l’environnement et à l’énergie, au sujet duquel les parties prenantes ont été consultées au cours de l’été 2021</w:t>
      </w:r>
      <w:r w:rsidRPr="00AD06C7">
        <w:rPr>
          <w:rFonts w:eastAsia="Times New Roman" w:cs="Times New Roman"/>
          <w:szCs w:val="20"/>
          <w:lang w:val="fr-FR" w:eastAsia="en-GB"/>
        </w:rPr>
        <w:t>. Dans sa résolution, le Parlement se félicite de l’objectif fixé par la Commission d’étendre le champ d’application des lignes directrices concernant les aides d’État au climat, à la protection de l’environnement et à l’énergie à de nouveaux domaines et d’accroître la flexibilité dont disposent les États membres dans la conception d’une mesure de soutien.</w:t>
      </w:r>
      <w:r w:rsidRPr="00AD06C7">
        <w:rPr>
          <w:rFonts w:eastAsia="Times New Roman" w:cs="Times New Roman"/>
          <w:color w:val="000000"/>
          <w:lang w:val="fr-FR" w:eastAsia="en-GB"/>
        </w:rPr>
        <w:t xml:space="preserve"> </w:t>
      </w:r>
      <w:r w:rsidRPr="00AD06C7">
        <w:rPr>
          <w:rFonts w:eastAsia="Times New Roman" w:cs="Times New Roman"/>
          <w:color w:val="000000"/>
          <w:szCs w:val="20"/>
          <w:lang w:val="fr-FR" w:eastAsia="en-GB"/>
        </w:rPr>
        <w:t>Il invite toutefois la Commission à revoir à la hausse le niveau d’ambition des aides pour l’amélioration de la performance énergétique et environnementale des bâtiments, en exigeant des niveaux plus élevés de réduction de la demande d’énergie primaire. Le Parlement souligne que l’ambition du paquet</w:t>
      </w:r>
      <w:proofErr w:type="gramStart"/>
      <w:r w:rsidRPr="00AD06C7">
        <w:rPr>
          <w:rFonts w:eastAsia="Times New Roman" w:cs="Times New Roman"/>
          <w:color w:val="000000"/>
          <w:szCs w:val="20"/>
          <w:lang w:val="fr-FR" w:eastAsia="en-GB"/>
        </w:rPr>
        <w:t xml:space="preserve"> «Ajustement</w:t>
      </w:r>
      <w:proofErr w:type="gramEnd"/>
      <w:r w:rsidRPr="00AD06C7">
        <w:rPr>
          <w:rFonts w:eastAsia="Times New Roman" w:cs="Times New Roman"/>
          <w:color w:val="000000"/>
          <w:szCs w:val="20"/>
          <w:lang w:val="fr-FR" w:eastAsia="en-GB"/>
        </w:rPr>
        <w:t xml:space="preserve"> à l’objectif 55» nécessitera des investissements considérables dans la </w:t>
      </w:r>
      <w:proofErr w:type="spellStart"/>
      <w:r w:rsidRPr="00AD06C7">
        <w:rPr>
          <w:rFonts w:eastAsia="Times New Roman" w:cs="Times New Roman"/>
          <w:color w:val="000000"/>
          <w:szCs w:val="20"/>
          <w:lang w:val="fr-FR" w:eastAsia="en-GB"/>
        </w:rPr>
        <w:t>décarbonation</w:t>
      </w:r>
      <w:proofErr w:type="spellEnd"/>
      <w:r w:rsidRPr="00AD06C7">
        <w:rPr>
          <w:rFonts w:eastAsia="Times New Roman" w:cs="Times New Roman"/>
          <w:color w:val="000000"/>
          <w:szCs w:val="20"/>
          <w:lang w:val="fr-FR" w:eastAsia="en-GB"/>
        </w:rPr>
        <w:t xml:space="preserve">, en particulier dans les secteurs à forte intensité énergétique. Par conséquent, le Parlement demande d'accroître le nombre de secteurs admissibles aux aides sous la forme de réductions des taxes sur l’électricité. Il souligne également que l’élimination progressive des combustibles fossiles devrait s’accompagner d’un soutien aux nouvelles technologies qui peuvent contribuer à réduire les émissions globales ainsi qu’à éviter la dépendance ou la création d’actifs délaissés. Il recommande également d’introduire des garanties supplémentaires pour les aides destinées à l’arrêt précoce des activités liées au charbon, à la tourbe et au schiste bitumineux. Dans sa résolution, le Parlement demande en outre l’introduction, dans les lignes directrices concernant les aides d’État au climat, à la protection de l’environnement et à l’énergie, d’un chapitre consacré au soutien aux énergies renouvelables, et mettent en exergue que les régimes d’aides axés sur la technologie devraient être la règle et non l’exception et prévoient la possibilité de disposer d, d’un chapitre consacré aux énergies renouvelables et aux communautés d’énergie renouvelable. Il recommande que les principes de hiérarchie énergétique selon lesquels la priorité est donnée aux économies d’énergie et à l’efficacité énergétique, suivies par l’électrification directe renouvelable et l’amélioration de l’utilisation de la chaleur renouvelable et, enfin, par l’utilisation d’autres ressources durables basées sur l’énergie renouvelable, soient intégrés dans les lignes </w:t>
      </w:r>
      <w:proofErr w:type="gramStart"/>
      <w:r w:rsidRPr="00AD06C7">
        <w:rPr>
          <w:rFonts w:eastAsia="Times New Roman" w:cs="Times New Roman"/>
          <w:color w:val="000000"/>
          <w:szCs w:val="20"/>
          <w:lang w:val="fr-FR" w:eastAsia="en-GB"/>
        </w:rPr>
        <w:t>directrices</w:t>
      </w:r>
      <w:proofErr w:type="gramEnd"/>
      <w:r w:rsidRPr="00AD06C7">
        <w:rPr>
          <w:rFonts w:eastAsia="Times New Roman" w:cs="Times New Roman"/>
          <w:color w:val="000000"/>
          <w:szCs w:val="20"/>
          <w:lang w:val="fr-FR" w:eastAsia="en-GB"/>
        </w:rPr>
        <w:t xml:space="preserve"> concernant les aides d’État au climat, à la protection de l’environnement et à l’énergie. Dans sa résolution, le Parlement recommande en outre d’analyser les effets des modifications proposées sur les petites et moyennes entreprises. Il engage la Commission à veiller à la sécurité juridique des régimes d’aide existants et à la prévisibilité économique des nouvelles mesures, en évitant d'imposer une charge excessive susceptible de nuire à la réalisation</w:t>
      </w:r>
      <w:r w:rsidRPr="00AD06C7">
        <w:rPr>
          <w:rFonts w:eastAsia="Times New Roman" w:cs="Times New Roman"/>
          <w:szCs w:val="20"/>
          <w:lang w:val="fr-FR" w:eastAsia="en-GB"/>
        </w:rPr>
        <w:t xml:space="preserve"> des objectifs du pacte vert. La résolution fait valoir que les procédures en matière </w:t>
      </w:r>
      <w:r w:rsidRPr="00AD06C7">
        <w:rPr>
          <w:rFonts w:eastAsia="Times New Roman" w:cs="Times New Roman"/>
          <w:szCs w:val="20"/>
          <w:lang w:val="fr-FR" w:eastAsia="en-GB"/>
        </w:rPr>
        <w:lastRenderedPageBreak/>
        <w:t xml:space="preserve">d’aides d’État manquent de transparence et invite la Commission à publier le calendrier des étapes de la procédure. Enfin, dans sa résolution, le Parlement invite en outre la Commission et le Conseil à faire preuve d’un engagement sans réserve à l’égard des obligations internationales de l’UE en matière de justice environnementale au titre de la convention d’Aarhus, en ce qui concerne les conclusions dans l’affaire </w:t>
      </w:r>
      <w:proofErr w:type="spellStart"/>
      <w:r w:rsidRPr="00AD06C7">
        <w:rPr>
          <w:rFonts w:eastAsia="Times New Roman" w:cs="Times New Roman"/>
          <w:szCs w:val="20"/>
          <w:lang w:val="fr-FR" w:eastAsia="en-GB"/>
        </w:rPr>
        <w:t>ACCC</w:t>
      </w:r>
      <w:proofErr w:type="spellEnd"/>
      <w:r w:rsidRPr="00AD06C7">
        <w:rPr>
          <w:rFonts w:eastAsia="Times New Roman" w:cs="Times New Roman"/>
          <w:szCs w:val="20"/>
          <w:lang w:val="fr-FR" w:eastAsia="en-GB"/>
        </w:rPr>
        <w:t>/C/2015/128.</w:t>
      </w:r>
    </w:p>
    <w:p w:rsidR="00AD06C7" w:rsidRPr="00AD06C7" w:rsidRDefault="00AD06C7" w:rsidP="00AD06C7">
      <w:pPr>
        <w:widowControl w:val="0"/>
        <w:spacing w:after="240" w:line="240" w:lineRule="auto"/>
        <w:ind w:left="720" w:hanging="720"/>
        <w:jc w:val="both"/>
        <w:rPr>
          <w:rFonts w:eastAsia="Times New Roman" w:cs="Times New Roman"/>
          <w:b/>
          <w:szCs w:val="24"/>
          <w:lang w:val="fr-FR" w:eastAsia="en-GB"/>
        </w:rPr>
      </w:pPr>
      <w:r w:rsidRPr="00AD06C7">
        <w:rPr>
          <w:rFonts w:eastAsia="Times New Roman" w:cs="Times New Roman"/>
          <w:b/>
          <w:szCs w:val="24"/>
          <w:lang w:val="fr-FR" w:eastAsia="en-GB"/>
        </w:rPr>
        <w:t>6.</w:t>
      </w:r>
      <w:r w:rsidRPr="00AD06C7">
        <w:rPr>
          <w:rFonts w:ascii="Courier New" w:eastAsia="Times New Roman" w:hAnsi="Courier New" w:cs="Times New Roman"/>
          <w:szCs w:val="20"/>
          <w:lang w:val="fr-FR" w:eastAsia="en-GB"/>
        </w:rPr>
        <w:tab/>
      </w:r>
      <w:r w:rsidRPr="00AD06C7">
        <w:rPr>
          <w:rFonts w:eastAsia="Times New Roman" w:cs="Times New Roman"/>
          <w:b/>
          <w:szCs w:val="24"/>
          <w:lang w:val="fr-FR" w:eastAsia="en-GB"/>
        </w:rPr>
        <w:t>Réponse à ces demandes et aperçu des mesures que la Commission a prises ou envisage de prendre:</w:t>
      </w:r>
    </w:p>
    <w:p w:rsidR="00AD06C7" w:rsidRPr="00AD06C7" w:rsidRDefault="00AD06C7" w:rsidP="00AD06C7">
      <w:pPr>
        <w:spacing w:after="120" w:line="240" w:lineRule="auto"/>
        <w:jc w:val="both"/>
        <w:rPr>
          <w:rFonts w:eastAsia="Calibri" w:cs="Times New Roman"/>
          <w:szCs w:val="24"/>
          <w:lang w:val="fr-FR" w:eastAsia="en-GB"/>
        </w:rPr>
      </w:pPr>
      <w:r w:rsidRPr="00AD06C7">
        <w:rPr>
          <w:rFonts w:eastAsia="Times New Roman" w:cs="Times New Roman"/>
          <w:lang w:val="fr-FR" w:eastAsia="en-GB"/>
        </w:rPr>
        <w:t>Le 21 décembre 2021,</w:t>
      </w:r>
      <w:r w:rsidRPr="00AD06C7">
        <w:rPr>
          <w:rFonts w:eastAsia="Times New Roman" w:cs="Times New Roman"/>
          <w:szCs w:val="20"/>
          <w:lang w:val="fr-FR" w:eastAsia="en-GB"/>
        </w:rPr>
        <w:t xml:space="preserve"> </w:t>
      </w:r>
      <w:r w:rsidRPr="00AD06C7">
        <w:rPr>
          <w:rFonts w:eastAsia="Times New Roman" w:cs="Times New Roman"/>
          <w:szCs w:val="24"/>
          <w:lang w:val="fr-FR" w:eastAsia="en-GB"/>
        </w:rPr>
        <w:t>la Commission a approuvé les nouvelles</w:t>
      </w:r>
      <w:proofErr w:type="gramStart"/>
      <w:r w:rsidRPr="00AD06C7">
        <w:rPr>
          <w:rFonts w:eastAsia="Times New Roman" w:cs="Times New Roman"/>
          <w:szCs w:val="24"/>
          <w:lang w:val="fr-FR" w:eastAsia="en-GB"/>
        </w:rPr>
        <w:t xml:space="preserve"> «lignes</w:t>
      </w:r>
      <w:proofErr w:type="gramEnd"/>
      <w:r w:rsidRPr="00AD06C7">
        <w:rPr>
          <w:rFonts w:eastAsia="Times New Roman" w:cs="Times New Roman"/>
          <w:szCs w:val="24"/>
          <w:lang w:val="fr-FR" w:eastAsia="en-GB"/>
        </w:rPr>
        <w:t xml:space="preserve"> directrices concernant les aides d’État au climat, à la protection de l’environnement et à l’énergie», qui ont été adoptées formellement le 27 janvier 2022 et s’appliquent à partir de cette date.</w:t>
      </w:r>
    </w:p>
    <w:p w:rsidR="00AD06C7" w:rsidRPr="00AD06C7" w:rsidRDefault="00AD06C7" w:rsidP="00AD06C7">
      <w:pPr>
        <w:spacing w:after="120" w:line="240" w:lineRule="auto"/>
        <w:jc w:val="both"/>
        <w:rPr>
          <w:rFonts w:eastAsia="Calibri" w:cs="Times New Roman"/>
          <w:szCs w:val="24"/>
          <w:lang w:val="fr-FR" w:eastAsia="en-GB"/>
        </w:rPr>
      </w:pPr>
      <w:r w:rsidRPr="00AD06C7">
        <w:rPr>
          <w:rFonts w:eastAsia="Times New Roman" w:cs="Times New Roman"/>
          <w:szCs w:val="24"/>
          <w:lang w:val="fr-FR" w:eastAsia="en-GB"/>
        </w:rPr>
        <w:t>Les lignes directrices concernant les aides d’État au climat, à la protection de l’environnement et à l’énergie font suite à une évaluation des règles existantes, les lignes directrices concernant les aides d’État à la protection de l’environnement et à l’énergie, réalisée dans le cadre du bilan de qualité des règles en matière d’aides d’État et d’une étude réalisée par des consultants externes. La Commission a également procédé à une vaste consultation de toutes les parties intéressées sur les règles révisées proposées, qui a donné lieu à plus de 700 contributions.</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szCs w:val="24"/>
          <w:lang w:val="fr-FR" w:eastAsia="en-GB"/>
        </w:rPr>
        <w:t>La révision des lignes directrices repose sur une analyse d’impact approfondie qui résume les différentes options stratégiques et leurs incidences environnementales, sociales et économiques.</w:t>
      </w:r>
    </w:p>
    <w:p w:rsidR="00AD06C7" w:rsidRPr="00AD06C7" w:rsidRDefault="00AD06C7" w:rsidP="00AD06C7">
      <w:pPr>
        <w:widowControl w:val="0"/>
        <w:spacing w:after="120" w:line="240" w:lineRule="auto"/>
        <w:jc w:val="both"/>
        <w:rPr>
          <w:rFonts w:eastAsia="Times New Roman" w:cs="Times New Roman"/>
          <w:b/>
          <w:i/>
          <w:szCs w:val="20"/>
          <w:lang w:val="fr-FR" w:eastAsia="en-GB"/>
        </w:rPr>
      </w:pPr>
      <w:r w:rsidRPr="00AD06C7">
        <w:rPr>
          <w:rFonts w:eastAsia="Times New Roman" w:cs="Times New Roman"/>
          <w:b/>
          <w:i/>
          <w:szCs w:val="20"/>
          <w:lang w:val="fr-FR" w:eastAsia="en-GB"/>
        </w:rPr>
        <w:t>Partie 1: approche horizontale</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Les lignes directrices concernant les aides d’État au climat, à la protection de l’environnement et à l’énergie visent à aider les pouvoirs publics à atteindre les objectifs du pacte vert de manière efficace en limitant autant que possible les distorsions de concurrence (</w:t>
      </w:r>
      <w:r w:rsidRPr="00AD06C7">
        <w:rPr>
          <w:rFonts w:eastAsia="Times New Roman" w:cs="Times New Roman"/>
          <w:b/>
          <w:lang w:val="fr-FR" w:eastAsia="en-GB"/>
        </w:rPr>
        <w:t>paragraphe 3</w:t>
      </w:r>
      <w:r w:rsidRPr="00AD06C7">
        <w:rPr>
          <w:rFonts w:eastAsia="Times New Roman" w:cs="Times New Roman"/>
          <w:lang w:val="fr-FR" w:eastAsia="en-GB"/>
        </w:rPr>
        <w:t>). À cette fin, la révision des lignes directrices concernant les aides d’État au climat, à la protection de l’environnement et à l’énergie garantit l’alignement sur la législation et les politiques pertinentes de l’UE dans les domaines de l’environnement et de l’énergie, y compris le paquet</w:t>
      </w:r>
      <w:proofErr w:type="gramStart"/>
      <w:r w:rsidRPr="00AD06C7">
        <w:rPr>
          <w:rFonts w:eastAsia="Times New Roman" w:cs="Times New Roman"/>
          <w:lang w:val="fr-FR" w:eastAsia="en-GB"/>
        </w:rPr>
        <w:t xml:space="preserve"> «Ajustement</w:t>
      </w:r>
      <w:proofErr w:type="gramEnd"/>
      <w:r w:rsidRPr="00AD06C7">
        <w:rPr>
          <w:rFonts w:eastAsia="Times New Roman" w:cs="Times New Roman"/>
          <w:lang w:val="fr-FR" w:eastAsia="en-GB"/>
        </w:rPr>
        <w:t xml:space="preserve"> à l’objectif 55» et le pacte vert pour l’Europe (</w:t>
      </w:r>
      <w:r w:rsidRPr="00AD06C7">
        <w:rPr>
          <w:rFonts w:eastAsia="Times New Roman" w:cs="Times New Roman"/>
          <w:b/>
          <w:lang w:val="fr-FR" w:eastAsia="en-GB"/>
        </w:rPr>
        <w:t>paragraphe 11</w:t>
      </w:r>
      <w:r w:rsidRPr="00AD06C7">
        <w:rPr>
          <w:rFonts w:eastAsia="Times New Roman" w:cs="Times New Roman"/>
          <w:lang w:val="fr-FR" w:eastAsia="en-GB"/>
        </w:rPr>
        <w:t>). Afin d’assurer une parfaite cohérence entre les lignes directrices concernant les aides d’État au climat, à la protection de l’environnement et à l’énergie et l’évolution de la législation, la Commission a l’intention de procéder à une évaluation de ces lignes directrices à partir du 31 décembre 2027 (</w:t>
      </w:r>
      <w:r w:rsidRPr="00AD06C7">
        <w:rPr>
          <w:rFonts w:eastAsia="Times New Roman" w:cs="Times New Roman"/>
          <w:b/>
          <w:lang w:val="fr-FR" w:eastAsia="en-GB"/>
        </w:rPr>
        <w:t>paragraphe 25</w:t>
      </w:r>
      <w:r w:rsidRPr="00AD06C7">
        <w:rPr>
          <w:rFonts w:eastAsia="Times New Roman" w:cs="Times New Roman"/>
          <w:lang w:val="fr-FR" w:eastAsia="en-GB"/>
        </w:rPr>
        <w:t>), mais elle peut décider de les réviser ou de les modifier à tout moment si nécessaire.</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La politique de concurrence contribue aux objectifs écologiques en promouvant des marchés concurrentiels qui encouragent les entreprises à produire au moindre coût afin d’investir efficacement, d’innover et d’adopter des technologies plus économes en ressources et en énergie. À cet égard, afin d’élaborer une nouvelle stratégie de croissance fondée sur le pacte vert pour l’Europe et sur la durabilité compétitive, il est essentiel que les règles de concurrence, et en particulier celles relatives aux aides d’État, jouent pleinement leur rôle (</w:t>
      </w:r>
      <w:r w:rsidRPr="00AD06C7">
        <w:rPr>
          <w:rFonts w:eastAsia="Times New Roman" w:cs="Times New Roman"/>
          <w:b/>
          <w:lang w:val="fr-FR" w:eastAsia="en-GB"/>
        </w:rPr>
        <w:t>paragraphe 15</w:t>
      </w:r>
      <w:r w:rsidRPr="00AD06C7">
        <w:rPr>
          <w:rFonts w:eastAsia="Times New Roman" w:cs="Times New Roman"/>
          <w:lang w:val="fr-FR" w:eastAsia="en-GB"/>
        </w:rPr>
        <w:t>).</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La Commission partage l’avis du Parlement sur l’importance du</w:t>
      </w:r>
      <w:proofErr w:type="gramStart"/>
      <w:r w:rsidRPr="00AD06C7">
        <w:rPr>
          <w:rFonts w:eastAsia="Times New Roman" w:cs="Times New Roman"/>
          <w:lang w:val="fr-FR" w:eastAsia="en-GB"/>
        </w:rPr>
        <w:t xml:space="preserve"> «principe</w:t>
      </w:r>
      <w:proofErr w:type="gramEnd"/>
      <w:r w:rsidRPr="00AD06C7">
        <w:rPr>
          <w:rFonts w:eastAsia="Times New Roman" w:cs="Times New Roman"/>
          <w:lang w:val="fr-FR" w:eastAsia="en-GB"/>
        </w:rPr>
        <w:t xml:space="preserve"> de primauté de l’efficacité énergétique» (</w:t>
      </w:r>
      <w:r w:rsidRPr="00AD06C7">
        <w:rPr>
          <w:rFonts w:eastAsia="Times New Roman" w:cs="Times New Roman"/>
          <w:b/>
          <w:lang w:val="fr-FR" w:eastAsia="en-GB"/>
        </w:rPr>
        <w:t>paragraphe 21</w:t>
      </w:r>
      <w:r w:rsidRPr="00AD06C7">
        <w:rPr>
          <w:rFonts w:eastAsia="Times New Roman" w:cs="Times New Roman"/>
          <w:lang w:val="fr-FR" w:eastAsia="en-GB"/>
        </w:rPr>
        <w:t>) en tant que pilier de l’union de l’énergie de l’UE. Ce principe est inscrit dans le règlement sur la gouvernance de l’union de l’énergie et de l’action pour le climat (règlement 2018/1999) ainsi que dans la directive relative à l’efficacité énergétique (directive 2018/2002) et sa proposition de refonte.</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lastRenderedPageBreak/>
        <w:t>La Commission partage le point de vue du Parlement sur la nécessité d’éviter la dépendance à long terme à l’égard des combustibles fossiles (</w:t>
      </w:r>
      <w:r w:rsidRPr="00AD06C7">
        <w:rPr>
          <w:rFonts w:eastAsia="Times New Roman" w:cs="Times New Roman"/>
          <w:b/>
          <w:lang w:val="fr-FR" w:eastAsia="en-GB"/>
        </w:rPr>
        <w:t>paragraphes 4, 5 et 6</w:t>
      </w:r>
      <w:r w:rsidRPr="00AD06C7">
        <w:rPr>
          <w:rFonts w:eastAsia="Times New Roman" w:cs="Times New Roman"/>
          <w:lang w:val="fr-FR" w:eastAsia="en-GB"/>
        </w:rPr>
        <w:t>) et, par conséquent, prévoit un alignement entre les lignes directrices concernant les aides d’État au climat, à la protection de l’environnement et à l’énergie et la législation et les politiques pertinentes de l’UE dans les domaines de l’environnement et de l’énergie en supprimant progressivement les subventions aux combustibles fossiles, en particulier ceux qui sont les plus polluants. En effet, pour les combustibles fossiles les plus polluants, les lignes directrices prévoient qu’une appréciation positive de la Commission sur la base des règles en matière d’aides d’État sera improbable eu égard aux effets négatifs de ces combustibles sur l’environnement. Dans le cadre des lignes directrices concernant les aides d’État au climat, à la protection de l’environnement et à l’énergie, il est peu probable que les aides d’État en faveur du gaz naturel soient autorisées, à moins qu’il puisse être démontré que les mesures respectent les objectifs climatiques pour 2030 et 2050 et n’entraînent pas d’effets de verrouillage. Des engagements contraignants sont un moyen de garantir le respect de ces conditions. Dans le même ordre d’idées, les lignes directrices concernant les aides d’État au climat, à la protection de l’environnement et à l’énergie indiquent qu’il est peu probable que le bilan soit positif pour les mesures de sécurité d’approvisionnement qui ne respectent pas la norme de performance en matière d’émissions prévue à l’article 22 du règlement (UE) 2019/943.</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La Commission comprend la demande du Parlement d’éviter des charges administratives excessives dans le cadre de la procédure relative aux aides d’État (</w:t>
      </w:r>
      <w:r w:rsidRPr="00AD06C7">
        <w:rPr>
          <w:rFonts w:eastAsia="Times New Roman" w:cs="Times New Roman"/>
          <w:b/>
          <w:lang w:val="fr-FR" w:eastAsia="en-GB"/>
        </w:rPr>
        <w:t>paragraphe 26</w:t>
      </w:r>
      <w:r w:rsidRPr="00AD06C7">
        <w:rPr>
          <w:rFonts w:eastAsia="Times New Roman" w:cs="Times New Roman"/>
          <w:lang w:val="fr-FR" w:eastAsia="en-GB"/>
        </w:rPr>
        <w:t>). En effet, les garanties prévues par les lignes directrices concernant les aides d’État au climat, à la protection de l’environnement et à l’énergie sont essentielles pour faire en sorte que la flexibilité accrue et le montant des aides autorisées au titre des lignes directrices soient utilisés de manière optimale pour améliorer la protection de l’environnement, se limitent à ce qui est nécessaire pour atteindre les objectifs environnementaux et ne faussent pas la concurrence ou l’intégrité du marché intérieur. Afin de réduire l’incidence administrative des garanties proposées, en particulier pour les petits acteurs du marché, la Commission n’appliquera certaines garanties qu’aux régimes ou projets qui dépassent un certain budget.</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 xml:space="preserve">La Commission convient que les investissements dans la </w:t>
      </w:r>
      <w:proofErr w:type="spellStart"/>
      <w:r w:rsidRPr="00AD06C7">
        <w:rPr>
          <w:rFonts w:eastAsia="Times New Roman" w:cs="Times New Roman"/>
          <w:lang w:val="fr-FR" w:eastAsia="en-GB"/>
        </w:rPr>
        <w:t>décarbonation</w:t>
      </w:r>
      <w:proofErr w:type="spellEnd"/>
      <w:r w:rsidRPr="00AD06C7">
        <w:rPr>
          <w:rFonts w:eastAsia="Times New Roman" w:cs="Times New Roman"/>
          <w:lang w:val="fr-FR" w:eastAsia="en-GB"/>
        </w:rPr>
        <w:t xml:space="preserve"> nécessitent une prévisibilité économique (</w:t>
      </w:r>
      <w:r w:rsidRPr="00AD06C7">
        <w:rPr>
          <w:rFonts w:eastAsia="Times New Roman" w:cs="Times New Roman"/>
          <w:b/>
          <w:lang w:val="fr-FR" w:eastAsia="en-GB"/>
        </w:rPr>
        <w:t>paragraphe 24</w:t>
      </w:r>
      <w:r w:rsidRPr="00AD06C7">
        <w:rPr>
          <w:rFonts w:eastAsia="Times New Roman" w:cs="Times New Roman"/>
          <w:lang w:val="fr-FR" w:eastAsia="en-GB"/>
        </w:rPr>
        <w:t>) et, pour cette raison, les lignes directrices concernant les aides d’État au climat, à la protection de l’environnement et à l’énergie continuent d’autoriser l’octroi d’un soutien pour de longues périodes, conformément à la pratique établie dans le cadre des lignes directrices concernant les aides d’États à la protection de l’environnement et à l’énergie.</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 xml:space="preserve">En ce qui concerne le </w:t>
      </w:r>
      <w:r w:rsidRPr="00AD06C7">
        <w:rPr>
          <w:rFonts w:eastAsia="Times New Roman" w:cs="Times New Roman"/>
          <w:b/>
          <w:lang w:val="fr-FR" w:eastAsia="en-GB"/>
        </w:rPr>
        <w:t>paragraphe 29</w:t>
      </w:r>
      <w:r w:rsidRPr="00AD06C7">
        <w:rPr>
          <w:rFonts w:eastAsia="Times New Roman" w:cs="Times New Roman"/>
          <w:lang w:val="fr-FR" w:eastAsia="en-GB"/>
        </w:rPr>
        <w:t>, la Commission souligne que les États membres peuvent ne pas souhaiter divulguer des informations relatives aux procédures d’aides d’État en cours qui pourraient être considérées comme sensibles. La Commission a l’intention d’améliorer les modèles de notification des aides d’État afin de les aligner sur les nouvelles règles proposées et de définir des critères clairs et transparents pour l’appréciation de la conformité des mesures nationales d’aide d’État avec le droit de l’UE.</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 xml:space="preserve">En ce qui concerne le </w:t>
      </w:r>
      <w:r w:rsidRPr="00AD06C7">
        <w:rPr>
          <w:rFonts w:eastAsia="Times New Roman" w:cs="Times New Roman"/>
          <w:b/>
          <w:lang w:val="fr-FR" w:eastAsia="en-GB"/>
        </w:rPr>
        <w:t>paragraphe 30</w:t>
      </w:r>
      <w:r w:rsidRPr="00AD06C7">
        <w:rPr>
          <w:rFonts w:eastAsia="Times New Roman" w:cs="Times New Roman"/>
          <w:lang w:val="fr-FR" w:eastAsia="en-GB"/>
        </w:rPr>
        <w:t xml:space="preserve">, la Commission analyse actuellement les implications des conclusions et évalue les options envisageables en ce qui concerne l’affaire </w:t>
      </w:r>
      <w:proofErr w:type="spellStart"/>
      <w:r w:rsidRPr="00AD06C7">
        <w:rPr>
          <w:rFonts w:eastAsia="Times New Roman" w:cs="Times New Roman"/>
          <w:lang w:val="fr-FR" w:eastAsia="en-GB"/>
        </w:rPr>
        <w:t>ACCC</w:t>
      </w:r>
      <w:proofErr w:type="spellEnd"/>
      <w:r w:rsidRPr="00AD06C7">
        <w:rPr>
          <w:rFonts w:eastAsia="Times New Roman" w:cs="Times New Roman"/>
          <w:lang w:val="fr-FR" w:eastAsia="en-GB"/>
        </w:rPr>
        <w:t>/C/2015/128 et, conformément à la déclaration faite dans le contexte de la modification du règlement Aarhus, elle achèvera et publiera cette évaluation d’ici à la fin de 2022. S’il y a lieu, d’ici à la fin de 2023, la Commission présentera des mesures pour résoudre ce problème, au regard des obligations de l’Union européenne et de ses États membres en vertu de la convention d’Aarhus et compte tenu des règles du droit de l’Union relatives aux aides d’État.</w:t>
      </w:r>
    </w:p>
    <w:p w:rsidR="00AD06C7" w:rsidRPr="00AD06C7" w:rsidRDefault="00AD06C7" w:rsidP="00AD06C7">
      <w:pPr>
        <w:spacing w:after="120" w:line="240" w:lineRule="auto"/>
        <w:jc w:val="both"/>
        <w:rPr>
          <w:rFonts w:eastAsia="Times New Roman" w:cs="Times New Roman"/>
          <w:b/>
          <w:i/>
          <w:szCs w:val="20"/>
          <w:lang w:val="fr-FR" w:eastAsia="en-GB"/>
        </w:rPr>
      </w:pPr>
      <w:r w:rsidRPr="00AD06C7">
        <w:rPr>
          <w:rFonts w:eastAsia="Times New Roman" w:cs="Times New Roman"/>
          <w:b/>
          <w:i/>
          <w:szCs w:val="20"/>
          <w:lang w:val="fr-FR" w:eastAsia="en-GB"/>
        </w:rPr>
        <w:lastRenderedPageBreak/>
        <w:t>Partie 2: aide à la réduction et à la suppression des émissions de gaz à effet de serre notamment en soutenant les énergies renouvelables</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Afin de permettre de soutenir toutes les technologies et toutes les approches susceptibles de contribuer au pacte vert et de veiller à ce que les lignes directrices résistent aussi bien que possible à l’épreuve du temps, les nouvelles lignes directrices comportent une vaste section intitulée</w:t>
      </w:r>
      <w:proofErr w:type="gramStart"/>
      <w:r w:rsidRPr="00AD06C7">
        <w:rPr>
          <w:rFonts w:eastAsia="Times New Roman" w:cs="Times New Roman"/>
          <w:lang w:val="fr-FR" w:eastAsia="en-GB"/>
        </w:rPr>
        <w:t xml:space="preserve"> «Aides</w:t>
      </w:r>
      <w:proofErr w:type="gramEnd"/>
      <w:r w:rsidRPr="00AD06C7">
        <w:rPr>
          <w:rFonts w:eastAsia="Times New Roman" w:cs="Times New Roman"/>
          <w:lang w:val="fr-FR" w:eastAsia="en-GB"/>
        </w:rPr>
        <w:t xml:space="preserve"> en faveur de la réduction et de l’élimination des émissions de gaz à effet de serre, notamment par un soutien aux énergies renouvelables et à l’efficacité énergétique». Cela permet d’adapter les règles à un secteur qui évolue rapidement (</w:t>
      </w:r>
      <w:r w:rsidRPr="00AD06C7">
        <w:rPr>
          <w:rFonts w:eastAsia="Times New Roman" w:cs="Times New Roman"/>
          <w:b/>
          <w:lang w:val="fr-FR" w:eastAsia="en-GB"/>
        </w:rPr>
        <w:t>paragraphe 14</w:t>
      </w:r>
      <w:r w:rsidRPr="00AD06C7">
        <w:rPr>
          <w:rFonts w:eastAsia="Times New Roman" w:cs="Times New Roman"/>
          <w:lang w:val="fr-FR" w:eastAsia="en-GB"/>
        </w:rPr>
        <w:t>), en garantissant la possibilité de soutenir des innovations susceptibles d’avoir une incidence positive sur l’environnement (</w:t>
      </w:r>
      <w:r w:rsidRPr="00AD06C7">
        <w:rPr>
          <w:rFonts w:eastAsia="Times New Roman" w:cs="Times New Roman"/>
          <w:b/>
          <w:lang w:val="fr-FR" w:eastAsia="en-GB"/>
        </w:rPr>
        <w:t>paragraphe 28</w:t>
      </w:r>
      <w:r w:rsidRPr="00AD06C7">
        <w:rPr>
          <w:rFonts w:eastAsia="Times New Roman" w:cs="Times New Roman"/>
          <w:lang w:val="fr-FR" w:eastAsia="en-GB"/>
        </w:rPr>
        <w:t xml:space="preserve">). Les sources d’énergie renouvelables demeurent plus importantes que jamais et la section générale consacrée aux mesures de </w:t>
      </w:r>
      <w:proofErr w:type="spellStart"/>
      <w:r w:rsidRPr="00AD06C7">
        <w:rPr>
          <w:rFonts w:eastAsia="Times New Roman" w:cs="Times New Roman"/>
          <w:lang w:val="fr-FR" w:eastAsia="en-GB"/>
        </w:rPr>
        <w:t>décarbonation</w:t>
      </w:r>
      <w:proofErr w:type="spellEnd"/>
      <w:r w:rsidRPr="00AD06C7">
        <w:rPr>
          <w:rFonts w:eastAsia="Times New Roman" w:cs="Times New Roman"/>
          <w:lang w:val="fr-FR" w:eastAsia="en-GB"/>
        </w:rPr>
        <w:t xml:space="preserve"> porte explicitement sur le soutien aux énergies renouvelables. En outre, des régimes spécifiques en matière d’énergies renouvelables restent possibles pour garantir que les États membres disposent des outils nécessaires pour contribuer à la réalisation des objectifs de l’Union en matière d’énergies renouvelables et soutenir des technologies renouvelables spécifiques lorsque cela permet de réduire les coûts ou d’obtenir d’autres avantages en matière d’efficacité ou d’environnement (</w:t>
      </w:r>
      <w:r w:rsidRPr="00AD06C7">
        <w:rPr>
          <w:rFonts w:eastAsia="Times New Roman" w:cs="Times New Roman"/>
          <w:b/>
          <w:lang w:val="fr-FR" w:eastAsia="en-GB"/>
        </w:rPr>
        <w:t>paragraphe 17</w:t>
      </w:r>
      <w:r w:rsidRPr="00AD06C7">
        <w:rPr>
          <w:rFonts w:eastAsia="Times New Roman" w:cs="Times New Roman"/>
          <w:lang w:val="fr-FR" w:eastAsia="en-GB"/>
        </w:rPr>
        <w:t>).</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 xml:space="preserve">La Commission reconnaît pleinement l’importance des communautés d’énergie renouvelable et des petites et moyennes entreprises (PME) dans la transition énergétique. À cet effet, les lignes directrices concernant les aides d’État au climat, à la protection de l’environnement et à l’énergie prévoient la possibilité d’exempter de l’obligation de mise en concurrence les communautés d’énergie ainsi que les projets détenus par des PME dont la capacité installée est inférieure à 6 MW (ou 18 MW pour les projets de production d’énergie éolienne détenus par des communautés d’énergie et des petites et </w:t>
      </w:r>
      <w:proofErr w:type="spellStart"/>
      <w:r w:rsidRPr="00AD06C7">
        <w:rPr>
          <w:rFonts w:eastAsia="Times New Roman" w:cs="Times New Roman"/>
          <w:lang w:val="fr-FR" w:eastAsia="en-GB"/>
        </w:rPr>
        <w:t>micro-entreprises</w:t>
      </w:r>
      <w:proofErr w:type="spellEnd"/>
      <w:r w:rsidRPr="00AD06C7">
        <w:rPr>
          <w:rFonts w:eastAsia="Times New Roman" w:cs="Times New Roman"/>
          <w:lang w:val="fr-FR" w:eastAsia="en-GB"/>
        </w:rPr>
        <w:t>). Plus généralement, en cas de mise en concurrence, les lignes directrices concernant les aides d’État au climat, à la protection de l’environnement et à l’énergie permettent aux États membres de concevoir des appels d’offres d’une manière qui renforce la participation des communautés d’énergie, par exemple en abaissant les conditions de pré-qualification.</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Les PME et les petites entreprises à moyenne capitalisation peuvent également bénéficier d’une aide lorsqu’elles fournissent des mesures visant à améliorer la performance énergétique dans le cadre de contrats de performance énergétique, que ce soit pour des bâtiments ou des activités industrielles. Par ailleurs, les intensités d’aide peuvent être augmentées de 20 points de pourcentage pour les petites entreprises ou de 10 points de pourcentage pour les entreprises de taille moyenne pour un certain nombre de catégories d’aides, telles que les aides en faveur de l’amélioration de la performance énergétique des bâtiments, les aides à l’acquisition de véhicules à émissions nulles et au déploiement d’infrastructures de recharge et de ravitaillement, les aides en faveur de l’utilisation efficace des ressources, les aides en faveur de la prévention ou de la réduction de la pollution autre que par des gaz à effet de serre, ainsi que les aides en faveur des études ou des services de conseil relatifs aux questions de climat, de protection de l’environnement et d’énergie.</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En outre, la modification proposée du règlement général d’exemption par catégorie (</w:t>
      </w:r>
      <w:proofErr w:type="spellStart"/>
      <w:r w:rsidRPr="00AD06C7">
        <w:rPr>
          <w:rFonts w:eastAsia="Times New Roman" w:cs="Times New Roman"/>
          <w:lang w:val="fr-FR" w:eastAsia="en-GB"/>
        </w:rPr>
        <w:t>RGEC</w:t>
      </w:r>
      <w:proofErr w:type="spellEnd"/>
      <w:r w:rsidRPr="00AD06C7">
        <w:rPr>
          <w:rFonts w:eastAsia="Times New Roman" w:cs="Times New Roman"/>
          <w:lang w:val="fr-FR" w:eastAsia="en-GB"/>
        </w:rPr>
        <w:t>), au sujet de laquelle les parties prenantes ont été consultées au cours du dernier trimestre de 2021, offre une plus grande souplesse aux communautés d’énergie renouvelable et aux installations à petite échelle, y compris la possibilité de soutenir le développement de projets au moyen d’une aide aux études de faisabilité.</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 xml:space="preserve">En ce qui concerne le </w:t>
      </w:r>
      <w:r w:rsidRPr="00AD06C7">
        <w:rPr>
          <w:rFonts w:eastAsia="Times New Roman" w:cs="Times New Roman"/>
          <w:b/>
          <w:lang w:val="fr-FR" w:eastAsia="en-GB"/>
        </w:rPr>
        <w:t>paragraphe 23</w:t>
      </w:r>
      <w:r w:rsidRPr="00AD06C7">
        <w:rPr>
          <w:rFonts w:eastAsia="Times New Roman" w:cs="Times New Roman"/>
          <w:lang w:val="fr-FR" w:eastAsia="en-GB"/>
        </w:rPr>
        <w:t>, la Commission rappelle que les règles proposées exigent généralement des mesures ouvertes, qui donnent aux nouveaux entrants la possibilité de participer.</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b/>
          <w:i/>
          <w:szCs w:val="20"/>
          <w:lang w:val="fr-FR" w:eastAsia="en-GB"/>
        </w:rPr>
        <w:lastRenderedPageBreak/>
        <w:t>Partie 3: autres aides environnementales</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La Commission partage l’avis du Parlement selon lequel les mesures de soutien à l’efficacité énergétique des bâtiments peuvent avoir une incidence positive sur la réduction de la précarité énergétique (</w:t>
      </w:r>
      <w:r w:rsidRPr="00AD06C7">
        <w:rPr>
          <w:rFonts w:eastAsia="Times New Roman" w:cs="Times New Roman"/>
          <w:b/>
          <w:lang w:val="fr-FR" w:eastAsia="en-GB"/>
        </w:rPr>
        <w:t>paragraphe 7</w:t>
      </w:r>
      <w:r w:rsidRPr="00AD06C7">
        <w:rPr>
          <w:rFonts w:eastAsia="Times New Roman" w:cs="Times New Roman"/>
          <w:lang w:val="fr-FR" w:eastAsia="en-GB"/>
        </w:rPr>
        <w:t>). En effet, au titre des lignes directrices concernant les aides d’État au climat, à la protection de l’environnement et à l’énergie, la Commission entend faciliter les investissements qui contribuent à la réalisation des objectifs du pacte vert. Dans ce contexte, les lignes directrices visent à trouver un équilibre entre, d’une part, veiller à ce que le niveau d’ambition des investissements destinés à accroître la performance énergétique des bâtiments soit suffisamment élevé et, d’autre part, ne pas laisser de côté les entreprises et les projets susceptibles de contribuer, même dans une moindre mesure, à ces objectifs. Les lignes directrices concernant les aides d’État au climat, à la protection de l’environnement et à l’énergie, d’une part, exigent, pour qu’une amélioration de la performance énergétique soit admissible au bénéfice de l’aide, de réaliser des économies d’énergie au-delà d’un certain seuil (10 % ou 20 %, selon le type de bâtiment et d’intervention) et, d’autre part, encouragent les États membres à soutenir des rénovations plus ambitieuses en autorisant des intensités d’aide plus élevées lorsque l’investissement entraîne une réduction minimale de 40 % de la demande d’énergie primaire. Les rénovations dont la portée est limitée, telles que celles concernant certains éléments de bâtiments, peuvent encore apporter des avantages environnementaux globaux significatifs lorsque le champ d’application de ces mesures est suffisamment large.</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En outre, les lignes directrices concernant les aides d’État au climat, à la protection de l’environnement et à l’énergie visent à introduire des simplifications significatives dans le domaine de la performance énergétique des bâtiments et à faire en sorte que les règles facilitent les efforts déployés par les États membres pour atteindre les objectifs de la communication sur la vague de rénovations</w:t>
      </w:r>
      <w:r w:rsidRPr="00AD06C7">
        <w:rPr>
          <w:rFonts w:eastAsia="Calibri" w:cs="Times New Roman"/>
          <w:vertAlign w:val="superscript"/>
          <w:lang w:val="fr-FR"/>
        </w:rPr>
        <w:footnoteReference w:id="1"/>
      </w:r>
      <w:r w:rsidRPr="00AD06C7">
        <w:rPr>
          <w:rFonts w:eastAsia="Times New Roman" w:cs="Times New Roman"/>
          <w:lang w:val="fr-FR" w:eastAsia="en-GB"/>
        </w:rPr>
        <w:t>.</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Premièrement, en ce qui concerne les simplifications, en vertu des lignes directrices concernant les aides d’État au climat, à la protection de l’environnement et à l’énergie, les États membres ne sont plus tenus de déduire des coûts admissibles le coût des investissements moins respectueux de l’environnement qui seraient plausibles en l'absence d’aide. En conséquence, tous les coûts liés à l’amélioration de la performance énergétique ou environnementale du bâtiment constituent des coûts admissibles.</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Deuxièmement, en ce qui concerne le champ d’application des dispositions, la Commission reconnaît, conformément à la stratégie pour une vague de rénovations, l’importance d’investir dans l’amélioration de la performance énergétique des bâtiments, afin de rendre le parc immobilier européen non seulement plus économe en énergie, mais aussi plus écologique, plus sain, plus résilient et plus numérisé. Par conséquent, afin d’encourager les rénovations globales, les lignes directrices concernant les aides d’État au climat, à la protection de l’environnement et à l’énergie autorisent les États membres à combiner, au titre du même chapitre, des aides visant à améliorer l’efficacité énergétique des bâtiments avec des aides en faveur de tout autre investissement qui améliore leur performance énergétique ou environnementale (par exemple, des installations de production et de stockage d’énergie renouvelable sur place; des infrastructures de recharge destinées aux utilisateurs du bâtiment; des équipements pour la numérisation sur site du bâtiment, en particulier pour accroître son potentiel d’intelligence; des toitures végétales et des équipements de récupération des eaux de pluie).</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lastRenderedPageBreak/>
        <w:t>Troisièmement, compte tenu de la nécessité de laisser aux États membres une marge de manœuvre supplémentaire dans ce domaine, les lignes directrices concernant les aides d’État au climat, à la protection de l’environnement et à l’énergie n’exigent pas des États membres qu’ils recourent à des procédures de mise en concurrence comme méthode par défaut pour allouer les aides et déterminer les montants d’aide. Ce faisant, la Commission reconnaît la nécessité pour les États membres de tenir compte de considérations autres que le rapport coût-efficacité lors de l’octroi d’une aide, étant donné que le fait de se concentrer uniquement sur le rapport coût-efficacité peut aller à l’encontre de la nécessité de lutter contre la précarité énergétique et donner la priorité à la rénovation des bâtiments les moins performants. C’est la raison pour laquelle les lignes directrices concernant les aides d’État au climat, à la protection de l’environnement et à l’énergie maintiennent l’utilisation des intensités d’aide et des coûts admissibles comme méthode par défaut pour déterminer le montant de l’aide dans ce domaine, ce qui limite la charge administrative tant pour les États membres que pour les bénéficiaires.</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 xml:space="preserve">En ce qui concerne le </w:t>
      </w:r>
      <w:r w:rsidRPr="00AD06C7">
        <w:rPr>
          <w:rFonts w:eastAsia="Times New Roman" w:cs="Times New Roman"/>
          <w:b/>
          <w:lang w:val="fr-FR" w:eastAsia="en-GB"/>
        </w:rPr>
        <w:t>paragraphe 2</w:t>
      </w:r>
      <w:r w:rsidRPr="00AD06C7">
        <w:rPr>
          <w:rFonts w:eastAsia="Times New Roman" w:cs="Times New Roman"/>
          <w:lang w:val="fr-FR" w:eastAsia="en-GB"/>
        </w:rPr>
        <w:t>, s’agissant des aides en faveur de l’économie circulaire et de l’utilisation efficace des ressources, les lignes directrices concernant les aides d’État au climat, à la protection de l’environnement et à l’énergie ont été assouplies tant pour ce qui est du champ d’application des dispositions, qui a été élargi pour couvrir les investissements visant à accroître l’efficacité et la circularité des ressources au-delà du domaine de la gestion des déchets (c’est-à-dire la prévention, le recyclage ou la réutilisation de ses propres déchets et des déchets de tiers, ainsi que d’autres produits, matériaux ou substances qui ne sont pas considérés comme des déchets), et la quantification de l’aide, avec de nouvelles possibilités quant à l’identification du scénario contrefactuel pertinent pour chaque cas spécifique et l’établissement des montants d’aide.</w:t>
      </w:r>
    </w:p>
    <w:p w:rsidR="00AD06C7" w:rsidRPr="00AD06C7" w:rsidRDefault="00AD06C7" w:rsidP="00AD06C7">
      <w:pPr>
        <w:spacing w:after="120" w:line="240" w:lineRule="auto"/>
        <w:jc w:val="both"/>
        <w:rPr>
          <w:rFonts w:eastAsia="Times New Roman" w:cs="Times New Roman"/>
          <w:b/>
          <w:i/>
          <w:szCs w:val="20"/>
          <w:lang w:val="fr-FR" w:eastAsia="en-GB"/>
        </w:rPr>
      </w:pPr>
      <w:r w:rsidRPr="00AD06C7">
        <w:rPr>
          <w:rFonts w:eastAsia="Times New Roman" w:cs="Times New Roman"/>
          <w:b/>
          <w:i/>
          <w:szCs w:val="20"/>
          <w:lang w:val="fr-FR" w:eastAsia="en-GB"/>
        </w:rPr>
        <w:t>Partie 4: aides dans le secteur de l'énergie</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 xml:space="preserve">En ce qui concerne le </w:t>
      </w:r>
      <w:r w:rsidRPr="00AD06C7">
        <w:rPr>
          <w:rFonts w:eastAsia="Times New Roman" w:cs="Times New Roman"/>
          <w:b/>
          <w:lang w:val="fr-FR" w:eastAsia="en-GB"/>
        </w:rPr>
        <w:t>paragraphe 18</w:t>
      </w:r>
      <w:r w:rsidRPr="00AD06C7">
        <w:rPr>
          <w:rFonts w:eastAsia="Times New Roman" w:cs="Times New Roman"/>
          <w:lang w:val="fr-FR" w:eastAsia="en-GB"/>
        </w:rPr>
        <w:t>, la Commission comprend l’importance des interconnexions pour garantir la sécurité de l’approvisionnement. En particulier, dans le cadre des lignes directrices concernant les aides d’État au climat, à la protection de l’environnement et à l’énergie, les États membres sont tenus, avant de mettre en œuvre des mesures de soutien, d’envisager d’autres moyens d’assurer la sécurité de l’approvisionnement en électricité, notamment la suppression des obstacles aux échanges transfrontaliers et l’amélioration de l’interconnexion. En outre, les lignes directrices concernant les aides d’État au climat, à la protection de l’environnement et à l’énergie exigent que les mesures relatives à la sécurité de l’approvisionnement en électricité ne réduisent pas les incitations à investir dans les capacités d’interconnexion et soient ouvertes aux fournisseurs de capacité établis dans d’autres États membres.</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szCs w:val="20"/>
          <w:lang w:val="fr-FR" w:eastAsia="en-GB"/>
        </w:rPr>
        <w:t xml:space="preserve">En ce qui concerne le </w:t>
      </w:r>
      <w:r w:rsidRPr="00AD06C7">
        <w:rPr>
          <w:rFonts w:eastAsia="Times New Roman" w:cs="Times New Roman"/>
          <w:b/>
          <w:szCs w:val="20"/>
          <w:lang w:val="fr-FR" w:eastAsia="en-GB"/>
        </w:rPr>
        <w:t>paragraphe 16</w:t>
      </w:r>
      <w:r w:rsidRPr="00AD06C7">
        <w:rPr>
          <w:rFonts w:eastAsia="Times New Roman" w:cs="Times New Roman"/>
          <w:szCs w:val="20"/>
          <w:lang w:val="fr-FR" w:eastAsia="en-GB"/>
        </w:rPr>
        <w:t>, la Commission examinera en détail les mesures prises pour compenser la cessation anticipée des activités rentables liées au charbon, à la tourbe et au schiste bitumineux. Dans ce contexte, la Commission examinera, entre autres, si l’aide est limitée au minimum nécessaire et si l’État membre en question a envisagé des mesures de remplacement pour obtenir le résultat escompté.</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szCs w:val="20"/>
          <w:lang w:val="fr-FR" w:eastAsia="en-GB"/>
        </w:rPr>
        <w:t xml:space="preserve">En ce qui concerne les surcoûts, l’idée de la section 4.12.1 consiste à permettre la compensation des surcoûts </w:t>
      </w:r>
      <w:r w:rsidRPr="00AD06C7">
        <w:rPr>
          <w:rFonts w:eastAsia="Times New Roman" w:cs="Times New Roman"/>
          <w:lang w:val="fr-FR" w:eastAsia="en-GB"/>
        </w:rPr>
        <w:t>supportés par les entreprises, par exemple en rapport avec des coûts sociaux et environnementaux supplémentaire</w:t>
      </w:r>
      <w:r w:rsidRPr="00AD06C7">
        <w:rPr>
          <w:rFonts w:eastAsia="Times New Roman" w:cs="Times New Roman"/>
          <w:szCs w:val="20"/>
          <w:lang w:val="fr-FR" w:eastAsia="en-GB"/>
        </w:rPr>
        <w:t xml:space="preserve">s, qui </w:t>
      </w:r>
      <w:r w:rsidRPr="00AD06C7">
        <w:rPr>
          <w:rFonts w:eastAsia="Times New Roman" w:cs="Times New Roman"/>
          <w:lang w:val="fr-FR" w:eastAsia="en-GB"/>
        </w:rPr>
        <w:t>découlent directement de</w:t>
      </w:r>
      <w:r w:rsidRPr="00AD06C7">
        <w:rPr>
          <w:rFonts w:eastAsia="Times New Roman" w:cs="Times New Roman"/>
          <w:szCs w:val="20"/>
          <w:lang w:val="fr-FR" w:eastAsia="en-GB"/>
        </w:rPr>
        <w:t xml:space="preserve"> la cessation anticipée d’activités rentables en raison de l’intervention des pouvoirs publics. Comme indiqué dans les lignes directrices concernant les aides d’État au climat, à la protection de l’environnement et à l’énergie, les coûts supplémentaires ne peuvent pas inclure les coûts qui seraient également survenus en l’absence de cessation anticipée de l’activité.</w:t>
      </w:r>
    </w:p>
    <w:p w:rsidR="00AD06C7" w:rsidRPr="00AD06C7" w:rsidRDefault="00AD06C7" w:rsidP="00AD06C7">
      <w:pPr>
        <w:widowControl w:val="0"/>
        <w:spacing w:after="120" w:line="240" w:lineRule="auto"/>
        <w:jc w:val="both"/>
        <w:rPr>
          <w:rFonts w:eastAsia="Times New Roman" w:cs="Times New Roman"/>
          <w:b/>
          <w:i/>
          <w:szCs w:val="20"/>
          <w:lang w:val="fr-FR" w:eastAsia="en-GB"/>
        </w:rPr>
      </w:pPr>
      <w:r w:rsidRPr="00AD06C7">
        <w:rPr>
          <w:rFonts w:eastAsia="Times New Roman" w:cs="Times New Roman"/>
          <w:b/>
          <w:i/>
          <w:szCs w:val="20"/>
          <w:lang w:val="fr-FR" w:eastAsia="en-GB"/>
        </w:rPr>
        <w:lastRenderedPageBreak/>
        <w:t>Partie 5: aides sous la forme de réductions des taxes sur l’électricité en faveur des gros consommateurs d’énergie</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 xml:space="preserve">En ce qui concerne les </w:t>
      </w:r>
      <w:r w:rsidRPr="00AD06C7">
        <w:rPr>
          <w:rFonts w:eastAsia="Times New Roman" w:cs="Times New Roman"/>
          <w:b/>
          <w:lang w:val="fr-FR" w:eastAsia="en-GB"/>
        </w:rPr>
        <w:t>paragraphes 9, 12 et 19</w:t>
      </w:r>
      <w:r w:rsidRPr="00AD06C7">
        <w:rPr>
          <w:rFonts w:eastAsia="Times New Roman" w:cs="Times New Roman"/>
          <w:lang w:val="fr-FR" w:eastAsia="en-GB"/>
        </w:rPr>
        <w:t xml:space="preserve">, la Commission est consciente des défis auxquels les industries sont confrontées pour atteindre les objectifs du pacte vert. C’est la raison pour laquelle les lignes directrices concernant les aides d’État au climat, à la protection de l’environnement et à l’énergie augmentent les possibilités d’octroi d’aides à la </w:t>
      </w:r>
      <w:proofErr w:type="spellStart"/>
      <w:r w:rsidRPr="00AD06C7">
        <w:rPr>
          <w:rFonts w:eastAsia="Times New Roman" w:cs="Times New Roman"/>
          <w:lang w:val="fr-FR" w:eastAsia="en-GB"/>
        </w:rPr>
        <w:t>décarbonation</w:t>
      </w:r>
      <w:proofErr w:type="spellEnd"/>
      <w:r w:rsidRPr="00AD06C7">
        <w:rPr>
          <w:rFonts w:eastAsia="Times New Roman" w:cs="Times New Roman"/>
          <w:lang w:val="fr-FR" w:eastAsia="en-GB"/>
        </w:rPr>
        <w:t xml:space="preserve"> industrielle. Les nouvelles lignes directrices prévoient une flexibilité supplémentaire pour toute une série d’instruments d’aide; elles permettent l’octroi d’aides pour couvrir l’intégralité des coûts supplémentaires liés à des activités plus respectueuses de l’environnement et couvrent un éventail plus large de technologies permettant d’atteindre les objectifs du pacte vert. Elles facilitent l’intégration de nouvelles solutions circulaires et durables à émissions nulles dans l’ensemble des secteurs, en particulier dans les secteurs où il est difficile de réduire les émissions.</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 xml:space="preserve">La mise en œuvre du pacte vert implique probablement que les prélèvements finançant les politiques de </w:t>
      </w:r>
      <w:proofErr w:type="spellStart"/>
      <w:r w:rsidRPr="00AD06C7">
        <w:rPr>
          <w:rFonts w:eastAsia="Times New Roman" w:cs="Times New Roman"/>
          <w:lang w:val="fr-FR" w:eastAsia="en-GB"/>
        </w:rPr>
        <w:t>décarbonation</w:t>
      </w:r>
      <w:proofErr w:type="spellEnd"/>
      <w:r w:rsidRPr="00AD06C7">
        <w:rPr>
          <w:rFonts w:eastAsia="Times New Roman" w:cs="Times New Roman"/>
          <w:lang w:val="fr-FR" w:eastAsia="en-GB"/>
        </w:rPr>
        <w:t xml:space="preserve"> resteront pertinents dans l’UE. C’est dans ce contexte que les lignes directrices concernant les aides d’État au climat, à la protection de l’environnement et à l’énergie continuent d’autoriser des réductions de taxes pour les gros consommateurs d’énergie et cette disposition est étendue à tous les prélèvements finançant la </w:t>
      </w:r>
      <w:proofErr w:type="spellStart"/>
      <w:r w:rsidRPr="00AD06C7">
        <w:rPr>
          <w:rFonts w:eastAsia="Times New Roman" w:cs="Times New Roman"/>
          <w:lang w:val="fr-FR" w:eastAsia="en-GB"/>
        </w:rPr>
        <w:t>décarbonation</w:t>
      </w:r>
      <w:proofErr w:type="spellEnd"/>
      <w:r w:rsidRPr="00AD06C7">
        <w:rPr>
          <w:rFonts w:eastAsia="Times New Roman" w:cs="Times New Roman"/>
          <w:lang w:val="fr-FR" w:eastAsia="en-GB"/>
        </w:rPr>
        <w:t xml:space="preserve"> et les politiques sociales.</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Toutefois, l’éligibilité aux réductions de taxes en faveur des gros consommateurs d’énergie est limitée aux secteurs pour lesquels les prélèvements peuvent accroître le risque que ces secteurs soient délocalisés vers des sites où les règles environnementales sont absentes ou moins ambitieuses que dans l’UE. Les nouvelles lignes directrices se fondent sur une plus grande cohérence politique avec des règles similaires de l’UE, en particulier les lignes directrices concernant les aides d’État dans le cadre du système d’échange de quotas d’émission (</w:t>
      </w:r>
      <w:proofErr w:type="spellStart"/>
      <w:r w:rsidRPr="00AD06C7">
        <w:rPr>
          <w:rFonts w:eastAsia="Times New Roman" w:cs="Times New Roman"/>
          <w:lang w:val="fr-FR" w:eastAsia="en-GB"/>
        </w:rPr>
        <w:t>SEQE</w:t>
      </w:r>
      <w:proofErr w:type="spellEnd"/>
      <w:r w:rsidRPr="00AD06C7">
        <w:rPr>
          <w:rFonts w:eastAsia="Times New Roman" w:cs="Times New Roman"/>
          <w:lang w:val="fr-FR" w:eastAsia="en-GB"/>
        </w:rPr>
        <w:t>), et améliorent l’équilibre entre le risque de délocalisation et les distorsions de concurrence résultant de ces réductions.</w:t>
      </w:r>
    </w:p>
    <w:p w:rsidR="00AD06C7" w:rsidRPr="00AD06C7" w:rsidRDefault="00AD06C7" w:rsidP="00AD06C7">
      <w:pPr>
        <w:spacing w:after="120" w:line="240" w:lineRule="auto"/>
        <w:jc w:val="both"/>
        <w:rPr>
          <w:rFonts w:eastAsia="Calibri" w:cs="Times New Roman"/>
          <w:lang w:val="fr-FR" w:eastAsia="en-GB"/>
        </w:rPr>
      </w:pPr>
      <w:r w:rsidRPr="00AD06C7">
        <w:rPr>
          <w:rFonts w:eastAsia="Times New Roman" w:cs="Times New Roman"/>
          <w:lang w:val="fr-FR" w:eastAsia="en-GB"/>
        </w:rPr>
        <w:t xml:space="preserve">En particulier, les lignes directrices concernant les aides d’État au climat, à la protection de l’environnement et à l’énergie définissent l’éligibilité au niveau 4 de la </w:t>
      </w:r>
      <w:proofErr w:type="spellStart"/>
      <w:r w:rsidRPr="00AD06C7">
        <w:rPr>
          <w:rFonts w:eastAsia="Times New Roman" w:cs="Times New Roman"/>
          <w:lang w:val="fr-FR" w:eastAsia="en-GB"/>
        </w:rPr>
        <w:t>NACE</w:t>
      </w:r>
      <w:proofErr w:type="spellEnd"/>
      <w:r w:rsidRPr="00AD06C7">
        <w:rPr>
          <w:rFonts w:eastAsia="Times New Roman" w:cs="Times New Roman"/>
          <w:lang w:val="fr-FR" w:eastAsia="en-GB"/>
        </w:rPr>
        <w:t>, qui est le niveau le plus désagrégé pour lequel des données officielles et vérifiées au niveau de l’UE sont disponibles (</w:t>
      </w:r>
      <w:r w:rsidRPr="00AD06C7">
        <w:rPr>
          <w:rFonts w:eastAsia="Times New Roman" w:cs="Times New Roman"/>
          <w:b/>
          <w:lang w:val="fr-FR" w:eastAsia="en-GB"/>
        </w:rPr>
        <w:t>paragraphes 8 et 13</w:t>
      </w:r>
      <w:r w:rsidRPr="00AD06C7">
        <w:rPr>
          <w:rFonts w:eastAsia="Times New Roman" w:cs="Times New Roman"/>
          <w:lang w:val="fr-FR" w:eastAsia="en-GB"/>
        </w:rPr>
        <w:t xml:space="preserve">). Cette approche a été adoptée dans la mesure où les lignes directrices concernant les aides d’État au climat, à la protection de l’environnement et à l’énergie visent à fournir un ensemble de règles simples et homogènes dans l’ensemble de l’UE. Les règles de l’UE récemment mises à jour qui visent des objectifs similaires, tels que la liste des secteurs exposés aux fuites de carbone dans le cadre du </w:t>
      </w:r>
      <w:proofErr w:type="spellStart"/>
      <w:r w:rsidRPr="00AD06C7">
        <w:rPr>
          <w:rFonts w:eastAsia="Times New Roman" w:cs="Times New Roman"/>
          <w:lang w:val="fr-FR" w:eastAsia="en-GB"/>
        </w:rPr>
        <w:t>SEQE</w:t>
      </w:r>
      <w:proofErr w:type="spellEnd"/>
      <w:r w:rsidRPr="00AD06C7">
        <w:rPr>
          <w:rFonts w:eastAsia="Times New Roman" w:cs="Times New Roman"/>
          <w:lang w:val="fr-FR" w:eastAsia="en-GB"/>
        </w:rPr>
        <w:t xml:space="preserve"> et les lignes directrices concernant les aides d’État dans le cadre du </w:t>
      </w:r>
      <w:proofErr w:type="spellStart"/>
      <w:r w:rsidRPr="00AD06C7">
        <w:rPr>
          <w:rFonts w:eastAsia="Times New Roman" w:cs="Times New Roman"/>
          <w:lang w:val="fr-FR" w:eastAsia="en-GB"/>
        </w:rPr>
        <w:t>SEQE</w:t>
      </w:r>
      <w:proofErr w:type="spellEnd"/>
      <w:r w:rsidRPr="00AD06C7">
        <w:rPr>
          <w:rFonts w:eastAsia="Times New Roman" w:cs="Times New Roman"/>
          <w:lang w:val="fr-FR" w:eastAsia="en-GB"/>
        </w:rPr>
        <w:t xml:space="preserve">, qui permettent de compenser les coûts des émissions indirectes dus au </w:t>
      </w:r>
      <w:proofErr w:type="spellStart"/>
      <w:r w:rsidRPr="00AD06C7">
        <w:rPr>
          <w:rFonts w:eastAsia="Times New Roman" w:cs="Times New Roman"/>
          <w:lang w:val="fr-FR" w:eastAsia="en-GB"/>
        </w:rPr>
        <w:t>SEQE</w:t>
      </w:r>
      <w:proofErr w:type="spellEnd"/>
      <w:r w:rsidRPr="00AD06C7">
        <w:rPr>
          <w:rFonts w:eastAsia="Times New Roman" w:cs="Times New Roman"/>
          <w:lang w:val="fr-FR" w:eastAsia="en-GB"/>
        </w:rPr>
        <w:t xml:space="preserve">, sont également largement fondées sur l’éligibilité au niveau sectoriel 4 de la </w:t>
      </w:r>
      <w:proofErr w:type="spellStart"/>
      <w:r w:rsidRPr="00AD06C7">
        <w:rPr>
          <w:rFonts w:eastAsia="Times New Roman" w:cs="Times New Roman"/>
          <w:lang w:val="fr-FR" w:eastAsia="en-GB"/>
        </w:rPr>
        <w:t>NACE</w:t>
      </w:r>
      <w:proofErr w:type="spellEnd"/>
      <w:r w:rsidRPr="00AD06C7">
        <w:rPr>
          <w:rFonts w:eastAsia="Times New Roman" w:cs="Times New Roman"/>
          <w:lang w:val="fr-FR" w:eastAsia="en-GB"/>
        </w:rPr>
        <w:t>.</w:t>
      </w:r>
    </w:p>
    <w:p w:rsidR="00AD06C7" w:rsidRPr="00AD06C7" w:rsidRDefault="00AD06C7" w:rsidP="00AD06C7">
      <w:pPr>
        <w:spacing w:after="120" w:line="240" w:lineRule="auto"/>
        <w:jc w:val="both"/>
        <w:rPr>
          <w:rFonts w:eastAsia="Times New Roman" w:cs="Times New Roman"/>
          <w:lang w:val="fr-FR" w:eastAsia="en-GB"/>
        </w:rPr>
      </w:pPr>
      <w:r w:rsidRPr="00AD06C7">
        <w:rPr>
          <w:rFonts w:eastAsia="Times New Roman" w:cs="Times New Roman"/>
          <w:lang w:val="fr-FR" w:eastAsia="en-GB"/>
        </w:rPr>
        <w:t xml:space="preserve">Afin de remédier à certaines lacunes liées à l’utilisation de la classification sectorielle au niveau 4 de la </w:t>
      </w:r>
      <w:proofErr w:type="spellStart"/>
      <w:r w:rsidRPr="00AD06C7">
        <w:rPr>
          <w:rFonts w:eastAsia="Times New Roman" w:cs="Times New Roman"/>
          <w:lang w:val="fr-FR" w:eastAsia="en-GB"/>
        </w:rPr>
        <w:t>NACE</w:t>
      </w:r>
      <w:proofErr w:type="spellEnd"/>
      <w:r w:rsidRPr="00AD06C7">
        <w:rPr>
          <w:rFonts w:eastAsia="Times New Roman" w:cs="Times New Roman"/>
          <w:lang w:val="fr-FR" w:eastAsia="en-GB"/>
        </w:rPr>
        <w:t xml:space="preserve"> et à la couverture sectorielle des données officielles relat</w:t>
      </w:r>
      <w:r>
        <w:rPr>
          <w:rFonts w:eastAsia="Times New Roman" w:cs="Times New Roman"/>
          <w:lang w:val="fr-FR" w:eastAsia="en-GB"/>
        </w:rPr>
        <w:t>ives à l’électro-intensité, les</w:t>
      </w:r>
      <w:r w:rsidRPr="00AD06C7">
        <w:rPr>
          <w:rFonts w:eastAsia="Times New Roman" w:cs="Times New Roman"/>
          <w:lang w:val="fr-FR" w:eastAsia="en-GB"/>
        </w:rPr>
        <w:t xml:space="preserve"> lignes directrices concernant les aides d’État au climat, à la protection de l’environnement et à l’énergie permettent qu’un secteur ou sous-secteur qui ne figure pas à l’annexe I puisse également être considéré comme éligible. Dans le cas de la notification, par un État membre, d’un régime d’aides pertinent, il doit être démontré que le secteur ou sous-secteur concerné satisfait aux critères d’éligibilité des lignes directrices concernant les aides d’État au climat, à la protection de l’environnement et à l’énergie sur la base de données représentatives du secteur ou sous-secteur au niveau de l’Union, vérifiées par un expert indépendant et basées sur une période d’au moins trois années consécutives commençant au </w:t>
      </w:r>
      <w:r w:rsidRPr="00AD06C7">
        <w:rPr>
          <w:rFonts w:eastAsia="Times New Roman" w:cs="Times New Roman"/>
          <w:lang w:val="fr-FR" w:eastAsia="en-GB"/>
        </w:rPr>
        <w:lastRenderedPageBreak/>
        <w:t xml:space="preserve">plus tôt en 2013. En ce qui concerne le </w:t>
      </w:r>
      <w:r w:rsidRPr="00AD06C7">
        <w:rPr>
          <w:rFonts w:eastAsia="Times New Roman" w:cs="Times New Roman"/>
          <w:b/>
          <w:lang w:val="fr-FR" w:eastAsia="en-GB"/>
        </w:rPr>
        <w:t>paragraphe 20</w:t>
      </w:r>
      <w:r w:rsidRPr="00AD06C7">
        <w:rPr>
          <w:rFonts w:eastAsia="Times New Roman" w:cs="Times New Roman"/>
          <w:lang w:val="fr-FR" w:eastAsia="en-GB"/>
        </w:rPr>
        <w:t xml:space="preserve">, les lignes directrices concernant les aides d’État au climat, à la protection de l’environnement et à l’énergie introduit également des conditions en matière d’environnement que les gros consommateurs d’énergie doivent respecter pour pouvoir bénéficier de réductions de taxes. En particulier, pour recevoir une aide, les bénéficiaires devraient: i) investir dans l’efficacité énergétique conformément à leur audit énergétique, ou ii) couvrir au moins 30 % de leur consommation d’électricité au moyen de sources </w:t>
      </w:r>
      <w:proofErr w:type="spellStart"/>
      <w:r w:rsidRPr="00AD06C7">
        <w:rPr>
          <w:rFonts w:eastAsia="Times New Roman" w:cs="Times New Roman"/>
          <w:lang w:val="fr-FR" w:eastAsia="en-GB"/>
        </w:rPr>
        <w:t>décarbonées</w:t>
      </w:r>
      <w:proofErr w:type="spellEnd"/>
      <w:r w:rsidRPr="00AD06C7">
        <w:rPr>
          <w:rFonts w:eastAsia="Times New Roman" w:cs="Times New Roman"/>
          <w:lang w:val="fr-FR" w:eastAsia="en-GB"/>
        </w:rPr>
        <w:t xml:space="preserve">, ou iii) investir en faveur de réductions substantielles des émissions de gaz à effet de serre. En outre, les entreprises exerçant des activités dans 25 secteurs éligibles ainsi que celles pouvant bénéficier d’un plan de suppression progressive des aides peuvent bénéficier d’intensités d’aide plus élevées, pour autant qu’elles couvrent au moins 50 % de leur consommation d’électricité au moyen de sources </w:t>
      </w:r>
      <w:proofErr w:type="spellStart"/>
      <w:r w:rsidRPr="00AD06C7">
        <w:rPr>
          <w:rFonts w:eastAsia="Times New Roman" w:cs="Times New Roman"/>
          <w:lang w:val="fr-FR" w:eastAsia="en-GB"/>
        </w:rPr>
        <w:t>décarbonées</w:t>
      </w:r>
      <w:proofErr w:type="spellEnd"/>
      <w:r w:rsidRPr="00AD06C7">
        <w:rPr>
          <w:rFonts w:eastAsia="Times New Roman" w:cs="Times New Roman"/>
          <w:lang w:val="fr-FR" w:eastAsia="en-GB"/>
        </w:rPr>
        <w:t>, dont au moins 10 % seront couverts par un instrument à terme (tel qu’un accord d’achat d’électricité) ou au moins 5 % par une production sur place ou à proximité. Cette</w:t>
      </w:r>
      <w:proofErr w:type="gramStart"/>
      <w:r w:rsidRPr="00AD06C7">
        <w:rPr>
          <w:rFonts w:eastAsia="Times New Roman" w:cs="Times New Roman"/>
          <w:lang w:val="fr-FR" w:eastAsia="en-GB"/>
        </w:rPr>
        <w:t xml:space="preserve"> «prime</w:t>
      </w:r>
      <w:proofErr w:type="gramEnd"/>
      <w:r w:rsidRPr="00AD06C7">
        <w:rPr>
          <w:rFonts w:eastAsia="Times New Roman" w:cs="Times New Roman"/>
          <w:lang w:val="fr-FR" w:eastAsia="en-GB"/>
        </w:rPr>
        <w:t xml:space="preserve"> écologique» peut non seulement stimuler la consommation d’électricité </w:t>
      </w:r>
      <w:proofErr w:type="spellStart"/>
      <w:r w:rsidRPr="00AD06C7">
        <w:rPr>
          <w:rFonts w:eastAsia="Times New Roman" w:cs="Times New Roman"/>
          <w:lang w:val="fr-FR" w:eastAsia="en-GB"/>
        </w:rPr>
        <w:t>décarbonée</w:t>
      </w:r>
      <w:proofErr w:type="spellEnd"/>
      <w:r w:rsidRPr="00AD06C7">
        <w:rPr>
          <w:rFonts w:eastAsia="Times New Roman" w:cs="Times New Roman"/>
          <w:lang w:val="fr-FR" w:eastAsia="en-GB"/>
        </w:rPr>
        <w:t xml:space="preserve"> par les bénéficiaires, mais aussi encourager le développement du marché des accords d’achat d’électricité renouvelable et le développement, fondé sur le marché, de la production d’électricité à partir de sources renouvelables. Les investissements réalisés par les bénéficiaires afin de produire eux-mêmes de l’électricité à partir de sources </w:t>
      </w:r>
      <w:proofErr w:type="spellStart"/>
      <w:r w:rsidRPr="00AD06C7">
        <w:rPr>
          <w:rFonts w:eastAsia="Times New Roman" w:cs="Times New Roman"/>
          <w:lang w:val="fr-FR" w:eastAsia="en-GB"/>
        </w:rPr>
        <w:t>décarbonées</w:t>
      </w:r>
      <w:proofErr w:type="spellEnd"/>
      <w:r w:rsidRPr="00AD06C7">
        <w:rPr>
          <w:rFonts w:eastAsia="Times New Roman" w:cs="Times New Roman"/>
          <w:lang w:val="fr-FR" w:eastAsia="en-GB"/>
        </w:rPr>
        <w:t xml:space="preserve"> peuvent également renforcer la participation des parties prenantes locales à la transition énergétique et contribuer à atténuer la congestion du réseau électrique.</w:t>
      </w:r>
    </w:p>
    <w:p w:rsidR="00F36993" w:rsidRPr="00AD06C7" w:rsidRDefault="00F36993">
      <w:pPr>
        <w:rPr>
          <w:lang w:val="fr-FR"/>
        </w:rPr>
      </w:pPr>
    </w:p>
    <w:sectPr w:rsidR="00F36993" w:rsidRPr="00AD06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6C7" w:rsidRDefault="00AD06C7" w:rsidP="00AD06C7">
      <w:pPr>
        <w:spacing w:after="0" w:line="240" w:lineRule="auto"/>
      </w:pPr>
      <w:r>
        <w:separator/>
      </w:r>
    </w:p>
  </w:endnote>
  <w:endnote w:type="continuationSeparator" w:id="0">
    <w:p w:rsidR="00AD06C7" w:rsidRDefault="00AD06C7" w:rsidP="00AD0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6C7" w:rsidRDefault="00AD06C7" w:rsidP="00AD06C7">
      <w:pPr>
        <w:spacing w:after="0" w:line="240" w:lineRule="auto"/>
      </w:pPr>
      <w:r>
        <w:separator/>
      </w:r>
    </w:p>
  </w:footnote>
  <w:footnote w:type="continuationSeparator" w:id="0">
    <w:p w:rsidR="00AD06C7" w:rsidRDefault="00AD06C7" w:rsidP="00AD06C7">
      <w:pPr>
        <w:spacing w:after="0" w:line="240" w:lineRule="auto"/>
      </w:pPr>
      <w:r>
        <w:continuationSeparator/>
      </w:r>
    </w:p>
  </w:footnote>
  <w:footnote w:id="1">
    <w:p w:rsidR="00AD06C7" w:rsidRPr="00AD06C7" w:rsidRDefault="00AD06C7" w:rsidP="00AD06C7">
      <w:pPr>
        <w:pStyle w:val="FootnoteText"/>
        <w:tabs>
          <w:tab w:val="left" w:pos="284"/>
        </w:tabs>
        <w:jc w:val="both"/>
        <w:rPr>
          <w:lang w:val="fr-BE"/>
        </w:rPr>
      </w:pPr>
      <w:r>
        <w:rPr>
          <w:rStyle w:val="FootnoteReference"/>
        </w:rPr>
        <w:footnoteRef/>
      </w:r>
      <w:r w:rsidRPr="00AD06C7">
        <w:rPr>
          <w:lang w:val="fr-BE"/>
        </w:rPr>
        <w:t xml:space="preserve"> </w:t>
      </w:r>
      <w:r w:rsidRPr="00AD06C7">
        <w:rPr>
          <w:lang w:val="fr-BE"/>
        </w:rPr>
        <w:tab/>
        <w:t>Communication de la Commission intitulée</w:t>
      </w:r>
      <w:proofErr w:type="gramStart"/>
      <w:r w:rsidRPr="00AD06C7">
        <w:rPr>
          <w:lang w:val="fr-BE"/>
        </w:rPr>
        <w:t xml:space="preserve"> «Une</w:t>
      </w:r>
      <w:proofErr w:type="gramEnd"/>
      <w:r w:rsidRPr="00AD06C7">
        <w:rPr>
          <w:lang w:val="fr-BE"/>
        </w:rPr>
        <w:t xml:space="preserve"> vague de rénovations pour l’Europe: verdir nos </w:t>
      </w:r>
      <w:r>
        <w:rPr>
          <w:rFonts w:eastAsia="Times New Roman" w:cs="Times New Roman"/>
          <w:lang w:val="fr-FR" w:eastAsia="en-GB"/>
        </w:rPr>
        <w:tab/>
      </w:r>
      <w:r w:rsidRPr="00AD06C7">
        <w:rPr>
          <w:lang w:val="fr-BE"/>
        </w:rPr>
        <w:t>bâtiments, créer des emplois, améliorer la qualité de vie» [COM(2020) 0662 final du 14.10.2020].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C7"/>
    <w:rsid w:val="000F15F1"/>
    <w:rsid w:val="001E37D4"/>
    <w:rsid w:val="00512EE8"/>
    <w:rsid w:val="0065281F"/>
    <w:rsid w:val="0076069D"/>
    <w:rsid w:val="00815B75"/>
    <w:rsid w:val="008342CE"/>
    <w:rsid w:val="0095347B"/>
    <w:rsid w:val="00AD06C7"/>
    <w:rsid w:val="00EF1DA5"/>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9404"/>
  <w15:chartTrackingRefBased/>
  <w15:docId w15:val="{19D105CA-B16D-4D5B-9872-42F00C7B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06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06C7"/>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AD06C7"/>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AD06C7"/>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4438</Words>
  <Characters>25076</Characters>
  <Application>Microsoft Office Word</Application>
  <DocSecurity>0</DocSecurity>
  <Lines>348</Lines>
  <Paragraphs>48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1</cp:revision>
  <dcterms:created xsi:type="dcterms:W3CDTF">2022-04-06T12:11:00Z</dcterms:created>
  <dcterms:modified xsi:type="dcterms:W3CDTF">2022-04-06T12:13:00Z</dcterms:modified>
</cp:coreProperties>
</file>