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F067B" w14:textId="77777777" w:rsidR="00035219" w:rsidRPr="00BA5F7F" w:rsidRDefault="00035219" w:rsidP="00035219">
      <w:pPr>
        <w:spacing w:after="600"/>
        <w:jc w:val="center"/>
        <w:rPr>
          <w:rFonts w:ascii="Times New Roman" w:hAnsi="Times New Roman"/>
          <w:b/>
          <w:bCs/>
          <w:color w:val="000000" w:themeColor="text1"/>
          <w:szCs w:val="24"/>
        </w:rPr>
      </w:pPr>
      <w:bookmarkStart w:id="0" w:name="Logging"/>
      <w:bookmarkStart w:id="1" w:name="climate"/>
      <w:bookmarkStart w:id="2" w:name="_GoBack"/>
      <w:bookmarkEnd w:id="2"/>
      <w:r>
        <w:rPr>
          <w:rFonts w:ascii="Times New Roman" w:hAnsi="Times New Roman"/>
          <w:b/>
          <w:color w:val="000000" w:themeColor="text1"/>
        </w:rPr>
        <w:t xml:space="preserve">Suite donnée à la résolution non législative du Parlement européen sur les </w:t>
      </w:r>
      <w:bookmarkEnd w:id="0"/>
      <w:r>
        <w:rPr>
          <w:rFonts w:ascii="Times New Roman" w:hAnsi="Times New Roman"/>
          <w:b/>
          <w:color w:val="000000" w:themeColor="text1"/>
        </w:rPr>
        <w:t>conséquences de la sécheresse, des incendies et d’autres phénomènes météorologiques extrêmes</w:t>
      </w:r>
      <w:r>
        <w:t>:</w:t>
      </w:r>
      <w:r>
        <w:rPr>
          <w:rFonts w:ascii="Times New Roman" w:hAnsi="Times New Roman"/>
          <w:b/>
          <w:color w:val="000000" w:themeColor="text1"/>
        </w:rPr>
        <w:t xml:space="preserve"> intensifier les efforts de l’Union pour lutter contre le changement climatique</w:t>
      </w:r>
    </w:p>
    <w:bookmarkEnd w:id="1"/>
    <w:p w14:paraId="5D285208" w14:textId="77777777" w:rsidR="00035219" w:rsidRPr="00BA5F7F" w:rsidRDefault="00035219" w:rsidP="00035219">
      <w:pPr>
        <w:pStyle w:val="ListParagraph"/>
        <w:numPr>
          <w:ilvl w:val="0"/>
          <w:numId w:val="3"/>
        </w:numPr>
        <w:ind w:left="567" w:hanging="567"/>
        <w:contextualSpacing w:val="0"/>
        <w:rPr>
          <w:rFonts w:ascii="Times New Roman" w:hAnsi="Times New Roman"/>
          <w:b/>
          <w:bCs/>
          <w:szCs w:val="24"/>
        </w:rPr>
      </w:pPr>
      <w:r>
        <w:rPr>
          <w:rFonts w:ascii="Times New Roman" w:hAnsi="Times New Roman"/>
          <w:b/>
        </w:rPr>
        <w:t>Résolution présentée conformément à l’article 132, paragraphes 2 et 4, du règlement intérieur du Parlement européen</w:t>
      </w:r>
    </w:p>
    <w:p w14:paraId="6EDFE355" w14:textId="77777777" w:rsidR="00035219" w:rsidRPr="0092439E" w:rsidRDefault="00035219" w:rsidP="00035219">
      <w:pPr>
        <w:pStyle w:val="ListParagraph"/>
        <w:numPr>
          <w:ilvl w:val="0"/>
          <w:numId w:val="3"/>
        </w:numPr>
        <w:ind w:left="567" w:hanging="567"/>
        <w:contextualSpacing w:val="0"/>
        <w:rPr>
          <w:rFonts w:ascii="Times New Roman" w:hAnsi="Times New Roman"/>
          <w:bCs/>
          <w:szCs w:val="24"/>
        </w:rPr>
      </w:pPr>
      <w:r>
        <w:rPr>
          <w:rFonts w:ascii="Times New Roman" w:hAnsi="Times New Roman"/>
          <w:b/>
        </w:rPr>
        <w:t xml:space="preserve">Numéros de référence: </w:t>
      </w:r>
      <w:r>
        <w:rPr>
          <w:rFonts w:ascii="Times New Roman" w:hAnsi="Times New Roman"/>
        </w:rPr>
        <w:t>2022/2829 (RSP) / RC9-0384/2022 / P9_TA(2022)0330</w:t>
      </w:r>
    </w:p>
    <w:p w14:paraId="1E211956" w14:textId="77777777" w:rsidR="00035219" w:rsidRPr="00BA5F7F" w:rsidRDefault="00035219" w:rsidP="00035219">
      <w:pPr>
        <w:pStyle w:val="ListParagraph"/>
        <w:numPr>
          <w:ilvl w:val="0"/>
          <w:numId w:val="3"/>
        </w:numPr>
        <w:ind w:left="567" w:hanging="567"/>
        <w:contextualSpacing w:val="0"/>
        <w:rPr>
          <w:rFonts w:ascii="Times New Roman" w:hAnsi="Times New Roman"/>
          <w:b/>
          <w:bCs/>
          <w:szCs w:val="24"/>
        </w:rPr>
      </w:pPr>
      <w:r>
        <w:rPr>
          <w:rFonts w:ascii="Times New Roman" w:hAnsi="Times New Roman"/>
          <w:b/>
        </w:rPr>
        <w:t xml:space="preserve">Date d'adoption de la résolution: </w:t>
      </w:r>
      <w:r>
        <w:rPr>
          <w:rFonts w:ascii="Times New Roman" w:hAnsi="Times New Roman"/>
        </w:rPr>
        <w:t>15 septembre 2022</w:t>
      </w:r>
    </w:p>
    <w:p w14:paraId="76D5A99E" w14:textId="77777777" w:rsidR="00035219" w:rsidRPr="00BA5F7F" w:rsidRDefault="00035219" w:rsidP="00035219">
      <w:pPr>
        <w:pStyle w:val="ListParagraph"/>
        <w:numPr>
          <w:ilvl w:val="0"/>
          <w:numId w:val="3"/>
        </w:numPr>
        <w:ind w:left="567" w:hanging="567"/>
        <w:contextualSpacing w:val="0"/>
        <w:rPr>
          <w:rFonts w:ascii="Times New Roman" w:hAnsi="Times New Roman"/>
          <w:b/>
          <w:bCs/>
          <w:szCs w:val="24"/>
        </w:rPr>
      </w:pPr>
      <w:r>
        <w:rPr>
          <w:rFonts w:ascii="Times New Roman" w:hAnsi="Times New Roman"/>
          <w:b/>
        </w:rPr>
        <w:t xml:space="preserve">Commission parlementaire compétente: </w:t>
      </w:r>
      <w:r>
        <w:rPr>
          <w:rFonts w:ascii="Times New Roman" w:hAnsi="Times New Roman"/>
        </w:rPr>
        <w:t>S/O</w:t>
      </w:r>
    </w:p>
    <w:p w14:paraId="7DD90722" w14:textId="77777777" w:rsidR="00035219" w:rsidRPr="002E0273" w:rsidRDefault="00035219" w:rsidP="00035219">
      <w:pPr>
        <w:pStyle w:val="ListParagraph"/>
        <w:numPr>
          <w:ilvl w:val="0"/>
          <w:numId w:val="3"/>
        </w:numPr>
        <w:ind w:left="567" w:hanging="567"/>
        <w:contextualSpacing w:val="0"/>
        <w:rPr>
          <w:rFonts w:ascii="Times New Roman" w:eastAsiaTheme="minorEastAsia" w:hAnsi="Times New Roman"/>
          <w:b/>
          <w:bCs/>
          <w:color w:val="000000" w:themeColor="text1"/>
          <w:szCs w:val="24"/>
        </w:rPr>
      </w:pPr>
      <w:r>
        <w:rPr>
          <w:rFonts w:ascii="Times New Roman" w:hAnsi="Times New Roman"/>
          <w:b/>
          <w:color w:val="000000" w:themeColor="text1"/>
        </w:rPr>
        <w:t>Analyse/évaluation succincte de la résolution et des demandes qu’elle contient:</w:t>
      </w:r>
    </w:p>
    <w:p w14:paraId="09F3A38F" w14:textId="77777777" w:rsidR="00035219" w:rsidRPr="002E0273" w:rsidRDefault="00035219" w:rsidP="00035219">
      <w:pPr>
        <w:spacing w:after="120"/>
        <w:rPr>
          <w:rFonts w:ascii="Times New Roman" w:eastAsiaTheme="minorEastAsia" w:hAnsi="Times New Roman"/>
          <w:bCs/>
          <w:color w:val="000000" w:themeColor="text1"/>
          <w:szCs w:val="24"/>
        </w:rPr>
      </w:pPr>
      <w:r>
        <w:rPr>
          <w:rFonts w:ascii="Times New Roman" w:hAnsi="Times New Roman"/>
          <w:color w:val="000000" w:themeColor="text1"/>
        </w:rPr>
        <w:t>La résolution du Parlement européen prend acte des phénomènes météorologiques extrêmes survenus en 2022, tels que la sécheresse extrême et les vagues de chaleur prolongées, et renvoie à la conclusion du Groupe d’experts intergouvernemental sur l’évolution du climat (GIEC) selon laquelle le changement climatique rend les phénomènes météorologiques extrêmes plus fréquents et plus intenses. Le Parlement européen souligne la nature transfrontière du changement climatique et la nécessité d’une coopération pour protéger nos masses d’eau, nos terres agricoles et nos parcelles de forêts. Il insiste sur la nécessité d’atténuer le changement climatique afin d’éviter une augmentation de ces phénomènes météorologiques extrêmes et appelle à intensifier les actions en matière d’adaptation afin d’accroître la résilience des citoyens, de l’économie et de l’environnement en Europe face au changement climatique.</w:t>
      </w:r>
    </w:p>
    <w:p w14:paraId="62D65055" w14:textId="77777777" w:rsidR="00035219" w:rsidRPr="002E0273" w:rsidRDefault="00035219" w:rsidP="00035219">
      <w:pPr>
        <w:spacing w:after="120"/>
        <w:rPr>
          <w:rFonts w:ascii="Times New Roman" w:eastAsiaTheme="minorEastAsia" w:hAnsi="Times New Roman"/>
          <w:bCs/>
          <w:color w:val="000000" w:themeColor="text1"/>
          <w:szCs w:val="24"/>
        </w:rPr>
      </w:pPr>
      <w:r>
        <w:rPr>
          <w:rFonts w:ascii="Times New Roman" w:hAnsi="Times New Roman"/>
          <w:color w:val="000000" w:themeColor="text1"/>
        </w:rPr>
        <w:t>Le Parlement européen s’efforce de faire en sorte que la Commission et les États membres aient la plus grande ambition possible en matière d’action pour le climat et invite instamment la Commission à élaborer de nouveaux cadres législatifs et objectifs en matière de climat afin de garantir la résilience de toutes les régions de l’Union face aux phénomènes météorologiques extrêmes. Le Parlement invite la Commission et les États membres à accroître les capacités de l’Union en matière de réaction aux catastrophes, en suggérant un engagement civique et un financement accrus pour aider les anciennes infrastructures à mieux résister face au changement climatique. Il souligne les effets néfastes des sécheresses dues au climat sur l’agriculture et l’approvisionnement alimentaire en Europe et invite la Commission à élaborer des évaluations des risques climatiques à l’échelle de l’UE.</w:t>
      </w:r>
    </w:p>
    <w:p w14:paraId="52D4AD3C" w14:textId="77777777" w:rsidR="00035219" w:rsidRPr="00EE2DA2" w:rsidRDefault="00035219" w:rsidP="00035219">
      <w:pPr>
        <w:spacing w:after="120"/>
        <w:rPr>
          <w:rFonts w:ascii="Times New Roman" w:eastAsiaTheme="minorEastAsia" w:hAnsi="Times New Roman"/>
          <w:b/>
          <w:bCs/>
          <w:color w:val="000000" w:themeColor="text1"/>
          <w:szCs w:val="24"/>
        </w:rPr>
      </w:pPr>
      <w:r>
        <w:rPr>
          <w:rStyle w:val="normaltextrun"/>
          <w:rFonts w:ascii="Times New Roman" w:hAnsi="Times New Roman"/>
          <w:color w:val="000000"/>
          <w:shd w:val="clear" w:color="auto" w:fill="FFFFFF"/>
        </w:rPr>
        <w:t>Le Parlement européen reconnaît la vulnérabilité des forêts de l’UE face aux phénomènes météorologiques extrêmes à l’origine d’incendies de forêt et invite la Commission à mettre en œuvre une gestion intégrée des incendies en collaboration avec les autorités locales. Il appelle de ses vœux une stratégie globale de l’UE dans le domaine de l’eau afin de créer une résilience transfrontalière face aux sécheresses, en soulignant la nécessité d’une utilisation plus efficace de l’eau dans l’agriculture et l’industrie en soutenant les États membres qui utilisent des techniques «intelligentes» dans le domaine de l’eau. Le Parlement européen demande également que les citoyens de l’Union soient davantage sensibilisés aux catastrophes naturelles afin d’accroître leur résilience face aux phénomènes météorologiques extrêmes.</w:t>
      </w:r>
    </w:p>
    <w:p w14:paraId="4406C744" w14:textId="77777777" w:rsidR="00035219" w:rsidRPr="00921FD6" w:rsidRDefault="00035219" w:rsidP="00035219">
      <w:pPr>
        <w:pStyle w:val="ListParagraph"/>
        <w:numPr>
          <w:ilvl w:val="0"/>
          <w:numId w:val="3"/>
        </w:numPr>
        <w:spacing w:after="120"/>
        <w:ind w:left="567" w:hanging="567"/>
        <w:rPr>
          <w:rFonts w:ascii="Times New Roman" w:eastAsiaTheme="minorEastAsia" w:hAnsi="Times New Roman"/>
          <w:b/>
          <w:bCs/>
          <w:color w:val="000000" w:themeColor="text1"/>
          <w:szCs w:val="24"/>
        </w:rPr>
      </w:pPr>
      <w:r>
        <w:rPr>
          <w:rFonts w:ascii="Times New Roman" w:hAnsi="Times New Roman"/>
          <w:b/>
          <w:color w:val="000000" w:themeColor="text1"/>
        </w:rPr>
        <w:lastRenderedPageBreak/>
        <w:t>Réponse à ces demandes et aperçu des mesures que la Commission a prises ou envisage de prendre:</w:t>
      </w:r>
    </w:p>
    <w:p w14:paraId="531747D4" w14:textId="77777777" w:rsidR="00035219" w:rsidRDefault="00035219" w:rsidP="00035219">
      <w:pPr>
        <w:spacing w:after="120"/>
        <w:rPr>
          <w:rFonts w:ascii="Times New Roman" w:hAnsi="Times New Roman"/>
        </w:rPr>
      </w:pPr>
      <w:r>
        <w:rPr>
          <w:rFonts w:ascii="Times New Roman" w:hAnsi="Times New Roman"/>
        </w:rPr>
        <w:t>Le nombre et l’intensité croissants des phénomènes climatiques extrêmes en Europe, ainsi que les phénomènes climatiques à évolution lente, ont encore souligné la pertinence et la nécessité de l’engagement ferme de la Commission à faire de l’Union une société résiliente au changement climatique, pleinement adaptée aux effets inévitables du changement climatique d’ici à 2050. La mise en œuvre de la stratégie de l’UE relative à l’adaptation au changement climatique, élément important du pacte vert, continuera de jouer un rôle central dans le prolongement des actions proposées et dans la réalisation de cette vision à long terme. Ces efforts sont soutenus par la loi européenne sur le climat, qui fixe un objectif contraignant de neutralité climatique dans l’Union d’ici à 2050, ainsi qu’un mécanisme visant à garantir la réalisation de progrès constants par les institutions compétentes de l’Union et les États membres en ce qui concerne l’augmentation de la capacité d’adaptation, le renforcement de la résilience et la réduction de la vulnérabilité au changement climatique. Cette loi comprend également des mesures à prendre, tant par les institutions compétentes de l’Union que par les États membres, pour atteindre ces objectifs. Ces mesures incluent un examen périodique, par la Commission, des progrès réalisés collectivement par tous les États membres en matière d’adaptation, ainsi que de la capacité des mesures de l’Union à garantir l’amélioration de l’adaptation (</w:t>
      </w:r>
      <w:r>
        <w:rPr>
          <w:rFonts w:ascii="Times New Roman" w:hAnsi="Times New Roman"/>
          <w:b/>
        </w:rPr>
        <w:t>paragraphes 4 et 11</w:t>
      </w:r>
      <w:r>
        <w:rPr>
          <w:rFonts w:ascii="Times New Roman" w:hAnsi="Times New Roman"/>
        </w:rPr>
        <w:t>).</w:t>
      </w:r>
    </w:p>
    <w:p w14:paraId="3F2B7ED6" w14:textId="77777777" w:rsidR="00035219" w:rsidRDefault="00035219" w:rsidP="00035219">
      <w:pPr>
        <w:spacing w:after="120"/>
        <w:rPr>
          <w:rFonts w:ascii="Times New Roman" w:hAnsi="Times New Roman"/>
        </w:rPr>
      </w:pPr>
      <w:r>
        <w:rPr>
          <w:rFonts w:ascii="Times New Roman" w:hAnsi="Times New Roman"/>
        </w:rPr>
        <w:t>Comme annoncé également dans la stratégie en faveur de la biodiversité à l’horizon 2030, la Commission a élaboré, en juin 2022, une proposition de règlement sur la restauration de la nature, qui vise à restaurer les écosystèmes, les habitats et les espèces dans l’ensemble de l’UE afin de permettre la restauration de la nature, de contribuer à la réalisation des objectifs de l’UE en matière d’atténuation du changement climatique et d’adaptation à celui-ci, et de respecter les engagements internationaux. Elle comprend des objectifs et des actions contraignants (</w:t>
      </w:r>
      <w:r>
        <w:rPr>
          <w:rFonts w:ascii="Times New Roman" w:hAnsi="Times New Roman"/>
          <w:b/>
        </w:rPr>
        <w:t>paragraphe 6</w:t>
      </w:r>
      <w:r>
        <w:rPr>
          <w:rFonts w:ascii="Times New Roman" w:hAnsi="Times New Roman"/>
        </w:rPr>
        <w:t>). La question de la restauration des écosystèmes dégradés sera traitée de manière approfondie dans le cadre de la proposition de règlement sur la restauration de la nature. En vertu de cette législation, les États membres devront mettre en œuvre une série de mesures de restauration de la nature. Elles pourront porter sur la dégradation des écosystèmes due à des conditions météorologiques extrêmes. Des mesures telles que le recensement des domaines prioritaires pour les phases de rétablissement ou pour accroître la résilience des écosystèmes aux événements extrêmes feront partie des plans nationaux de restauration. À ce stade, la Commission ne prévoit pas de lignes directrices spécifiques de l’UE pour les plans de restauration après la phase d’urgence (</w:t>
      </w:r>
      <w:r>
        <w:rPr>
          <w:rFonts w:ascii="Times New Roman" w:hAnsi="Times New Roman"/>
          <w:b/>
        </w:rPr>
        <w:t>paragraphe 7</w:t>
      </w:r>
      <w:r>
        <w:rPr>
          <w:rFonts w:ascii="Times New Roman" w:hAnsi="Times New Roman"/>
        </w:rPr>
        <w:t xml:space="preserve">). </w:t>
      </w:r>
      <w:r>
        <w:rPr>
          <w:rStyle w:val="normaltextrun"/>
          <w:rFonts w:ascii="Times New Roman" w:hAnsi="Times New Roman"/>
          <w:color w:val="000000"/>
          <w:shd w:val="clear" w:color="auto" w:fill="FFFFFF"/>
        </w:rPr>
        <w:t>L’Agence européenne pour l’environnement (AEE) prépare, pour le compte de la Commission européenne, l’évaluation des risques climatiques en Europe (EUCRA), qui devrait être publiée en 2024. Elle présentera les principaux risques climatiques pour l’Europe et évaluera le contexte politique européen, l’appropriation des risques et les actions urgentes pour chaque risque clé. En outre, la Commission a adopté de nouvelles orientations en matière de résilience au changement climatique, qui doivent être appliquées à tous les nouveaux projets d’infrastructure financés par l’UE. La Commission examinera les possibilités de réaliser un test de résistance de l’Union en matière de résilience des infrastructures clés face au changement climatique à moyen terme et l’étendue de celui-ci, en tenant compte des actions existantes dans ce domaine, tant au niveau de l’UE qu’au niveau national</w:t>
      </w:r>
      <w:r>
        <w:rPr>
          <w:rStyle w:val="normaltextrun"/>
          <w:color w:val="000000"/>
          <w:shd w:val="clear" w:color="auto" w:fill="FFFFFF"/>
        </w:rPr>
        <w:t xml:space="preserve"> (</w:t>
      </w:r>
      <w:r>
        <w:rPr>
          <w:rStyle w:val="normaltextrun"/>
          <w:rFonts w:ascii="Times New Roman" w:hAnsi="Times New Roman"/>
          <w:b/>
          <w:color w:val="000000"/>
          <w:shd w:val="clear" w:color="auto" w:fill="FFFFFF"/>
        </w:rPr>
        <w:t>paragraphe 12</w:t>
      </w:r>
      <w:r>
        <w:rPr>
          <w:rStyle w:val="normaltextrun"/>
          <w:rFonts w:ascii="Times New Roman" w:hAnsi="Times New Roman"/>
          <w:color w:val="000000"/>
          <w:shd w:val="clear" w:color="auto" w:fill="FFFFFF"/>
        </w:rPr>
        <w:t xml:space="preserve">). </w:t>
      </w:r>
      <w:r>
        <w:rPr>
          <w:rFonts w:ascii="Times New Roman" w:hAnsi="Times New Roman"/>
        </w:rPr>
        <w:t xml:space="preserve">La Commission, en coopération avec l’AEE, est en train de finaliser un plan d’action visant à recueillir et à diffuser des connaissances sur l’adaptation des forêts par l’intermédiaire de la plateforme de connaissances Climate-ADAPT et d’autres canaux. En outre, la Commission mettra davantage l’accent sur les systèmes d’alerte précoce et l’évaluation des risques dans le cadre de la révision des lignes directrices de 2013 pour </w:t>
      </w:r>
      <w:r>
        <w:rPr>
          <w:rFonts w:ascii="Times New Roman" w:hAnsi="Times New Roman"/>
        </w:rPr>
        <w:lastRenderedPageBreak/>
        <w:t>les stratégies et plans d’adaptation des États membres. En outre, une évaluation paneuropéenne des risques de feux de forêts a été réalisée et un système européen d’information sur les feux de forêt (EFFIS) dans le cadre du programme Copernicus a été mis en place. Ces dispositifs seront complétés par une nouvelle proposition législative relative à l'observation des forêts et à la transmission de rapports et à la collecte de données en matière forestière au sein de l'UE afin de garantir un système coordonné au niveau de l’Union pour la surveillance, la collecte de données et la transmission de rapports concernant les forêts qui soutiendra la prévention des incendies de forêt (</w:t>
      </w:r>
      <w:r>
        <w:rPr>
          <w:rFonts w:ascii="Times New Roman" w:hAnsi="Times New Roman"/>
          <w:b/>
        </w:rPr>
        <w:t>paragraphe 14</w:t>
      </w:r>
      <w:r>
        <w:rPr>
          <w:rFonts w:ascii="Times New Roman" w:hAnsi="Times New Roman"/>
        </w:rPr>
        <w:t>).</w:t>
      </w:r>
    </w:p>
    <w:p w14:paraId="02ADA406" w14:textId="77777777" w:rsidR="00035219" w:rsidRDefault="00035219" w:rsidP="00035219">
      <w:pPr>
        <w:spacing w:after="120"/>
        <w:rPr>
          <w:rFonts w:ascii="Times New Roman" w:hAnsi="Times New Roman"/>
        </w:rPr>
      </w:pPr>
      <w:r>
        <w:rPr>
          <w:rFonts w:ascii="Times New Roman" w:hAnsi="Times New Roman"/>
        </w:rPr>
        <w:t>La Commission se félicite des demandes concernant l’accélération de la mise en place de la nouvelle flotte permanente de la réserve rescEU et l’extension de l’actuelle réserve volontaire de lutte contre les incendies. La réserve rescEU est actuellement en train d’être renforcée par de nouvelles capacités. Le renforcement des prépositionnements saisonniers de pompiers dans les zones particulièrement à risque d’incendie et les efforts pour appuyer l’échange de bonnes pratiques en matière de gestion des incendies et des crises pourraient être soutenus au moyen de systèmes et d’outils de l’UE, tels que l’EFFIS et le réseau européen de connaissances en matière de protection civile (</w:t>
      </w:r>
      <w:r>
        <w:rPr>
          <w:rFonts w:ascii="Times New Roman" w:hAnsi="Times New Roman"/>
          <w:b/>
        </w:rPr>
        <w:t>paragraphes 15, 16, 17, 19 et 20</w:t>
      </w:r>
      <w:r>
        <w:rPr>
          <w:rFonts w:ascii="Times New Roman" w:hAnsi="Times New Roman"/>
        </w:rPr>
        <w:t>).</w:t>
      </w:r>
    </w:p>
    <w:p w14:paraId="5A7A2A35" w14:textId="77777777" w:rsidR="00035219" w:rsidRDefault="00035219" w:rsidP="00035219">
      <w:pPr>
        <w:spacing w:after="120"/>
        <w:rPr>
          <w:rFonts w:ascii="Times New Roman" w:hAnsi="Times New Roman"/>
        </w:rPr>
      </w:pPr>
      <w:r>
        <w:rPr>
          <w:rFonts w:ascii="Times New Roman" w:hAnsi="Times New Roman"/>
        </w:rPr>
        <w:t>Le Fonds de solidarité de l’Union européenne (FSUE) n’intervient qu’en réaction à des catastrophes naturelles graves et exceptionnelles, et son champ d’application a été étendu aux urgences sanitaires à la suite de la pandémie de COVID-19. Fonds de soutien exceptionnel, le FSUE est financé en tant qu’instrument spécial qui ne relève pas du budget normal de l’UE, mais son montant est plafonné dans le règlement relatif au cadre financier pluriannuel (règlement CFP) pour la période 2021-2027. Il est vrai que la fréquence et l’intensité des catastrophes ont augmenté au cours des dernières années et ont soumis le FSUE à une forte pression budgétaire. Toutefois, une révision du règlement FSUE qui élargirait son champ d’action exercerait une pression supplémentaire sur les disponibilités financières au titre du règlement CFP pour la période 2021-2027 (</w:t>
      </w:r>
      <w:r>
        <w:rPr>
          <w:rFonts w:ascii="Times New Roman" w:hAnsi="Times New Roman"/>
          <w:b/>
        </w:rPr>
        <w:t>paragraphe 21</w:t>
      </w:r>
      <w:r>
        <w:rPr>
          <w:rFonts w:ascii="Times New Roman" w:hAnsi="Times New Roman"/>
        </w:rPr>
        <w:t>).</w:t>
      </w:r>
    </w:p>
    <w:p w14:paraId="1BB21DA8" w14:textId="77777777" w:rsidR="00035219" w:rsidRDefault="00035219" w:rsidP="00035219">
      <w:pPr>
        <w:spacing w:after="120"/>
        <w:rPr>
          <w:rFonts w:ascii="Times New Roman" w:hAnsi="Times New Roman"/>
        </w:rPr>
      </w:pPr>
      <w:r>
        <w:rPr>
          <w:rFonts w:ascii="Times New Roman" w:hAnsi="Times New Roman"/>
        </w:rPr>
        <w:t>La Commission soutient l’appel à mieux promouvoir et utiliser le concept de gestion intégrée des incendies, notamment par le développement d’une évaluation des risques d’incendies de forêt fondée sur des données scientifiques et la promotion d’une gestion de la prévention des incendies de forêt. Élaborée par la Commission européenne avec le soutien d’experts nationaux en matière de gestion des incendies, la publication intitulée «Prévention au sol des feux non contrôlés, principes et expériences en matière de gestion des paysages, forêts et zones boisées pour renforcer leur sécurité et leur résilience en Europe» présente les tendances actuelles et futures en matière de feux de forêt en Europe, les outils de surveillance aux niveaux européen et national, ainsi que les bonnes pratiques existantes en matière de prévention au sol des feux non contrôlés (</w:t>
      </w:r>
      <w:r>
        <w:rPr>
          <w:rFonts w:ascii="Times New Roman" w:hAnsi="Times New Roman"/>
          <w:b/>
        </w:rPr>
        <w:t>paragraphe 42</w:t>
      </w:r>
      <w:r>
        <w:rPr>
          <w:rFonts w:ascii="Times New Roman" w:hAnsi="Times New Roman"/>
        </w:rPr>
        <w:t>).</w:t>
      </w:r>
    </w:p>
    <w:p w14:paraId="1B287DD1" w14:textId="77777777" w:rsidR="00035219" w:rsidRDefault="00035219" w:rsidP="00035219">
      <w:pPr>
        <w:spacing w:after="120"/>
        <w:rPr>
          <w:rFonts w:ascii="Times New Roman" w:hAnsi="Times New Roman"/>
        </w:rPr>
      </w:pPr>
      <w:r>
        <w:rPr>
          <w:rFonts w:ascii="Times New Roman" w:hAnsi="Times New Roman"/>
        </w:rPr>
        <w:t>La proposition de refonte de la directive 2003/96/CE</w:t>
      </w:r>
      <w:r>
        <w:rPr>
          <w:rStyle w:val="FootnoteReference"/>
          <w:rFonts w:ascii="Times New Roman" w:hAnsi="Times New Roman"/>
        </w:rPr>
        <w:footnoteReference w:id="1"/>
      </w:r>
      <w:r>
        <w:rPr>
          <w:rFonts w:ascii="Times New Roman" w:hAnsi="Times New Roman"/>
        </w:rPr>
        <w:t xml:space="preserve">, présentée par la Commission, ne fait pas explicitement mention des pompiers. Toutefois, elle permettrait aux États membres d’appliquer, entre autres, un niveau de taxation réduit aux produits énergétiques et à l’électricité destinés aux forces armées et à l’administration, qui peuvent inclure, selon les situations nationales, également les pompiers. Ces taux réduits ne peuvent pas être inférieurs aux taux minimaux. Il appartient à présent aux États membres réunis au sein du Conseil de l’Union européenne d’examiner et d’approuver les modifications qu’ils jugent appropriées. L’adoption par le Conseil devra faire </w:t>
      </w:r>
      <w:r>
        <w:rPr>
          <w:rFonts w:ascii="Times New Roman" w:hAnsi="Times New Roman"/>
        </w:rPr>
        <w:lastRenderedPageBreak/>
        <w:t>l’objet d’un accord unanime des États membres. La Commission ECON</w:t>
      </w:r>
      <w:r>
        <w:rPr>
          <w:rStyle w:val="FootnoteReference"/>
        </w:rPr>
        <w:footnoteReference w:id="2"/>
      </w:r>
      <w:r>
        <w:rPr>
          <w:rStyle w:val="FootnoteReference"/>
        </w:rPr>
        <w:t xml:space="preserve">  </w:t>
      </w:r>
      <w:r>
        <w:rPr>
          <w:rFonts w:ascii="Times New Roman" w:hAnsi="Times New Roman"/>
        </w:rPr>
        <w:t>du Parlement européen, après avoir examiné la proposition de la Commission à plusieurs reprises, n’a pas encore fixé de date pour l’examen de celle-ci et l’émission d’un avis (</w:t>
      </w:r>
      <w:r>
        <w:rPr>
          <w:rFonts w:ascii="Times New Roman" w:hAnsi="Times New Roman"/>
          <w:b/>
        </w:rPr>
        <w:t>paragraphe 46</w:t>
      </w:r>
      <w:r>
        <w:rPr>
          <w:rFonts w:ascii="Times New Roman" w:hAnsi="Times New Roman"/>
        </w:rPr>
        <w:t>).</w:t>
      </w:r>
    </w:p>
    <w:p w14:paraId="7B6F6ED9" w14:textId="77777777" w:rsidR="00035219" w:rsidRDefault="00035219" w:rsidP="00035219">
      <w:pPr>
        <w:spacing w:after="120"/>
        <w:rPr>
          <w:rFonts w:ascii="Times New Roman" w:hAnsi="Times New Roman"/>
        </w:rPr>
      </w:pPr>
      <w:r>
        <w:rPr>
          <w:rFonts w:ascii="Times New Roman" w:hAnsi="Times New Roman"/>
        </w:rPr>
        <w:t>Dans le cadre de l’évaluation de l’impact des sécheresses, la Commission a lancé, en 2021, le projet EDORA (Observatoire européen de la résilience et de l’adaptation à la sécheresse), qui vise à renforcer l’Observatoire européen de la sécheresse, en améliorant l’évaluation des risques de sécheresse à différentes échelles et en agrégeant des données sur les incidences dans différents secteurs, y compris l’agriculture. La Commission a déjà estimé les incidences de la sécheresse actuelle sur les rendements des principales cultures. En outre, la Commission donne aux parties prenantes les moyens d’agir en facilitant les échanges d’expériences et d’enseignements tirés de la sécheresse grâce à un réseau d’observatoires et d’experts européens dans le domaine de la sécheresse, en combinaison avec des études qu’elle mène sur les incidences sur l’approvisionnement alimentaire des sécheresses enregistrées dans d’autres régions agricoles clés (</w:t>
      </w:r>
      <w:r>
        <w:rPr>
          <w:rFonts w:ascii="Times New Roman" w:hAnsi="Times New Roman"/>
          <w:b/>
        </w:rPr>
        <w:t>paragraphes 8 et 24</w:t>
      </w:r>
      <w:r>
        <w:rPr>
          <w:rFonts w:ascii="Times New Roman" w:hAnsi="Times New Roman"/>
        </w:rPr>
        <w:t>).</w:t>
      </w:r>
    </w:p>
    <w:p w14:paraId="7CFC764F" w14:textId="77777777" w:rsidR="00035219" w:rsidRDefault="00035219" w:rsidP="00035219">
      <w:pPr>
        <w:spacing w:after="120"/>
        <w:rPr>
          <w:rFonts w:ascii="Times New Roman" w:hAnsi="Times New Roman"/>
        </w:rPr>
      </w:pPr>
      <w:r>
        <w:rPr>
          <w:rStyle w:val="normaltextrun"/>
          <w:rFonts w:ascii="Times New Roman" w:hAnsi="Times New Roman"/>
          <w:color w:val="000000"/>
          <w:shd w:val="clear" w:color="auto" w:fill="FFFFFF"/>
        </w:rPr>
        <w:t>La Commission contribue à la réduction de la pression sur les ressources en eau douce et en eaux souterraines et au renforcement de la résilience face à la sécheresse grâce à la conditionnalité et au soutien aux interventions, y compris les investissements et les pratiques en matière de gestion, dans le cadre des plans stratégiques relevant de la politique agricole commune (PAC). Un financement par l’intermédiaire de la facilité pour la reprise et la résilience pourrait également être mobilisé à cette fin (</w:t>
      </w:r>
      <w:r>
        <w:rPr>
          <w:rStyle w:val="normaltextrun"/>
          <w:rFonts w:ascii="Times New Roman" w:hAnsi="Times New Roman"/>
          <w:b/>
          <w:color w:val="000000"/>
          <w:shd w:val="clear" w:color="auto" w:fill="FFFFFF"/>
        </w:rPr>
        <w:t>paragraphe 27</w:t>
      </w:r>
      <w:r>
        <w:rPr>
          <w:rStyle w:val="normaltextrun"/>
          <w:rFonts w:ascii="Times New Roman" w:hAnsi="Times New Roman"/>
          <w:color w:val="000000"/>
          <w:shd w:val="clear" w:color="auto" w:fill="FFFFFF"/>
        </w:rPr>
        <w:t>).</w:t>
      </w:r>
      <w:r>
        <w:rPr>
          <w:rFonts w:ascii="Times New Roman" w:hAnsi="Times New Roman"/>
        </w:rPr>
        <w:t xml:space="preserve"> Les dispositions relatives aux investissements dans l’irrigation figurant dans le nouveau règlement relatif à la PAC fixent des règles claires en ce qui concerne les investissements dans l’irrigation dans le cadre des nouveaux plans stratégiques relevant de la PAC. À titre d’exemple, les États membres ne peuvent octroyer une aide à un investissement se traduisant par une augmentation nette de la zone irriguée ayant une incidence sur une masse donnée d’eau souterraine ou de surface que si l’état de la masse d’eau n’a pas été qualifié de moins que bon, dans le plan de gestion de district hydrographique pertinent, pour des raisons liées à la quantité d’eau et qu’une analyse de l’incidence environnementale montre que l’investissement n’aura pas d’incidence environnementale négative importante (</w:t>
      </w:r>
      <w:r>
        <w:rPr>
          <w:rFonts w:ascii="Times New Roman" w:hAnsi="Times New Roman"/>
          <w:b/>
        </w:rPr>
        <w:t>paragraphe 33</w:t>
      </w:r>
      <w:r>
        <w:rPr>
          <w:rFonts w:ascii="Times New Roman" w:hAnsi="Times New Roman"/>
        </w:rPr>
        <w:t>).</w:t>
      </w:r>
    </w:p>
    <w:p w14:paraId="7C53C216" w14:textId="77777777" w:rsidR="00035219" w:rsidRPr="0074070B" w:rsidRDefault="00035219" w:rsidP="00035219">
      <w:pPr>
        <w:spacing w:after="120"/>
        <w:rPr>
          <w:rFonts w:ascii="Times New Roman" w:hAnsi="Times New Roman"/>
        </w:rPr>
      </w:pPr>
      <w:r>
        <w:rPr>
          <w:rFonts w:ascii="Times New Roman" w:hAnsi="Times New Roman"/>
        </w:rPr>
        <w:t>Comme le prévoit la stratégie de l’UE en matière de sols à l’horizon 2030, un sol sain est essentiel pour faire face aux menaces climatiques telles que le risque accru de sécheresses graves et d’averses torrentielles. Il est donc essentiel que l’eau soit correctement absorbée et retenue dans le sol, ce qui sera pris en compte dans la nouvelle législation sur la santé des sols, prévue pour 2023 (</w:t>
      </w:r>
      <w:r>
        <w:rPr>
          <w:rFonts w:ascii="Times New Roman" w:hAnsi="Times New Roman"/>
          <w:b/>
        </w:rPr>
        <w:t>paragraphes 36 et 37</w:t>
      </w:r>
      <w:r>
        <w:rPr>
          <w:rFonts w:ascii="Times New Roman" w:hAnsi="Times New Roman"/>
        </w:rPr>
        <w:t>).</w:t>
      </w:r>
    </w:p>
    <w:p w14:paraId="3449BCE8" w14:textId="77777777" w:rsidR="00035219" w:rsidRPr="00462587" w:rsidRDefault="00035219" w:rsidP="00035219">
      <w:pPr>
        <w:spacing w:after="120"/>
        <w:rPr>
          <w:rFonts w:ascii="Times New Roman" w:hAnsi="Times New Roman"/>
          <w:szCs w:val="24"/>
        </w:rPr>
      </w:pPr>
      <w:r>
        <w:rPr>
          <w:rFonts w:ascii="Times New Roman" w:hAnsi="Times New Roman"/>
        </w:rPr>
        <w:t>La directive-cadre sur l’eau et la directive sur les inondations, et notamment les orientations élaborées dans le cadre de la stratégie commune de mise en œuvre de ces directives, offrent un cadre assez complet pour la gestion des bassins hydrographiques transfrontaliers communs à plusieurs États membres. Le groupe de travail ad hoc sur la pénurie d’eau et les sécheresses récemment établi dans le cadre de la présente stratégie contribuera à fournir des orientations supplémentaires dans ce domaine. La question de la coopération transfrontière dans le contexte des risques croissants de sécheresses prolongées et d’inondations sera également examinée lors de la conférence des Nations unies sur l’eau en mars 2023. Les résultats de cette conférence alimenteront les réflexions de la Commission concernant la stratégie de l’Union sur l’eau (</w:t>
      </w:r>
      <w:r>
        <w:rPr>
          <w:rFonts w:ascii="Times New Roman" w:hAnsi="Times New Roman"/>
          <w:b/>
        </w:rPr>
        <w:t>paragraphe 47</w:t>
      </w:r>
      <w:r>
        <w:rPr>
          <w:rFonts w:ascii="Times New Roman" w:hAnsi="Times New Roman"/>
        </w:rPr>
        <w:t xml:space="preserve">). Une utilisation plus rationnelle de l’eau est essentielle pour la Commission </w:t>
      </w:r>
      <w:r>
        <w:rPr>
          <w:rFonts w:ascii="Times New Roman" w:hAnsi="Times New Roman"/>
        </w:rPr>
        <w:lastRenderedPageBreak/>
        <w:t>européenne, comme en témoigne la proposition de révision de la directive 2010/75/UE. Cette proposition renforce, entre autres, l’approche intégrée en clarifiant les exigences relatives au respect des normes de qualité environnementale, telles que celles fixées par la législation de l’UE dans le domaine de l’eau (</w:t>
      </w:r>
      <w:r>
        <w:rPr>
          <w:rFonts w:ascii="Times New Roman" w:hAnsi="Times New Roman"/>
          <w:b/>
        </w:rPr>
        <w:t>paragraphe 48</w:t>
      </w:r>
      <w:r>
        <w:rPr>
          <w:rFonts w:ascii="Times New Roman" w:hAnsi="Times New Roman"/>
        </w:rPr>
        <w:t>). Les initiatives actuelles en matière d’utilisation efficace de l’eau sont abordées non seulement dans le plan d’action en faveur de l’économie circulaire et la stratégie de l’UE relative à l’adaptation au changement climatique mais aussi dans le cadre de la directive sur l’écoconception qui contribue aux efforts pour économiser l’eau en fixant des exigences pour certains produits (</w:t>
      </w:r>
      <w:r>
        <w:rPr>
          <w:rFonts w:ascii="Times New Roman" w:hAnsi="Times New Roman"/>
          <w:b/>
        </w:rPr>
        <w:t>paragraphe 49</w:t>
      </w:r>
      <w:r>
        <w:rPr>
          <w:rFonts w:ascii="Times New Roman" w:hAnsi="Times New Roman"/>
        </w:rPr>
        <w:t>).</w:t>
      </w:r>
    </w:p>
    <w:p w14:paraId="0BE0CDF3" w14:textId="77777777" w:rsidR="00035219" w:rsidRPr="007679C0" w:rsidRDefault="00035219" w:rsidP="00035219">
      <w:pPr>
        <w:spacing w:after="120"/>
        <w:rPr>
          <w:rFonts w:ascii="Times New Roman" w:hAnsi="Times New Roman"/>
          <w:b/>
        </w:rPr>
      </w:pPr>
      <w:r>
        <w:rPr>
          <w:rFonts w:ascii="Times New Roman" w:hAnsi="Times New Roman"/>
        </w:rPr>
        <w:t>L’UE continue de jouer un rôle actif dans la définition d’un objectif mondial en matière d’adaptation et reste pleinement attachée à la poursuite et à l’augmentation des investissements effectués dans le renforcement de la résilience et de l’adaptation dans les pays et régions les plus exposés aux catastrophes. En outre, l’UE et ses États membres soutiennent de nombreuses activités visant à prévenir, réduire au minimum et traiter les pertes et les dommages, au moyen de la coopération au développement, de la réduction des risques de catastrophe et de l’aide humanitaire, ainsi que de fonds, d’organisations et d’initiatives consacrés au climat (</w:t>
      </w:r>
      <w:r>
        <w:rPr>
          <w:rFonts w:ascii="Times New Roman" w:hAnsi="Times New Roman"/>
          <w:b/>
        </w:rPr>
        <w:t>paragraphe 54</w:t>
      </w:r>
      <w:r>
        <w:rPr>
          <w:rFonts w:ascii="Times New Roman" w:hAnsi="Times New Roman"/>
        </w:rPr>
        <w:t>). La Commission a reconnu le risque accru que le changement climatique fait peser sur les travailleurs européens dans son cadre stratégique en matière de santé et de sécurité au travail pour la période 2021-2027, et elle reste attachée à la mise en œuvre et à l’application effectives des règles existantes sur les conditions de travail afin de garantir une transition équitable vers la neutralité climatique (</w:t>
      </w:r>
      <w:r>
        <w:rPr>
          <w:rFonts w:ascii="Times New Roman" w:hAnsi="Times New Roman"/>
          <w:b/>
        </w:rPr>
        <w:t>paragraphe 55</w:t>
      </w:r>
      <w:r>
        <w:rPr>
          <w:rFonts w:ascii="Times New Roman" w:hAnsi="Times New Roman"/>
        </w:rPr>
        <w:t>). Il est essentiel de sensibiliser les citoyens de l’UE aux risques liés aux catastrophes naturelles dues au climat pour créer une résilience. Par conséquent, des campagnes de l’UE sur les médias sociaux seront organisées autour de la Journée internationale pour la réduction des risques de catastrophe. La Commission prépare également une recommandation sur les objectifs de l’Union en matière de résilience face aux catastrophes (</w:t>
      </w:r>
      <w:r>
        <w:rPr>
          <w:rFonts w:ascii="Times New Roman" w:hAnsi="Times New Roman"/>
          <w:b/>
        </w:rPr>
        <w:t>paragraphe 64</w:t>
      </w:r>
      <w:r>
        <w:rPr>
          <w:rFonts w:ascii="Times New Roman" w:hAnsi="Times New Roman"/>
        </w:rPr>
        <w:t>).</w:t>
      </w:r>
    </w:p>
    <w:sectPr w:rsidR="00035219" w:rsidRPr="007679C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5CC13" w14:textId="77777777" w:rsidR="00E87D03" w:rsidRDefault="00E87D03">
      <w:pPr>
        <w:spacing w:after="0"/>
      </w:pPr>
      <w:r>
        <w:separator/>
      </w:r>
    </w:p>
  </w:endnote>
  <w:endnote w:type="continuationSeparator" w:id="0">
    <w:p w14:paraId="124F8D72" w14:textId="77777777" w:rsidR="00E87D03" w:rsidRDefault="00E87D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607732"/>
      <w:docPartObj>
        <w:docPartGallery w:val="Page Numbers (Bottom of Page)"/>
        <w:docPartUnique/>
      </w:docPartObj>
    </w:sdtPr>
    <w:sdtEndPr>
      <w:rPr>
        <w:rFonts w:ascii="Times New Roman" w:hAnsi="Times New Roman"/>
        <w:noProof/>
        <w:sz w:val="20"/>
      </w:rPr>
    </w:sdtEndPr>
    <w:sdtContent>
      <w:p w14:paraId="2411F439" w14:textId="4C62BE9F" w:rsidR="008A5ED8" w:rsidRPr="00A85405" w:rsidRDefault="008A5ED8">
        <w:pPr>
          <w:pStyle w:val="Foot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F234C7">
          <w:rPr>
            <w:rFonts w:ascii="Times New Roman" w:hAnsi="Times New Roman"/>
            <w:noProof/>
            <w:sz w:val="20"/>
          </w:rPr>
          <w:t>1</w:t>
        </w:r>
        <w:r>
          <w:rPr>
            <w:rFonts w:ascii="Times New Roman" w:hAnsi="Times New Roman"/>
            <w:sz w:val="20"/>
          </w:rPr>
          <w:fldChar w:fldCharType="end"/>
        </w:r>
      </w:p>
    </w:sdtContent>
  </w:sdt>
  <w:p w14:paraId="7E04D7C0" w14:textId="77777777" w:rsidR="008A5ED8" w:rsidRDefault="008A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2D458" w14:textId="77777777" w:rsidR="00E87D03" w:rsidRDefault="00E87D03">
      <w:pPr>
        <w:spacing w:after="0"/>
      </w:pPr>
      <w:r>
        <w:separator/>
      </w:r>
    </w:p>
  </w:footnote>
  <w:footnote w:type="continuationSeparator" w:id="0">
    <w:p w14:paraId="1B3157E4" w14:textId="77777777" w:rsidR="00E87D03" w:rsidRDefault="00E87D03">
      <w:pPr>
        <w:spacing w:after="0"/>
      </w:pPr>
      <w:r>
        <w:continuationSeparator/>
      </w:r>
    </w:p>
  </w:footnote>
  <w:footnote w:id="1">
    <w:p w14:paraId="4A49A98F" w14:textId="77777777" w:rsidR="00035219" w:rsidRPr="0092439E" w:rsidRDefault="00035219" w:rsidP="00035219">
      <w:pPr>
        <w:pStyle w:val="FootnoteText"/>
        <w:rPr>
          <w:rFonts w:ascii="Times New Roman" w:hAnsi="Times New Roman"/>
        </w:rPr>
      </w:pPr>
      <w:r>
        <w:rPr>
          <w:rStyle w:val="FootnoteReference"/>
        </w:rPr>
        <w:footnoteRef/>
      </w:r>
      <w:r>
        <w:t xml:space="preserve"> </w:t>
      </w:r>
      <w:r>
        <w:tab/>
      </w:r>
      <w:r>
        <w:rPr>
          <w:rFonts w:ascii="Times New Roman" w:hAnsi="Times New Roman"/>
        </w:rPr>
        <w:t>COM(2021) 563 final du 14.7.2021</w:t>
      </w:r>
      <w:r>
        <w:t>.</w:t>
      </w:r>
    </w:p>
  </w:footnote>
  <w:footnote w:id="2">
    <w:p w14:paraId="06FABB54" w14:textId="77777777" w:rsidR="00035219" w:rsidRPr="0092439E" w:rsidRDefault="00035219" w:rsidP="0003521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Commission des affaires économiques et monétaires du Parlement européen.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2083"/>
    <w:multiLevelType w:val="hybridMultilevel"/>
    <w:tmpl w:val="019ABD9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20FBF8E8"/>
    <w:multiLevelType w:val="hybridMultilevel"/>
    <w:tmpl w:val="A2FC33A4"/>
    <w:lvl w:ilvl="0" w:tplc="6B60DE38">
      <w:start w:val="1"/>
      <w:numFmt w:val="bullet"/>
      <w:lvlText w:val="·"/>
      <w:lvlJc w:val="left"/>
      <w:pPr>
        <w:ind w:left="720" w:hanging="360"/>
      </w:pPr>
      <w:rPr>
        <w:rFonts w:ascii="Symbol" w:hAnsi="Symbol" w:hint="default"/>
      </w:rPr>
    </w:lvl>
    <w:lvl w:ilvl="1" w:tplc="A6FE0D9A">
      <w:start w:val="1"/>
      <w:numFmt w:val="bullet"/>
      <w:lvlText w:val="o"/>
      <w:lvlJc w:val="left"/>
      <w:pPr>
        <w:ind w:left="1440" w:hanging="360"/>
      </w:pPr>
      <w:rPr>
        <w:rFonts w:ascii="Courier New" w:hAnsi="Courier New" w:hint="default"/>
      </w:rPr>
    </w:lvl>
    <w:lvl w:ilvl="2" w:tplc="4D949006">
      <w:start w:val="1"/>
      <w:numFmt w:val="bullet"/>
      <w:lvlText w:val=""/>
      <w:lvlJc w:val="left"/>
      <w:pPr>
        <w:ind w:left="2160" w:hanging="360"/>
      </w:pPr>
      <w:rPr>
        <w:rFonts w:ascii="Wingdings" w:hAnsi="Wingdings" w:hint="default"/>
      </w:rPr>
    </w:lvl>
    <w:lvl w:ilvl="3" w:tplc="C0065BC0">
      <w:start w:val="1"/>
      <w:numFmt w:val="bullet"/>
      <w:lvlText w:val=""/>
      <w:lvlJc w:val="left"/>
      <w:pPr>
        <w:ind w:left="2880" w:hanging="360"/>
      </w:pPr>
      <w:rPr>
        <w:rFonts w:ascii="Symbol" w:hAnsi="Symbol" w:hint="default"/>
      </w:rPr>
    </w:lvl>
    <w:lvl w:ilvl="4" w:tplc="651C5242">
      <w:start w:val="1"/>
      <w:numFmt w:val="bullet"/>
      <w:lvlText w:val="o"/>
      <w:lvlJc w:val="left"/>
      <w:pPr>
        <w:ind w:left="3600" w:hanging="360"/>
      </w:pPr>
      <w:rPr>
        <w:rFonts w:ascii="Courier New" w:hAnsi="Courier New" w:hint="default"/>
      </w:rPr>
    </w:lvl>
    <w:lvl w:ilvl="5" w:tplc="334087E6">
      <w:start w:val="1"/>
      <w:numFmt w:val="bullet"/>
      <w:lvlText w:val=""/>
      <w:lvlJc w:val="left"/>
      <w:pPr>
        <w:ind w:left="4320" w:hanging="360"/>
      </w:pPr>
      <w:rPr>
        <w:rFonts w:ascii="Wingdings" w:hAnsi="Wingdings" w:hint="default"/>
      </w:rPr>
    </w:lvl>
    <w:lvl w:ilvl="6" w:tplc="0C6856D0">
      <w:start w:val="1"/>
      <w:numFmt w:val="bullet"/>
      <w:lvlText w:val=""/>
      <w:lvlJc w:val="left"/>
      <w:pPr>
        <w:ind w:left="5040" w:hanging="360"/>
      </w:pPr>
      <w:rPr>
        <w:rFonts w:ascii="Symbol" w:hAnsi="Symbol" w:hint="default"/>
      </w:rPr>
    </w:lvl>
    <w:lvl w:ilvl="7" w:tplc="C6F66EC8">
      <w:start w:val="1"/>
      <w:numFmt w:val="bullet"/>
      <w:lvlText w:val="o"/>
      <w:lvlJc w:val="left"/>
      <w:pPr>
        <w:ind w:left="5760" w:hanging="360"/>
      </w:pPr>
      <w:rPr>
        <w:rFonts w:ascii="Courier New" w:hAnsi="Courier New" w:hint="default"/>
      </w:rPr>
    </w:lvl>
    <w:lvl w:ilvl="8" w:tplc="600294F6">
      <w:start w:val="1"/>
      <w:numFmt w:val="bullet"/>
      <w:lvlText w:val=""/>
      <w:lvlJc w:val="left"/>
      <w:pPr>
        <w:ind w:left="6480" w:hanging="360"/>
      </w:pPr>
      <w:rPr>
        <w:rFonts w:ascii="Wingdings" w:hAnsi="Wingdings" w:hint="default"/>
      </w:rPr>
    </w:lvl>
  </w:abstractNum>
  <w:abstractNum w:abstractNumId="2" w15:restartNumberingAfterBreak="0">
    <w:nsid w:val="41FA1BCB"/>
    <w:multiLevelType w:val="hybridMultilevel"/>
    <w:tmpl w:val="BA2E1486"/>
    <w:lvl w:ilvl="0" w:tplc="D402E43C">
      <w:start w:val="1"/>
      <w:numFmt w:val="decimal"/>
      <w:lvlText w:val="%1."/>
      <w:lvlJc w:val="left"/>
      <w:pPr>
        <w:ind w:left="720" w:hanging="360"/>
      </w:pPr>
      <w:rPr>
        <w:b/>
      </w:rPr>
    </w:lvl>
    <w:lvl w:ilvl="1" w:tplc="68ACEEBA">
      <w:start w:val="1"/>
      <w:numFmt w:val="lowerLetter"/>
      <w:lvlText w:val="%2."/>
      <w:lvlJc w:val="left"/>
      <w:pPr>
        <w:ind w:left="1440" w:hanging="360"/>
      </w:pPr>
    </w:lvl>
    <w:lvl w:ilvl="2" w:tplc="E324722E">
      <w:start w:val="1"/>
      <w:numFmt w:val="lowerRoman"/>
      <w:lvlText w:val="%3."/>
      <w:lvlJc w:val="right"/>
      <w:pPr>
        <w:ind w:left="2160" w:hanging="180"/>
      </w:pPr>
    </w:lvl>
    <w:lvl w:ilvl="3" w:tplc="CE74C876">
      <w:start w:val="1"/>
      <w:numFmt w:val="decimal"/>
      <w:lvlText w:val="%4."/>
      <w:lvlJc w:val="left"/>
      <w:pPr>
        <w:ind w:left="2880" w:hanging="360"/>
      </w:pPr>
    </w:lvl>
    <w:lvl w:ilvl="4" w:tplc="E176052E">
      <w:start w:val="1"/>
      <w:numFmt w:val="lowerLetter"/>
      <w:lvlText w:val="%5."/>
      <w:lvlJc w:val="left"/>
      <w:pPr>
        <w:ind w:left="3600" w:hanging="360"/>
      </w:pPr>
    </w:lvl>
    <w:lvl w:ilvl="5" w:tplc="FE583E5E">
      <w:start w:val="1"/>
      <w:numFmt w:val="lowerRoman"/>
      <w:lvlText w:val="%6."/>
      <w:lvlJc w:val="right"/>
      <w:pPr>
        <w:ind w:left="4320" w:hanging="180"/>
      </w:pPr>
    </w:lvl>
    <w:lvl w:ilvl="6" w:tplc="E642390A">
      <w:start w:val="1"/>
      <w:numFmt w:val="decimal"/>
      <w:lvlText w:val="%7."/>
      <w:lvlJc w:val="left"/>
      <w:pPr>
        <w:ind w:left="5040" w:hanging="360"/>
      </w:pPr>
    </w:lvl>
    <w:lvl w:ilvl="7" w:tplc="83E2FDF8">
      <w:start w:val="1"/>
      <w:numFmt w:val="lowerLetter"/>
      <w:lvlText w:val="%8."/>
      <w:lvlJc w:val="left"/>
      <w:pPr>
        <w:ind w:left="5760" w:hanging="360"/>
      </w:pPr>
    </w:lvl>
    <w:lvl w:ilvl="8" w:tplc="D122870C">
      <w:start w:val="1"/>
      <w:numFmt w:val="lowerRoman"/>
      <w:lvlText w:val="%9."/>
      <w:lvlJc w:val="right"/>
      <w:pPr>
        <w:ind w:left="6480" w:hanging="180"/>
      </w:pPr>
    </w:lvl>
  </w:abstractNum>
  <w:abstractNum w:abstractNumId="3" w15:restartNumberingAfterBreak="0">
    <w:nsid w:val="70CAD239"/>
    <w:multiLevelType w:val="hybridMultilevel"/>
    <w:tmpl w:val="FFFFFFFF"/>
    <w:lvl w:ilvl="0" w:tplc="955EE01C">
      <w:start w:val="1"/>
      <w:numFmt w:val="bullet"/>
      <w:lvlText w:val="·"/>
      <w:lvlJc w:val="left"/>
      <w:pPr>
        <w:ind w:left="720" w:hanging="360"/>
      </w:pPr>
      <w:rPr>
        <w:rFonts w:ascii="Symbol" w:hAnsi="Symbol" w:hint="default"/>
      </w:rPr>
    </w:lvl>
    <w:lvl w:ilvl="1" w:tplc="4AC01EA4">
      <w:start w:val="1"/>
      <w:numFmt w:val="bullet"/>
      <w:lvlText w:val="o"/>
      <w:lvlJc w:val="left"/>
      <w:pPr>
        <w:ind w:left="1440" w:hanging="360"/>
      </w:pPr>
      <w:rPr>
        <w:rFonts w:ascii="Courier New" w:hAnsi="Courier New" w:hint="default"/>
      </w:rPr>
    </w:lvl>
    <w:lvl w:ilvl="2" w:tplc="E40AEA12">
      <w:start w:val="1"/>
      <w:numFmt w:val="bullet"/>
      <w:lvlText w:val=""/>
      <w:lvlJc w:val="left"/>
      <w:pPr>
        <w:ind w:left="2160" w:hanging="360"/>
      </w:pPr>
      <w:rPr>
        <w:rFonts w:ascii="Wingdings" w:hAnsi="Wingdings" w:hint="default"/>
      </w:rPr>
    </w:lvl>
    <w:lvl w:ilvl="3" w:tplc="33861C9A">
      <w:start w:val="1"/>
      <w:numFmt w:val="bullet"/>
      <w:lvlText w:val=""/>
      <w:lvlJc w:val="left"/>
      <w:pPr>
        <w:ind w:left="2880" w:hanging="360"/>
      </w:pPr>
      <w:rPr>
        <w:rFonts w:ascii="Symbol" w:hAnsi="Symbol" w:hint="default"/>
      </w:rPr>
    </w:lvl>
    <w:lvl w:ilvl="4" w:tplc="B8C29408">
      <w:start w:val="1"/>
      <w:numFmt w:val="bullet"/>
      <w:lvlText w:val="o"/>
      <w:lvlJc w:val="left"/>
      <w:pPr>
        <w:ind w:left="3600" w:hanging="360"/>
      </w:pPr>
      <w:rPr>
        <w:rFonts w:ascii="Courier New" w:hAnsi="Courier New" w:hint="default"/>
      </w:rPr>
    </w:lvl>
    <w:lvl w:ilvl="5" w:tplc="5C50DBC2">
      <w:start w:val="1"/>
      <w:numFmt w:val="bullet"/>
      <w:lvlText w:val=""/>
      <w:lvlJc w:val="left"/>
      <w:pPr>
        <w:ind w:left="4320" w:hanging="360"/>
      </w:pPr>
      <w:rPr>
        <w:rFonts w:ascii="Wingdings" w:hAnsi="Wingdings" w:hint="default"/>
      </w:rPr>
    </w:lvl>
    <w:lvl w:ilvl="6" w:tplc="223A8372">
      <w:start w:val="1"/>
      <w:numFmt w:val="bullet"/>
      <w:lvlText w:val=""/>
      <w:lvlJc w:val="left"/>
      <w:pPr>
        <w:ind w:left="5040" w:hanging="360"/>
      </w:pPr>
      <w:rPr>
        <w:rFonts w:ascii="Symbol" w:hAnsi="Symbol" w:hint="default"/>
      </w:rPr>
    </w:lvl>
    <w:lvl w:ilvl="7" w:tplc="11729A2E">
      <w:start w:val="1"/>
      <w:numFmt w:val="bullet"/>
      <w:lvlText w:val="o"/>
      <w:lvlJc w:val="left"/>
      <w:pPr>
        <w:ind w:left="5760" w:hanging="360"/>
      </w:pPr>
      <w:rPr>
        <w:rFonts w:ascii="Courier New" w:hAnsi="Courier New" w:hint="default"/>
      </w:rPr>
    </w:lvl>
    <w:lvl w:ilvl="8" w:tplc="53E61D86">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fr-FR" w:vendorID="64" w:dllVersion="131078"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4F1EE2C7"/>
    <w:rsid w:val="0000018D"/>
    <w:rsid w:val="0003080C"/>
    <w:rsid w:val="00035219"/>
    <w:rsid w:val="00047EFE"/>
    <w:rsid w:val="00051511"/>
    <w:rsid w:val="00053E0C"/>
    <w:rsid w:val="000876B9"/>
    <w:rsid w:val="000A2651"/>
    <w:rsid w:val="000B1CA5"/>
    <w:rsid w:val="000B719B"/>
    <w:rsid w:val="000C5F05"/>
    <w:rsid w:val="00103F36"/>
    <w:rsid w:val="00123DD2"/>
    <w:rsid w:val="001421CD"/>
    <w:rsid w:val="001525CC"/>
    <w:rsid w:val="0016235C"/>
    <w:rsid w:val="00184A55"/>
    <w:rsid w:val="001C5F3D"/>
    <w:rsid w:val="00210AB9"/>
    <w:rsid w:val="00224E4D"/>
    <w:rsid w:val="00245ED7"/>
    <w:rsid w:val="00255A30"/>
    <w:rsid w:val="002A437E"/>
    <w:rsid w:val="002D113A"/>
    <w:rsid w:val="002D1A0F"/>
    <w:rsid w:val="002E0273"/>
    <w:rsid w:val="002F3772"/>
    <w:rsid w:val="00317632"/>
    <w:rsid w:val="00332BA0"/>
    <w:rsid w:val="00342AFE"/>
    <w:rsid w:val="00375BE9"/>
    <w:rsid w:val="00377E58"/>
    <w:rsid w:val="003870B6"/>
    <w:rsid w:val="00392CD0"/>
    <w:rsid w:val="003B7C4F"/>
    <w:rsid w:val="003C052F"/>
    <w:rsid w:val="003D3562"/>
    <w:rsid w:val="004105D4"/>
    <w:rsid w:val="00422530"/>
    <w:rsid w:val="00431C2B"/>
    <w:rsid w:val="00436DE6"/>
    <w:rsid w:val="00454207"/>
    <w:rsid w:val="0045454F"/>
    <w:rsid w:val="00462587"/>
    <w:rsid w:val="00480935"/>
    <w:rsid w:val="00493CBD"/>
    <w:rsid w:val="004C7D1E"/>
    <w:rsid w:val="004E218D"/>
    <w:rsid w:val="004F3F98"/>
    <w:rsid w:val="0050526C"/>
    <w:rsid w:val="005652B7"/>
    <w:rsid w:val="00571ACD"/>
    <w:rsid w:val="00573611"/>
    <w:rsid w:val="00575AC8"/>
    <w:rsid w:val="005B6038"/>
    <w:rsid w:val="005C3EF6"/>
    <w:rsid w:val="005D2BE5"/>
    <w:rsid w:val="005E78A6"/>
    <w:rsid w:val="00600B5C"/>
    <w:rsid w:val="00622AD1"/>
    <w:rsid w:val="00623F97"/>
    <w:rsid w:val="00625679"/>
    <w:rsid w:val="00661AD1"/>
    <w:rsid w:val="00663CFB"/>
    <w:rsid w:val="00664AA1"/>
    <w:rsid w:val="00671802"/>
    <w:rsid w:val="006734E1"/>
    <w:rsid w:val="006977AE"/>
    <w:rsid w:val="006C7FBF"/>
    <w:rsid w:val="00700EA4"/>
    <w:rsid w:val="007036F5"/>
    <w:rsid w:val="00720F26"/>
    <w:rsid w:val="0074070B"/>
    <w:rsid w:val="00740E09"/>
    <w:rsid w:val="0075028E"/>
    <w:rsid w:val="007536D3"/>
    <w:rsid w:val="0075510C"/>
    <w:rsid w:val="007574E4"/>
    <w:rsid w:val="007635B0"/>
    <w:rsid w:val="007679C0"/>
    <w:rsid w:val="007707E6"/>
    <w:rsid w:val="00772C5A"/>
    <w:rsid w:val="00786BF9"/>
    <w:rsid w:val="00796033"/>
    <w:rsid w:val="007B17DB"/>
    <w:rsid w:val="007B3E40"/>
    <w:rsid w:val="007C233B"/>
    <w:rsid w:val="007C2BEF"/>
    <w:rsid w:val="007D5575"/>
    <w:rsid w:val="00805E81"/>
    <w:rsid w:val="00810B2C"/>
    <w:rsid w:val="008572CD"/>
    <w:rsid w:val="00870E24"/>
    <w:rsid w:val="00873B62"/>
    <w:rsid w:val="008757AE"/>
    <w:rsid w:val="008A5ED8"/>
    <w:rsid w:val="008C26F4"/>
    <w:rsid w:val="008C331B"/>
    <w:rsid w:val="008D1BBB"/>
    <w:rsid w:val="008D3BA7"/>
    <w:rsid w:val="008E38D2"/>
    <w:rsid w:val="008E54CD"/>
    <w:rsid w:val="008E6A83"/>
    <w:rsid w:val="008F20EB"/>
    <w:rsid w:val="008F52C7"/>
    <w:rsid w:val="00902B17"/>
    <w:rsid w:val="00921FD6"/>
    <w:rsid w:val="00922CB2"/>
    <w:rsid w:val="0092439E"/>
    <w:rsid w:val="009309A5"/>
    <w:rsid w:val="00931A16"/>
    <w:rsid w:val="0093744F"/>
    <w:rsid w:val="00950E19"/>
    <w:rsid w:val="0097525D"/>
    <w:rsid w:val="00995D83"/>
    <w:rsid w:val="009B07FB"/>
    <w:rsid w:val="009E5EFC"/>
    <w:rsid w:val="00A13912"/>
    <w:rsid w:val="00A35B5B"/>
    <w:rsid w:val="00A51C47"/>
    <w:rsid w:val="00A66783"/>
    <w:rsid w:val="00A6679E"/>
    <w:rsid w:val="00A771D8"/>
    <w:rsid w:val="00A85405"/>
    <w:rsid w:val="00AE3000"/>
    <w:rsid w:val="00AF3F73"/>
    <w:rsid w:val="00AF621E"/>
    <w:rsid w:val="00AF7E95"/>
    <w:rsid w:val="00B8050F"/>
    <w:rsid w:val="00B810E4"/>
    <w:rsid w:val="00B9663C"/>
    <w:rsid w:val="00BA44DA"/>
    <w:rsid w:val="00BA5F7F"/>
    <w:rsid w:val="00BA6352"/>
    <w:rsid w:val="00BB27A0"/>
    <w:rsid w:val="00BB5BE1"/>
    <w:rsid w:val="00BC2F26"/>
    <w:rsid w:val="00BC64E6"/>
    <w:rsid w:val="00BD33B7"/>
    <w:rsid w:val="00BD415B"/>
    <w:rsid w:val="00BF552A"/>
    <w:rsid w:val="00C17860"/>
    <w:rsid w:val="00C26E2E"/>
    <w:rsid w:val="00C503E5"/>
    <w:rsid w:val="00C670FD"/>
    <w:rsid w:val="00C93556"/>
    <w:rsid w:val="00CB407B"/>
    <w:rsid w:val="00CB5BFA"/>
    <w:rsid w:val="00CD523C"/>
    <w:rsid w:val="00D0232E"/>
    <w:rsid w:val="00D45C6B"/>
    <w:rsid w:val="00D73F3F"/>
    <w:rsid w:val="00D901F2"/>
    <w:rsid w:val="00DB77DA"/>
    <w:rsid w:val="00DD3AF6"/>
    <w:rsid w:val="00DE6FB1"/>
    <w:rsid w:val="00DF7706"/>
    <w:rsid w:val="00E016AE"/>
    <w:rsid w:val="00E36BDA"/>
    <w:rsid w:val="00E64732"/>
    <w:rsid w:val="00E87D03"/>
    <w:rsid w:val="00E90B7F"/>
    <w:rsid w:val="00EF33BF"/>
    <w:rsid w:val="00F142B9"/>
    <w:rsid w:val="00F224EA"/>
    <w:rsid w:val="00F234C7"/>
    <w:rsid w:val="00F7665F"/>
    <w:rsid w:val="00F80837"/>
    <w:rsid w:val="00FB2C98"/>
    <w:rsid w:val="00FB379F"/>
    <w:rsid w:val="00FB5256"/>
    <w:rsid w:val="00FD183D"/>
    <w:rsid w:val="00FD4E29"/>
    <w:rsid w:val="00FE7CC6"/>
    <w:rsid w:val="00FF68C4"/>
    <w:rsid w:val="014A90A0"/>
    <w:rsid w:val="01C5D35D"/>
    <w:rsid w:val="01E8246E"/>
    <w:rsid w:val="02D2A059"/>
    <w:rsid w:val="02E66101"/>
    <w:rsid w:val="0327E0B4"/>
    <w:rsid w:val="03CBA639"/>
    <w:rsid w:val="043B3890"/>
    <w:rsid w:val="046FCA3C"/>
    <w:rsid w:val="054C9E9B"/>
    <w:rsid w:val="05A8C8CB"/>
    <w:rsid w:val="060919A1"/>
    <w:rsid w:val="0617C800"/>
    <w:rsid w:val="06430674"/>
    <w:rsid w:val="06ACEA70"/>
    <w:rsid w:val="06BB9591"/>
    <w:rsid w:val="0734BF1B"/>
    <w:rsid w:val="094921C0"/>
    <w:rsid w:val="09F33653"/>
    <w:rsid w:val="0AC0BF11"/>
    <w:rsid w:val="0ACDD0E9"/>
    <w:rsid w:val="0AE547B7"/>
    <w:rsid w:val="0B158427"/>
    <w:rsid w:val="0B7E6A99"/>
    <w:rsid w:val="0CDB4A66"/>
    <w:rsid w:val="0E0571AB"/>
    <w:rsid w:val="0E61A678"/>
    <w:rsid w:val="0EC74E2C"/>
    <w:rsid w:val="10331699"/>
    <w:rsid w:val="11102372"/>
    <w:rsid w:val="1139DDCE"/>
    <w:rsid w:val="116743FC"/>
    <w:rsid w:val="11AE5D1A"/>
    <w:rsid w:val="11AEAFF6"/>
    <w:rsid w:val="12C68146"/>
    <w:rsid w:val="130894EB"/>
    <w:rsid w:val="134A2D7B"/>
    <w:rsid w:val="13C2CD4F"/>
    <w:rsid w:val="14E9398A"/>
    <w:rsid w:val="178CB77B"/>
    <w:rsid w:val="17B44177"/>
    <w:rsid w:val="18262420"/>
    <w:rsid w:val="189E0FBF"/>
    <w:rsid w:val="18AEB31E"/>
    <w:rsid w:val="190175B5"/>
    <w:rsid w:val="191C9A6D"/>
    <w:rsid w:val="19DA7639"/>
    <w:rsid w:val="1A3178C3"/>
    <w:rsid w:val="1A32A03D"/>
    <w:rsid w:val="1A9D4616"/>
    <w:rsid w:val="1B0D8253"/>
    <w:rsid w:val="1B2FD999"/>
    <w:rsid w:val="1BF9F72F"/>
    <w:rsid w:val="1C9793EF"/>
    <w:rsid w:val="1CA37FE0"/>
    <w:rsid w:val="1D7180E2"/>
    <w:rsid w:val="1E2382FB"/>
    <w:rsid w:val="1E6C29A9"/>
    <w:rsid w:val="1F061160"/>
    <w:rsid w:val="1F58BB6E"/>
    <w:rsid w:val="1F6EEDAD"/>
    <w:rsid w:val="2065A6BE"/>
    <w:rsid w:val="20CD6852"/>
    <w:rsid w:val="22958312"/>
    <w:rsid w:val="239C1AEE"/>
    <w:rsid w:val="23AF5220"/>
    <w:rsid w:val="2526AF10"/>
    <w:rsid w:val="2593F4BC"/>
    <w:rsid w:val="25C1A65C"/>
    <w:rsid w:val="25D8AE42"/>
    <w:rsid w:val="26800BE1"/>
    <w:rsid w:val="26C2F018"/>
    <w:rsid w:val="2730F40D"/>
    <w:rsid w:val="27CA6541"/>
    <w:rsid w:val="28619DB8"/>
    <w:rsid w:val="2932BE37"/>
    <w:rsid w:val="299F8F1F"/>
    <w:rsid w:val="29BC25B0"/>
    <w:rsid w:val="2A26812A"/>
    <w:rsid w:val="2A6894CF"/>
    <w:rsid w:val="2AAA8BCE"/>
    <w:rsid w:val="2B101A75"/>
    <w:rsid w:val="2B8E0476"/>
    <w:rsid w:val="2C6A5EF9"/>
    <w:rsid w:val="2D65EB13"/>
    <w:rsid w:val="2D9C12F7"/>
    <w:rsid w:val="2E39A6C5"/>
    <w:rsid w:val="2EC8EAA1"/>
    <w:rsid w:val="2EF0EA86"/>
    <w:rsid w:val="2F01E553"/>
    <w:rsid w:val="2F45AD52"/>
    <w:rsid w:val="308CBAE7"/>
    <w:rsid w:val="3128F699"/>
    <w:rsid w:val="3209C4A9"/>
    <w:rsid w:val="32694A57"/>
    <w:rsid w:val="32F931D5"/>
    <w:rsid w:val="33FF294C"/>
    <w:rsid w:val="3644B8AA"/>
    <w:rsid w:val="36C92C15"/>
    <w:rsid w:val="36EF03C1"/>
    <w:rsid w:val="3740F35A"/>
    <w:rsid w:val="3750BF37"/>
    <w:rsid w:val="376B4C93"/>
    <w:rsid w:val="376FE679"/>
    <w:rsid w:val="390ECCF5"/>
    <w:rsid w:val="3910E47A"/>
    <w:rsid w:val="399C8A8C"/>
    <w:rsid w:val="39B7E632"/>
    <w:rsid w:val="3A5139CA"/>
    <w:rsid w:val="3A56F402"/>
    <w:rsid w:val="3A753A1D"/>
    <w:rsid w:val="3AA2ED55"/>
    <w:rsid w:val="3AA7873B"/>
    <w:rsid w:val="3B861EDB"/>
    <w:rsid w:val="3BED0A2B"/>
    <w:rsid w:val="3C093C31"/>
    <w:rsid w:val="3C43579C"/>
    <w:rsid w:val="3CEB6605"/>
    <w:rsid w:val="3D11D7C2"/>
    <w:rsid w:val="3D21EF3C"/>
    <w:rsid w:val="3D23D56C"/>
    <w:rsid w:val="3DDA8E17"/>
    <w:rsid w:val="3E9FBFF1"/>
    <w:rsid w:val="3F765E78"/>
    <w:rsid w:val="40144FA6"/>
    <w:rsid w:val="409C807B"/>
    <w:rsid w:val="40C483F7"/>
    <w:rsid w:val="40CEAD43"/>
    <w:rsid w:val="4157CF32"/>
    <w:rsid w:val="421B574A"/>
    <w:rsid w:val="426205E7"/>
    <w:rsid w:val="4285031A"/>
    <w:rsid w:val="42ADFF3A"/>
    <w:rsid w:val="4345A01B"/>
    <w:rsid w:val="43A5EB6C"/>
    <w:rsid w:val="440D2DBA"/>
    <w:rsid w:val="4597F51A"/>
    <w:rsid w:val="4599A6A9"/>
    <w:rsid w:val="462BF890"/>
    <w:rsid w:val="46AF7654"/>
    <w:rsid w:val="46F5EEE8"/>
    <w:rsid w:val="473C53B3"/>
    <w:rsid w:val="47B8E42B"/>
    <w:rsid w:val="484B46B5"/>
    <w:rsid w:val="48A5BD86"/>
    <w:rsid w:val="48E38EC1"/>
    <w:rsid w:val="48FA2646"/>
    <w:rsid w:val="49506542"/>
    <w:rsid w:val="4966BAEE"/>
    <w:rsid w:val="49A303F2"/>
    <w:rsid w:val="4A37C1E5"/>
    <w:rsid w:val="4B2D6354"/>
    <w:rsid w:val="4B31B22E"/>
    <w:rsid w:val="4C08E82D"/>
    <w:rsid w:val="4C0946F8"/>
    <w:rsid w:val="4D747A5F"/>
    <w:rsid w:val="4E50305B"/>
    <w:rsid w:val="4E650416"/>
    <w:rsid w:val="4EBFDD17"/>
    <w:rsid w:val="4F104AC0"/>
    <w:rsid w:val="4F1EE2C7"/>
    <w:rsid w:val="507C8256"/>
    <w:rsid w:val="51D01C43"/>
    <w:rsid w:val="5202ED39"/>
    <w:rsid w:val="520A8D11"/>
    <w:rsid w:val="526C6260"/>
    <w:rsid w:val="53D35793"/>
    <w:rsid w:val="56FC0E25"/>
    <w:rsid w:val="592BFA13"/>
    <w:rsid w:val="5A0DFF1E"/>
    <w:rsid w:val="5A93A0D9"/>
    <w:rsid w:val="5B6BEA9E"/>
    <w:rsid w:val="5BCB0AF2"/>
    <w:rsid w:val="5C2547EE"/>
    <w:rsid w:val="5C47C0AD"/>
    <w:rsid w:val="5D6D20A9"/>
    <w:rsid w:val="5F4AB42C"/>
    <w:rsid w:val="5F7ECB5F"/>
    <w:rsid w:val="60EF56B5"/>
    <w:rsid w:val="6123031D"/>
    <w:rsid w:val="614998C4"/>
    <w:rsid w:val="614EB3AE"/>
    <w:rsid w:val="61D50536"/>
    <w:rsid w:val="6368E811"/>
    <w:rsid w:val="647EEA8D"/>
    <w:rsid w:val="64AB34EC"/>
    <w:rsid w:val="64D3A737"/>
    <w:rsid w:val="66F11D07"/>
    <w:rsid w:val="679244A1"/>
    <w:rsid w:val="6810CF4F"/>
    <w:rsid w:val="6925ADA5"/>
    <w:rsid w:val="69577DBD"/>
    <w:rsid w:val="6A032802"/>
    <w:rsid w:val="6AD46445"/>
    <w:rsid w:val="6B62BF1F"/>
    <w:rsid w:val="6B7BE77C"/>
    <w:rsid w:val="6BDBA3FC"/>
    <w:rsid w:val="6C650C5A"/>
    <w:rsid w:val="6D15B0B8"/>
    <w:rsid w:val="6D5238D4"/>
    <w:rsid w:val="6DD015DF"/>
    <w:rsid w:val="6E4BC3BE"/>
    <w:rsid w:val="6E5C0E09"/>
    <w:rsid w:val="6E9A5FE1"/>
    <w:rsid w:val="6FE7941F"/>
    <w:rsid w:val="6FF1CA93"/>
    <w:rsid w:val="6FF76DC3"/>
    <w:rsid w:val="7028E00B"/>
    <w:rsid w:val="7030760A"/>
    <w:rsid w:val="7068C8CB"/>
    <w:rsid w:val="71836480"/>
    <w:rsid w:val="721B9326"/>
    <w:rsid w:val="72A2ECEC"/>
    <w:rsid w:val="72FB1EA6"/>
    <w:rsid w:val="73ED00E9"/>
    <w:rsid w:val="740A6682"/>
    <w:rsid w:val="743F04CA"/>
    <w:rsid w:val="74D629FA"/>
    <w:rsid w:val="74FB4FA0"/>
    <w:rsid w:val="760AD1A2"/>
    <w:rsid w:val="76510668"/>
    <w:rsid w:val="76968DF8"/>
    <w:rsid w:val="780DCABC"/>
    <w:rsid w:val="78414227"/>
    <w:rsid w:val="787F4FEE"/>
    <w:rsid w:val="78A998A8"/>
    <w:rsid w:val="7AE6064C"/>
    <w:rsid w:val="7AE708C3"/>
    <w:rsid w:val="7B2B3C6A"/>
    <w:rsid w:val="7B77315A"/>
    <w:rsid w:val="7BBAA3C3"/>
    <w:rsid w:val="7DF1DD96"/>
    <w:rsid w:val="7F319440"/>
    <w:rsid w:val="7F70CF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62420"/>
  <w15:chartTrackingRefBased/>
  <w15:docId w15:val="{206FBF5C-9ED9-4042-8FFC-DD4FA68B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CD0"/>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Table/Figure Heading"/>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basedOn w:val="DefaultParagraphFont"/>
    <w:link w:val="ftrefCharCharCharCharCharCharCharCharChar"/>
    <w:unhideWhenUsed/>
    <w:qFormat/>
    <w:rPr>
      <w:vertAlign w:val="superscript"/>
    </w:rPr>
  </w:style>
  <w:style w:type="character" w:customStyle="1" w:styleId="FootnoteTextChar">
    <w:name w:val="Footnote Text Char"/>
    <w:aliases w:val="Footnote Text Char1 Char Char1,Footnote Text Char Char Char Char1,Fußnotentext Char Char1 Char Char Char1,Fußnotentext Char1 Char1 Char Char Char Char1,Fußnotentext Char Char Char Char Char Char Char1 Char1,Footnote Text Char1 Char2"/>
    <w:basedOn w:val="DefaultParagraphFont"/>
    <w:link w:val="FootnoteText"/>
    <w:uiPriority w:val="99"/>
    <w:semiHidden/>
    <w:rPr>
      <w:sz w:val="20"/>
      <w:szCs w:val="20"/>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unhideWhenUsed/>
    <w:qFormat/>
    <w:pPr>
      <w:spacing w:after="0"/>
    </w:pPr>
    <w:rPr>
      <w:sz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1C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C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552A"/>
    <w:rPr>
      <w:b/>
      <w:bCs/>
    </w:rPr>
  </w:style>
  <w:style w:type="character" w:customStyle="1" w:styleId="CommentSubjectChar">
    <w:name w:val="Comment Subject Char"/>
    <w:basedOn w:val="CommentTextChar"/>
    <w:link w:val="CommentSubject"/>
    <w:uiPriority w:val="99"/>
    <w:semiHidden/>
    <w:rsid w:val="00BF552A"/>
    <w:rPr>
      <w:b/>
      <w:bCs/>
      <w:sz w:val="20"/>
      <w:szCs w:val="20"/>
    </w:rPr>
  </w:style>
  <w:style w:type="paragraph" w:styleId="Header">
    <w:name w:val="header"/>
    <w:basedOn w:val="Normal"/>
    <w:link w:val="HeaderChar"/>
    <w:uiPriority w:val="99"/>
    <w:unhideWhenUsed/>
    <w:rsid w:val="008A5ED8"/>
    <w:pPr>
      <w:tabs>
        <w:tab w:val="center" w:pos="4513"/>
        <w:tab w:val="right" w:pos="9026"/>
      </w:tabs>
      <w:spacing w:after="0"/>
    </w:pPr>
  </w:style>
  <w:style w:type="character" w:customStyle="1" w:styleId="HeaderChar">
    <w:name w:val="Header Char"/>
    <w:basedOn w:val="DefaultParagraphFont"/>
    <w:link w:val="Header"/>
    <w:uiPriority w:val="99"/>
    <w:rsid w:val="008A5ED8"/>
  </w:style>
  <w:style w:type="paragraph" w:styleId="Footer">
    <w:name w:val="footer"/>
    <w:basedOn w:val="Normal"/>
    <w:link w:val="FooterChar"/>
    <w:uiPriority w:val="99"/>
    <w:unhideWhenUsed/>
    <w:rsid w:val="008A5ED8"/>
    <w:pPr>
      <w:tabs>
        <w:tab w:val="center" w:pos="4513"/>
        <w:tab w:val="right" w:pos="9026"/>
      </w:tabs>
      <w:spacing w:after="0"/>
    </w:pPr>
  </w:style>
  <w:style w:type="character" w:customStyle="1" w:styleId="FooterChar">
    <w:name w:val="Footer Char"/>
    <w:basedOn w:val="DefaultParagraphFont"/>
    <w:link w:val="Footer"/>
    <w:uiPriority w:val="99"/>
    <w:rsid w:val="008A5ED8"/>
  </w:style>
  <w:style w:type="character" w:styleId="FollowedHyperlink">
    <w:name w:val="FollowedHyperlink"/>
    <w:basedOn w:val="DefaultParagraphFont"/>
    <w:uiPriority w:val="99"/>
    <w:semiHidden/>
    <w:unhideWhenUsed/>
    <w:rsid w:val="0097525D"/>
    <w:rPr>
      <w:color w:val="954F72" w:themeColor="followedHyperlink"/>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rsid w:val="00392CD0"/>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392CD0"/>
    <w:pPr>
      <w:spacing w:after="160" w:line="240" w:lineRule="exact"/>
      <w:jc w:val="left"/>
    </w:pPr>
    <w:rPr>
      <w:rFonts w:asciiTheme="minorHAnsi" w:eastAsiaTheme="minorHAnsi" w:hAnsiTheme="minorHAnsi" w:cstheme="minorBidi"/>
      <w:sz w:val="22"/>
      <w:szCs w:val="22"/>
      <w:vertAlign w:val="superscript"/>
      <w:lang w:eastAsia="en-US"/>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392CD0"/>
  </w:style>
  <w:style w:type="table" w:styleId="TableGrid">
    <w:name w:val="Table Grid"/>
    <w:basedOn w:val="TableNormal"/>
    <w:uiPriority w:val="39"/>
    <w:rsid w:val="00A5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F7E95"/>
  </w:style>
  <w:style w:type="character" w:customStyle="1" w:styleId="eop">
    <w:name w:val="eop"/>
    <w:basedOn w:val="DefaultParagraphFont"/>
    <w:rsid w:val="00AF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585280">
      <w:bodyDiv w:val="1"/>
      <w:marLeft w:val="0"/>
      <w:marRight w:val="0"/>
      <w:marTop w:val="0"/>
      <w:marBottom w:val="0"/>
      <w:divBdr>
        <w:top w:val="none" w:sz="0" w:space="0" w:color="auto"/>
        <w:left w:val="none" w:sz="0" w:space="0" w:color="auto"/>
        <w:bottom w:val="none" w:sz="0" w:space="0" w:color="auto"/>
        <w:right w:val="none" w:sz="0" w:space="0" w:color="auto"/>
      </w:divBdr>
      <w:divsChild>
        <w:div w:id="395057103">
          <w:marLeft w:val="0"/>
          <w:marRight w:val="0"/>
          <w:marTop w:val="0"/>
          <w:marBottom w:val="0"/>
          <w:divBdr>
            <w:top w:val="none" w:sz="0" w:space="0" w:color="auto"/>
            <w:left w:val="none" w:sz="0" w:space="0" w:color="auto"/>
            <w:bottom w:val="none" w:sz="0" w:space="0" w:color="auto"/>
            <w:right w:val="none" w:sz="0" w:space="0" w:color="auto"/>
          </w:divBdr>
        </w:div>
        <w:div w:id="1992441715">
          <w:marLeft w:val="0"/>
          <w:marRight w:val="0"/>
          <w:marTop w:val="0"/>
          <w:marBottom w:val="0"/>
          <w:divBdr>
            <w:top w:val="none" w:sz="0" w:space="0" w:color="auto"/>
            <w:left w:val="none" w:sz="0" w:space="0" w:color="auto"/>
            <w:bottom w:val="none" w:sz="0" w:space="0" w:color="auto"/>
            <w:right w:val="none" w:sz="0" w:space="0" w:color="auto"/>
          </w:divBdr>
        </w:div>
        <w:div w:id="839197432">
          <w:marLeft w:val="0"/>
          <w:marRight w:val="0"/>
          <w:marTop w:val="0"/>
          <w:marBottom w:val="0"/>
          <w:divBdr>
            <w:top w:val="none" w:sz="0" w:space="0" w:color="auto"/>
            <w:left w:val="none" w:sz="0" w:space="0" w:color="auto"/>
            <w:bottom w:val="none" w:sz="0" w:space="0" w:color="auto"/>
            <w:right w:val="none" w:sz="0" w:space="0" w:color="auto"/>
          </w:divBdr>
        </w:div>
      </w:divsChild>
    </w:div>
    <w:div w:id="1492402098">
      <w:bodyDiv w:val="1"/>
      <w:marLeft w:val="0"/>
      <w:marRight w:val="0"/>
      <w:marTop w:val="0"/>
      <w:marBottom w:val="0"/>
      <w:divBdr>
        <w:top w:val="none" w:sz="0" w:space="0" w:color="auto"/>
        <w:left w:val="none" w:sz="0" w:space="0" w:color="auto"/>
        <w:bottom w:val="none" w:sz="0" w:space="0" w:color="auto"/>
        <w:right w:val="none" w:sz="0" w:space="0" w:color="auto"/>
      </w:divBdr>
    </w:div>
    <w:div w:id="158715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12" ma:contentTypeDescription="Create a new document." ma:contentTypeScope="" ma:versionID="6c66387762d34a039577a5696baaa361">
  <xsd:schema xmlns:xsd="http://www.w3.org/2001/XMLSchema" xmlns:xs="http://www.w3.org/2001/XMLSchema" xmlns:p="http://schemas.microsoft.com/office/2006/metadata/properties" xmlns:ns2="a4c6cd38-953d-409e-8266-a7703513a0a4" xmlns:ns3="64638040-35f6-4905-b21f-4e31af5e1fb5" targetNamespace="http://schemas.microsoft.com/office/2006/metadata/properties" ma:root="true" ma:fieldsID="9a93779437ab296e71a34ad323d7c1e1" ns2:_="" ns3:_="">
    <xsd:import namespace="a4c6cd38-953d-409e-8266-a7703513a0a4"/>
    <xsd:import namespace="64638040-35f6-4905-b21f-4e31af5e1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38040-35f6-4905-b21f-4e31af5e1f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27fd73-db52-48a7-a08d-d3452e2cf6ad}" ma:internalName="TaxCatchAll" ma:showField="CatchAllData" ma:web="64638040-35f6-4905-b21f-4e31af5e1f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c6cd38-953d-409e-8266-a7703513a0a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64638040-35f6-4905-b21f-4e31af5e1f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4AE89-C790-4ACC-8A45-9B32C905D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64638040-35f6-4905-b21f-4e31af5e1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6A806-69D4-4D31-8D5D-E09049715D01}">
  <ds:schemaRefs>
    <ds:schemaRef ds:uri="http://schemas.openxmlformats.org/package/2006/metadata/core-properties"/>
    <ds:schemaRef ds:uri="http://schemas.microsoft.com/office/2006/documentManagement/types"/>
    <ds:schemaRef ds:uri="http://schemas.microsoft.com/office/infopath/2007/PartnerControls"/>
    <ds:schemaRef ds:uri="a4c6cd38-953d-409e-8266-a7703513a0a4"/>
    <ds:schemaRef ds:uri="http://purl.org/dc/elements/1.1/"/>
    <ds:schemaRef ds:uri="http://schemas.microsoft.com/office/2006/metadata/properties"/>
    <ds:schemaRef ds:uri="http://purl.org/dc/terms/"/>
    <ds:schemaRef ds:uri="64638040-35f6-4905-b21f-4e31af5e1fb5"/>
    <ds:schemaRef ds:uri="http://www.w3.org/XML/1998/namespace"/>
    <ds:schemaRef ds:uri="http://purl.org/dc/dcmitype/"/>
  </ds:schemaRefs>
</ds:datastoreItem>
</file>

<file path=customXml/itemProps3.xml><?xml version="1.0" encoding="utf-8"?>
<ds:datastoreItem xmlns:ds="http://schemas.openxmlformats.org/officeDocument/2006/customXml" ds:itemID="{99513525-0871-4CF8-B27F-3E5588150CAB}">
  <ds:schemaRefs>
    <ds:schemaRef ds:uri="http://schemas.microsoft.com/sharepoint/v3/contenttype/forms"/>
  </ds:schemaRefs>
</ds:datastoreItem>
</file>

<file path=customXml/itemProps4.xml><?xml version="1.0" encoding="utf-8"?>
<ds:datastoreItem xmlns:ds="http://schemas.openxmlformats.org/officeDocument/2006/customXml" ds:itemID="{D492B9A7-CCF2-47DB-AE4A-7F3E07B5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2635</Words>
  <Characters>14920</Characters>
  <Application>Microsoft Office Word</Application>
  <DocSecurity>0</DocSecurity>
  <Lines>196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VAN OORDT Caroline (ENV)</dc:creator>
  <cp:keywords/>
  <dc:description/>
  <cp:lastModifiedBy>DODEKOVA Gabriela (SG)</cp:lastModifiedBy>
  <cp:revision>2</cp:revision>
  <dcterms:created xsi:type="dcterms:W3CDTF">2023-01-11T13:32:00Z</dcterms:created>
  <dcterms:modified xsi:type="dcterms:W3CDTF">2023-01-11T13:32:00Z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0x0101003F53AE254540994BBD772E5BCBE11F29</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2022-07-05T17:13:46Z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87d70c94-7996-4e77-b6c2-0c72aa0a6aa4</vt:lpwstr>
  </property>
  <property fmtid="{D5CDD505-2E9C-101B-9397-08002B2CF9AE}" pid="10" name="MSIP_Label_6bd9ddd1-4d20-43f6-abfa-fc3c07406f94_ContentBits">
    <vt:lpwstr>0</vt:lpwstr>
  </property>
</Properties>
</file>