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CE" w:rsidRDefault="00CC61CE" w:rsidP="00CC61CE">
      <w:pPr>
        <w:spacing w:after="600"/>
        <w:jc w:val="center"/>
        <w:rPr>
          <w:rFonts w:ascii="Times New Roman" w:hAnsi="Times New Roman"/>
          <w:b/>
        </w:rPr>
      </w:pPr>
      <w:bookmarkStart w:id="0" w:name="Ocean"/>
      <w:r>
        <w:rPr>
          <w:rFonts w:ascii="Times New Roman" w:hAnsi="Times New Roman"/>
          <w:b/>
        </w:rPr>
        <w:t>Suite donnée à la résolution non législative du Parlement européen sur une dynamique pour les océans: renforcer la gouvernance et la biodiversité des océans</w:t>
      </w:r>
    </w:p>
    <w:bookmarkEnd w:id="0"/>
    <w:p w:rsidR="00CC61CE" w:rsidRPr="005A00C3" w:rsidRDefault="00CC61CE" w:rsidP="00CC61CE">
      <w:pPr>
        <w:numPr>
          <w:ilvl w:val="0"/>
          <w:numId w:val="1"/>
        </w:numPr>
        <w:ind w:left="567" w:hanging="567"/>
        <w:rPr>
          <w:rFonts w:ascii="Times New Roman" w:hAnsi="Times New Roman"/>
          <w:b/>
          <w:szCs w:val="24"/>
        </w:rPr>
      </w:pPr>
      <w:r>
        <w:rPr>
          <w:rFonts w:ascii="Times New Roman" w:hAnsi="Times New Roman"/>
          <w:b/>
        </w:rPr>
        <w:t>Résolution présentée conformément à l’article 123, paragraphe 2, du règlement intérieur du Parlement européen</w:t>
      </w:r>
    </w:p>
    <w:p w:rsidR="00CC61CE" w:rsidRPr="00F059C8" w:rsidRDefault="00CC61CE" w:rsidP="00CC61CE">
      <w:pPr>
        <w:numPr>
          <w:ilvl w:val="0"/>
          <w:numId w:val="1"/>
        </w:numPr>
        <w:ind w:left="567" w:hanging="567"/>
        <w:rPr>
          <w:rFonts w:ascii="Times New Roman" w:hAnsi="Times New Roman"/>
          <w:i/>
          <w:szCs w:val="24"/>
        </w:rPr>
      </w:pPr>
      <w:r>
        <w:rPr>
          <w:rFonts w:ascii="Times New Roman" w:hAnsi="Times New Roman"/>
          <w:b/>
        </w:rPr>
        <w:t xml:space="preserve">Numéro de référence: </w:t>
      </w:r>
      <w:r>
        <w:rPr>
          <w:rFonts w:ascii="Times New Roman" w:hAnsi="Times New Roman"/>
        </w:rPr>
        <w:t>2022/2836 (RSP) / B9-0426/2022 / P9_</w:t>
      </w:r>
      <w:proofErr w:type="gramStart"/>
      <w:r>
        <w:rPr>
          <w:rFonts w:ascii="Times New Roman" w:hAnsi="Times New Roman"/>
        </w:rPr>
        <w:t>TA(</w:t>
      </w:r>
      <w:proofErr w:type="gramEnd"/>
      <w:r>
        <w:rPr>
          <w:rFonts w:ascii="Times New Roman" w:hAnsi="Times New Roman"/>
        </w:rPr>
        <w:t>2022)0356</w:t>
      </w:r>
    </w:p>
    <w:p w:rsidR="00CC61CE" w:rsidRPr="00E07C2D" w:rsidRDefault="00CC61CE" w:rsidP="00CC61CE">
      <w:pPr>
        <w:numPr>
          <w:ilvl w:val="0"/>
          <w:numId w:val="1"/>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6 octobre 2022</w:t>
      </w:r>
    </w:p>
    <w:p w:rsidR="00CC61CE" w:rsidRPr="00B127A9" w:rsidRDefault="00CC61CE" w:rsidP="00CC61CE">
      <w:pPr>
        <w:numPr>
          <w:ilvl w:val="0"/>
          <w:numId w:val="1"/>
        </w:numPr>
        <w:ind w:left="567" w:hanging="567"/>
        <w:rPr>
          <w:rFonts w:ascii="Times New Roman" w:hAnsi="Times New Roman"/>
          <w:i/>
          <w:szCs w:val="24"/>
        </w:rPr>
      </w:pPr>
      <w:r w:rsidRPr="005644A3">
        <w:rPr>
          <w:rFonts w:ascii="Times New Roman" w:hAnsi="Times New Roman"/>
          <w:b/>
        </w:rPr>
        <w:t>Commission parlementaire compétente:</w:t>
      </w:r>
      <w:r>
        <w:t xml:space="preserve"> </w:t>
      </w:r>
      <w:r>
        <w:rPr>
          <w:rFonts w:ascii="Times New Roman" w:hAnsi="Times New Roman"/>
        </w:rPr>
        <w:t>S/O</w:t>
      </w:r>
    </w:p>
    <w:p w:rsidR="00CC61CE" w:rsidRPr="00444A8E" w:rsidRDefault="00CC61CE" w:rsidP="00CC61CE">
      <w:pPr>
        <w:widowControl w:val="0"/>
        <w:numPr>
          <w:ilvl w:val="0"/>
          <w:numId w:val="1"/>
        </w:numPr>
        <w:spacing w:after="120"/>
        <w:ind w:left="567" w:hanging="567"/>
        <w:rPr>
          <w:rFonts w:ascii="Times New Roman" w:hAnsi="Times New Roman"/>
          <w:iCs/>
          <w:szCs w:val="24"/>
        </w:rPr>
      </w:pPr>
      <w:r>
        <w:rPr>
          <w:rFonts w:ascii="Times New Roman" w:hAnsi="Times New Roman"/>
          <w:b/>
        </w:rPr>
        <w:t>Analyse/évaluation succincte de la résolution et des demandes qu’elle contient</w:t>
      </w:r>
    </w:p>
    <w:p w:rsidR="00CC61CE" w:rsidRPr="00444A8E" w:rsidRDefault="00CC61CE" w:rsidP="00CC61CE">
      <w:pPr>
        <w:widowControl w:val="0"/>
        <w:spacing w:after="120"/>
        <w:rPr>
          <w:rFonts w:ascii="Times New Roman" w:hAnsi="Times New Roman"/>
          <w:szCs w:val="24"/>
        </w:rPr>
      </w:pPr>
      <w:r>
        <w:rPr>
          <w:rFonts w:ascii="Times New Roman" w:hAnsi="Times New Roman"/>
        </w:rPr>
        <w:t>La résolution du Parlement européen sur une</w:t>
      </w:r>
      <w:proofErr w:type="gramStart"/>
      <w:r>
        <w:rPr>
          <w:rFonts w:ascii="Times New Roman" w:hAnsi="Times New Roman"/>
        </w:rPr>
        <w:t xml:space="preserve"> «dynamique</w:t>
      </w:r>
      <w:proofErr w:type="gramEnd"/>
      <w:r>
        <w:rPr>
          <w:rFonts w:ascii="Times New Roman" w:hAnsi="Times New Roman"/>
        </w:rPr>
        <w:t xml:space="preserve"> pour l’océan» exprime des inquiétudes quant au climat, à la biodiversité et aux crises océaniques et rappelle que l’océan est actuellement soumis à une forte pression par les activités humaines. La résolution indique que la lutte contre la dégradation des océans nécessite un effort commun considérable et appelle à une gouvernance mondiale, systémique, intégrée et ambitieuse. Elle rappelle également que le Parlement européen a déclaré une urgence climatique et environnementale.</w:t>
      </w:r>
    </w:p>
    <w:p w:rsidR="00CC61CE" w:rsidRDefault="00CC61CE" w:rsidP="00CC61CE">
      <w:pPr>
        <w:widowControl w:val="0"/>
        <w:spacing w:after="120"/>
        <w:rPr>
          <w:rFonts w:ascii="Times New Roman" w:hAnsi="Times New Roman"/>
          <w:iCs/>
          <w:szCs w:val="24"/>
        </w:rPr>
      </w:pPr>
      <w:r>
        <w:rPr>
          <w:rFonts w:ascii="Times New Roman" w:hAnsi="Times New Roman"/>
        </w:rPr>
        <w:t xml:space="preserve">La résolution du Parlement invite l’Union à jouer un rôle de premier plan dans la protection des océans, la restauration des écosystèmes marins et la sensibilisation au rôle essentiel que joue l’océan dans le maintien d’une planète vivable pour les êtres humains et les animaux. Elle souligne également l’importance des océans dans la lutte contre le changement climatique et la pleine réalisation des objectifs de l’accord de Paris et de la convention sur la </w:t>
      </w:r>
      <w:proofErr w:type="gramStart"/>
      <w:r>
        <w:rPr>
          <w:rFonts w:ascii="Times New Roman" w:hAnsi="Times New Roman"/>
        </w:rPr>
        <w:t>diversité</w:t>
      </w:r>
      <w:proofErr w:type="gramEnd"/>
      <w:r>
        <w:rPr>
          <w:rFonts w:ascii="Times New Roman" w:hAnsi="Times New Roman"/>
        </w:rPr>
        <w:t xml:space="preserve"> biologique.</w:t>
      </w:r>
    </w:p>
    <w:p w:rsidR="00CC61CE" w:rsidRDefault="00CC61CE" w:rsidP="00CC61CE">
      <w:pPr>
        <w:widowControl w:val="0"/>
        <w:spacing w:after="120"/>
        <w:rPr>
          <w:rFonts w:ascii="Times New Roman" w:hAnsi="Times New Roman"/>
          <w:iCs/>
          <w:szCs w:val="24"/>
        </w:rPr>
      </w:pPr>
      <w:r>
        <w:rPr>
          <w:rFonts w:ascii="Times New Roman" w:hAnsi="Times New Roman"/>
        </w:rPr>
        <w:t>La résolution fait notamment référence à la communication conjointe de la Commission européenne et de la haute représentante de l’Union pour les affaires étrangères et la politique de sécurité sur la gouvernance internationale des océans.</w:t>
      </w:r>
    </w:p>
    <w:p w:rsidR="00CC61CE" w:rsidRDefault="00CC61CE" w:rsidP="00CC61CE">
      <w:pPr>
        <w:widowControl w:val="0"/>
        <w:spacing w:after="120"/>
        <w:rPr>
          <w:rFonts w:ascii="Times New Roman" w:hAnsi="Times New Roman"/>
          <w:iCs/>
          <w:szCs w:val="24"/>
        </w:rPr>
      </w:pPr>
      <w:r>
        <w:rPr>
          <w:rFonts w:ascii="Times New Roman" w:hAnsi="Times New Roman"/>
        </w:rPr>
        <w:t xml:space="preserve">Elle encourage la Commission à promouvoir une meilleure intégration des questions de conservation des océans dans d’autres domaines d’action et à agir en conséquence lors de la conférence de </w:t>
      </w:r>
      <w:proofErr w:type="spellStart"/>
      <w:r>
        <w:rPr>
          <w:rFonts w:ascii="Times New Roman" w:hAnsi="Times New Roman"/>
        </w:rPr>
        <w:t>Charm</w:t>
      </w:r>
      <w:proofErr w:type="spellEnd"/>
      <w:r>
        <w:rPr>
          <w:rFonts w:ascii="Times New Roman" w:hAnsi="Times New Roman"/>
        </w:rPr>
        <w:t xml:space="preserve"> el-Cheikh sur le changement climatique qui se tiendra du 6 au 20 novembre 2022 (COP 27 de la CCNUCC) dans le cadre de la quinzième réunion de la conférence des parties à la convention sur la diversité biologique (COP 15 de la CDB). Le Parlement demande également à la Commission d’agir plus résolument dans les domaines qui s’inscrivent largement dans le programme de la gouvernance </w:t>
      </w:r>
      <w:r w:rsidR="002F5B9D">
        <w:rPr>
          <w:rFonts w:ascii="Times New Roman" w:hAnsi="Times New Roman"/>
        </w:rPr>
        <w:t xml:space="preserve">internationale </w:t>
      </w:r>
      <w:r>
        <w:rPr>
          <w:rFonts w:ascii="Times New Roman" w:hAnsi="Times New Roman"/>
        </w:rPr>
        <w:t>des océans</w:t>
      </w:r>
      <w:r w:rsidR="002F5B9D">
        <w:rPr>
          <w:rFonts w:ascii="Times New Roman" w:hAnsi="Times New Roman"/>
        </w:rPr>
        <w:t xml:space="preserve"> </w:t>
      </w:r>
      <w:r w:rsidR="002F5B9D">
        <w:rPr>
          <w:rFonts w:ascii="Times New Roman" w:hAnsi="Times New Roman"/>
        </w:rPr>
        <w:t>(ci</w:t>
      </w:r>
      <w:r w:rsidR="002F5B9D">
        <w:rPr>
          <w:rFonts w:ascii="Times New Roman" w:hAnsi="Times New Roman"/>
        </w:rPr>
        <w:noBreakHyphen/>
      </w:r>
      <w:r w:rsidR="002F5B9D">
        <w:rPr>
          <w:rFonts w:ascii="Times New Roman" w:hAnsi="Times New Roman"/>
        </w:rPr>
        <w:t>après la «gouvernance des océans»)</w:t>
      </w:r>
      <w:r>
        <w:rPr>
          <w:rFonts w:ascii="Times New Roman" w:hAnsi="Times New Roman"/>
        </w:rPr>
        <w:t>, à savoir le renforcement du cadre de gouvernance des océans, le changement climatique et océanique, la lutte contre la pollution marine, la promotion du respect des responsabilités de l’État du pavillon par les États du pavillon qui disposent de registres ouverts, la transition vers une économie bleue durable à l’échelle mondiale, la gestion intégrée des océans au moyen de zones marines protégées et la planification de l’espace maritime, la sécurité en mer et la promotion de conditions de travail décentes dans le monde entier, ainsi que le renforcement de la connaissance des océans. Toutefois, la résolution ne traite pas de la sécurité en mer, alors que celle-ci figure dans le programme de la gouvernance des océans.</w:t>
      </w:r>
    </w:p>
    <w:p w:rsidR="00CC61CE" w:rsidRPr="00E0389B" w:rsidRDefault="00CC61CE" w:rsidP="00CC61CE">
      <w:pPr>
        <w:widowControl w:val="0"/>
        <w:numPr>
          <w:ilvl w:val="0"/>
          <w:numId w:val="1"/>
        </w:numPr>
        <w:spacing w:after="120"/>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rsidR="00CC61CE" w:rsidRPr="00A65589" w:rsidRDefault="00CC61CE" w:rsidP="00CC61CE">
      <w:pPr>
        <w:widowControl w:val="0"/>
        <w:spacing w:after="120"/>
        <w:ind w:left="57"/>
        <w:rPr>
          <w:rFonts w:ascii="Times New Roman" w:hAnsi="Times New Roman"/>
          <w:iCs/>
          <w:szCs w:val="24"/>
        </w:rPr>
      </w:pPr>
      <w:r>
        <w:rPr>
          <w:rFonts w:ascii="Times New Roman" w:hAnsi="Times New Roman"/>
        </w:rPr>
        <w:t xml:space="preserve">La communication conjointe sur la gouvernance internationale des océans, adoptée en juin </w:t>
      </w:r>
      <w:r>
        <w:rPr>
          <w:rFonts w:ascii="Times New Roman" w:hAnsi="Times New Roman"/>
        </w:rPr>
        <w:lastRenderedPageBreak/>
        <w:t>2022, présente l’approche de l’UE face aux défis mondiaux liés aux océans. Le programme de la gouvernance des océans définit la vision, les objectifs et les actions pour les travaux de la Commission sur l’océan mondial. La gouvernance des océans indique que l’UE continue de s’efforcer de parvenir à des océans sûrs, sécurisés, propres, sains et gérés de manière durable à l’échelle mondiale. Le Conseil devrait adopter des conclusions sur la gouvernance des océans en réponse au programme de la gouvernance des océans en décembre 2022.</w:t>
      </w:r>
    </w:p>
    <w:p w:rsidR="00CC61CE" w:rsidRDefault="00CC61CE" w:rsidP="00CC61CE">
      <w:pPr>
        <w:widowControl w:val="0"/>
        <w:spacing w:after="120"/>
        <w:ind w:left="57"/>
        <w:rPr>
          <w:rFonts w:ascii="Times New Roman" w:hAnsi="Times New Roman"/>
          <w:color w:val="000000"/>
          <w:szCs w:val="24"/>
        </w:rPr>
      </w:pPr>
      <w:r>
        <w:rPr>
          <w:rFonts w:ascii="Times New Roman" w:hAnsi="Times New Roman"/>
        </w:rPr>
        <w:t>Si le programme de la gouvernance des océans est la réponse de la Commission aux défis mondiaux liés aux océans, il reflète également l’ambition des politiques et des efforts internes de l’UE concernant les mers et les océans. Avec le programme de la gouvernance des océans, l’UE confirme les engagements qu’elle a pris dans le cadre du programme des Nations unies à l’horizon 2030, dans la perspective de deux COP décisives cette année, à savoir la COP 27 de la CCNUCC sur le changement climatique et la COP 15 de la convention sur la diversité biologique. Dans ce contexte, l’une des principales priorités est d’enrayer et d’inverser la perte de biodiversité marine en concluant dès que possible un traité ambitieux des Nations unies visant à protéger la biodiversité en haute mer, y compris un objectif de 30 % de zones marines protégées d’ici à 2030 et de nouvelles zones marines protégées de grande étendue dans l’océan Austral.</w:t>
      </w:r>
      <w:r>
        <w:rPr>
          <w:rFonts w:ascii="Times New Roman" w:hAnsi="Times New Roman"/>
          <w:color w:val="000000"/>
        </w:rPr>
        <w:t xml:space="preserve"> Une autre priorité de la gouvernance des océans consiste à protéger les fonds marins en interdisant l’exploitation minière des grands fonds jusqu’à ce que ses effets sur le milieu marin, la biodiversité et les activités humaines aient été suffisamment étudiés, que les risques aient été compris et que les technologies et les pratiques opérationnelles soient en mesure de démontrer qu’elles ne portent pas gravement préjudice à l’environnement. </w:t>
      </w:r>
    </w:p>
    <w:p w:rsidR="00CC61CE" w:rsidRDefault="00CC61CE" w:rsidP="00CC61CE">
      <w:pPr>
        <w:widowControl w:val="0"/>
        <w:spacing w:after="120"/>
        <w:ind w:left="57"/>
        <w:rPr>
          <w:rFonts w:ascii="Times New Roman" w:hAnsi="Times New Roman"/>
          <w:szCs w:val="24"/>
        </w:rPr>
      </w:pPr>
      <w:r>
        <w:rPr>
          <w:rFonts w:ascii="Times New Roman" w:hAnsi="Times New Roman"/>
          <w:color w:val="000000"/>
        </w:rPr>
        <w:t xml:space="preserve">La lutte contre le changement climatique et contre la pollution marine se poursuit; elle comprend la </w:t>
      </w:r>
      <w:proofErr w:type="spellStart"/>
      <w:r>
        <w:rPr>
          <w:rFonts w:ascii="Times New Roman" w:hAnsi="Times New Roman"/>
          <w:color w:val="000000"/>
        </w:rPr>
        <w:t>décarbonation</w:t>
      </w:r>
      <w:proofErr w:type="spellEnd"/>
      <w:r>
        <w:rPr>
          <w:rFonts w:ascii="Times New Roman" w:hAnsi="Times New Roman"/>
          <w:color w:val="000000"/>
        </w:rPr>
        <w:t xml:space="preserve"> des secteurs maritimes et la préservation de la fonction</w:t>
      </w:r>
      <w:proofErr w:type="gramStart"/>
      <w:r>
        <w:rPr>
          <w:rFonts w:ascii="Times New Roman" w:hAnsi="Times New Roman"/>
          <w:color w:val="000000"/>
        </w:rPr>
        <w:t xml:space="preserve"> «carbone</w:t>
      </w:r>
      <w:proofErr w:type="gramEnd"/>
      <w:r>
        <w:rPr>
          <w:rFonts w:ascii="Times New Roman" w:hAnsi="Times New Roman"/>
          <w:color w:val="000000"/>
        </w:rPr>
        <w:t xml:space="preserve"> bleu» de l’océan, ainsi que la conclusion d’un accord mondial ambitieux sur les matières plastiques d’ici à 2024. </w:t>
      </w:r>
      <w:r>
        <w:rPr>
          <w:rFonts w:ascii="Times New Roman" w:hAnsi="Times New Roman"/>
        </w:rPr>
        <w:t xml:space="preserve">L’océan, qui agit comme un important puits de carbone, notamment ses fonds marins, est l’un de nos alliés les plus forts lorsqu’il s’agit d’atteindre nos objectifs climatiques. Dans ce contexte, la Commission a proposé une nouvelle norme sur l’intensité en gaz à effet de serre de l’énergie utilisée à bord des navires, des travaux visant à étendre le système d’échange de quotas d’émission de l’UE au transport maritime sont en cours et le secteur de la pêche bénéficiera d’un soutien pour sa </w:t>
      </w:r>
      <w:proofErr w:type="spellStart"/>
      <w:r>
        <w:rPr>
          <w:rFonts w:ascii="Times New Roman" w:hAnsi="Times New Roman"/>
        </w:rPr>
        <w:t>décarbonation</w:t>
      </w:r>
      <w:proofErr w:type="spellEnd"/>
      <w:r>
        <w:rPr>
          <w:rFonts w:ascii="Times New Roman" w:hAnsi="Times New Roman"/>
        </w:rPr>
        <w:t xml:space="preserve"> et pour devenir moins dépendant des combustibles fossiles.</w:t>
      </w:r>
    </w:p>
    <w:p w:rsidR="00CC61CE" w:rsidRDefault="00CC61CE" w:rsidP="00CC61CE">
      <w:pPr>
        <w:widowControl w:val="0"/>
        <w:spacing w:after="120"/>
        <w:ind w:left="57"/>
        <w:rPr>
          <w:rFonts w:ascii="Times New Roman" w:hAnsi="Times New Roman"/>
          <w:szCs w:val="24"/>
        </w:rPr>
      </w:pPr>
      <w:r>
        <w:rPr>
          <w:rFonts w:ascii="Times New Roman" w:hAnsi="Times New Roman"/>
        </w:rPr>
        <w:t xml:space="preserve">Les efforts d’atténuation du changement climatique doivent aller de pair avec une action soutenue et vigoureuse en matière d’adaptation afin de rendre nos océans aussi résilients que possible. Les solutions fondées sur la nature sont au cœur de notre action. Dans ce contexte, la Commission a proposé des objectifs juridiquement contraignants de l’UE pour restaurer les écosystèmes marins. Si l’on examine la manière dont l’océan peut soutenir nos efforts de </w:t>
      </w:r>
      <w:proofErr w:type="spellStart"/>
      <w:r>
        <w:rPr>
          <w:rFonts w:ascii="Times New Roman" w:hAnsi="Times New Roman"/>
        </w:rPr>
        <w:t>décarbonation</w:t>
      </w:r>
      <w:proofErr w:type="spellEnd"/>
      <w:r>
        <w:rPr>
          <w:rFonts w:ascii="Times New Roman" w:hAnsi="Times New Roman"/>
        </w:rPr>
        <w:t xml:space="preserve">, il s’avère que les énergies marines renouvelables sont l’un des piliers de la transition énergétique de l’UE. En outre, l’énergie produite par les marées et les vagues est prévisible et renferme la promesse de compléter les technologies actuelles en matière d’énergies éolienne et solaire. La planification de l’espace maritime contribuera à concilier les différents objectifs de </w:t>
      </w:r>
      <w:proofErr w:type="spellStart"/>
      <w:r>
        <w:rPr>
          <w:rFonts w:ascii="Times New Roman" w:hAnsi="Times New Roman"/>
        </w:rPr>
        <w:t>décarbonation</w:t>
      </w:r>
      <w:proofErr w:type="spellEnd"/>
      <w:r>
        <w:rPr>
          <w:rFonts w:ascii="Times New Roman" w:hAnsi="Times New Roman"/>
        </w:rPr>
        <w:t xml:space="preserve">, mais aussi à protéger et restaurer la nature en mer. </w:t>
      </w:r>
    </w:p>
    <w:p w:rsidR="00CC61CE" w:rsidRDefault="00CC61CE" w:rsidP="00CC61CE">
      <w:pPr>
        <w:widowControl w:val="0"/>
        <w:spacing w:after="120"/>
        <w:ind w:left="57"/>
        <w:rPr>
          <w:rFonts w:ascii="Times New Roman" w:hAnsi="Times New Roman"/>
          <w:szCs w:val="24"/>
        </w:rPr>
      </w:pPr>
      <w:r>
        <w:rPr>
          <w:rFonts w:ascii="Times New Roman" w:hAnsi="Times New Roman"/>
        </w:rPr>
        <w:t>En ce qui concerne le potentiel économique des océans, la mise en œuvre de la communication de la Commission sur l’économie bleue durable a déjà permis d’obtenir de nombreux résultats positifs. La mise en œuvre des orientations stratégiques de la Commission pour l’aquaculture a progressé et, le 15 novembre 2022, la Commission a adopté une initiative de l’UE relative aux algues, qui ouvre de nouvelles perspectives pour notre économie bleue.</w:t>
      </w:r>
    </w:p>
    <w:p w:rsidR="00CC61CE" w:rsidRPr="00367980" w:rsidRDefault="00CC61CE" w:rsidP="00CC61CE">
      <w:pPr>
        <w:widowControl w:val="0"/>
        <w:spacing w:after="120"/>
        <w:ind w:left="57"/>
        <w:rPr>
          <w:rFonts w:ascii="Times New Roman" w:hAnsi="Times New Roman"/>
          <w:szCs w:val="24"/>
        </w:rPr>
      </w:pPr>
      <w:r>
        <w:rPr>
          <w:rFonts w:ascii="Times New Roman" w:hAnsi="Times New Roman"/>
        </w:rPr>
        <w:lastRenderedPageBreak/>
        <w:t>La santé des océans peut être un facteur d’atténuation du changement climatique et fournir des services pour notre économie bleue. Il est donc nécessaire de prévenir et d’atténuer les pressions provoquant la perte de biodiversité dans nos mers.</w:t>
      </w:r>
      <w:r>
        <w:rPr>
          <w:rFonts w:ascii="Times New Roman" w:hAnsi="Times New Roman"/>
          <w:color w:val="000000"/>
        </w:rPr>
        <w:t xml:space="preserve"> La récente proposition de la Commission relative à une nouvelle loi sur la restauration de la nature, ainsi que le futur plan d’action pour la conservation des ressources halieutiques et la protection des écosystèmes marins, contribueront non seulement à protéger et à restaurer nos mers, mais aussi à rendre le secteur de la pêche en Europe plus résilient à long terme.</w:t>
      </w:r>
    </w:p>
    <w:p w:rsidR="00CC61CE" w:rsidRDefault="00CC61CE" w:rsidP="00CC61CE">
      <w:pPr>
        <w:widowControl w:val="0"/>
        <w:spacing w:after="120"/>
        <w:ind w:left="57"/>
        <w:rPr>
          <w:rFonts w:ascii="Times New Roman" w:hAnsi="Times New Roman"/>
          <w:b/>
          <w:szCs w:val="24"/>
        </w:rPr>
      </w:pPr>
      <w:r>
        <w:rPr>
          <w:rFonts w:ascii="Times New Roman" w:hAnsi="Times New Roman"/>
          <w:b/>
        </w:rPr>
        <w:t>En ce qui concerne les demandes spécifiques formulées dans la résolution du Parlement:</w:t>
      </w:r>
    </w:p>
    <w:p w:rsidR="00CC61CE" w:rsidRPr="00367980" w:rsidRDefault="00CC61CE" w:rsidP="00CC61CE">
      <w:pPr>
        <w:widowControl w:val="0"/>
        <w:spacing w:after="120"/>
        <w:ind w:left="57"/>
        <w:rPr>
          <w:rFonts w:ascii="Times New Roman" w:hAnsi="Times New Roman"/>
          <w:szCs w:val="24"/>
        </w:rPr>
      </w:pPr>
      <w:r>
        <w:rPr>
          <w:rFonts w:ascii="Times New Roman" w:hAnsi="Times New Roman"/>
          <w:b/>
        </w:rPr>
        <w:t>Paragraphes 2 et 3:</w:t>
      </w:r>
      <w:bookmarkStart w:id="1" w:name="_Hlk118814818"/>
      <w:r>
        <w:rPr>
          <w:rFonts w:ascii="Times New Roman" w:hAnsi="Times New Roman"/>
        </w:rPr>
        <w:t xml:space="preserve"> La finalisation rapide des négociations sur un instrument international juridiquement contraignant dans le cadre de la convention des Nations unies sur le droit de la mer sur la conservation et l’utilisation durable de la biodiversité marine dans les zones situées au-delà des limites de la juridiction nationale constitue une priorité essentielle. La Commission souhaite que la 5</w:t>
      </w:r>
      <w:r>
        <w:rPr>
          <w:rFonts w:ascii="Times New Roman" w:hAnsi="Times New Roman"/>
          <w:vertAlign w:val="superscript"/>
        </w:rPr>
        <w:t>e</w:t>
      </w:r>
      <w:r>
        <w:rPr>
          <w:rFonts w:ascii="Times New Roman" w:hAnsi="Times New Roman"/>
        </w:rPr>
        <w:t xml:space="preserve"> conférence intergouvernementale (CIG 5) reprenne dès que possible en 2023 afin de conclure ces négociations et de parvenir à un traité ambitieux.</w:t>
      </w:r>
    </w:p>
    <w:p w:rsidR="00CC61CE" w:rsidRPr="00CF43DE" w:rsidRDefault="00CC61CE" w:rsidP="00CC61CE">
      <w:pPr>
        <w:widowControl w:val="0"/>
        <w:spacing w:after="120"/>
        <w:ind w:left="57"/>
        <w:rPr>
          <w:rFonts w:ascii="Times New Roman" w:hAnsi="Times New Roman"/>
          <w:szCs w:val="24"/>
        </w:rPr>
      </w:pPr>
      <w:r>
        <w:rPr>
          <w:rFonts w:ascii="Times New Roman" w:hAnsi="Times New Roman"/>
        </w:rPr>
        <w:t>La Commission reconnaît que nous avons tous des responsabilités individuelles et collectives en matière de préservation de nos océans. La Commission continuera donc à coopérer avec les États membres afin d’examiner le concept le plus approprié à proposer en tant que préambule dans les négociations du futur accord sur la biodiversité marine dans les zones situées au-delà des limites de la juridiction nationale. Les négociations sur la biodiversité marine dans les zones situées au-delà des limites de la juridiction nationale portent actuellement sur la conclusion d’un accord sur les ressources génétiques marines collectées dans des zones ne relevant pas de la juridiction nationale et, en particulier, sur un système de partage des avantages. La Commission est d’avis que ces questions doivent d’abord être réglées dans le cadre de ces négociations avant de proposer de nouveaux concepts en tant que préambule.</w:t>
      </w:r>
    </w:p>
    <w:p w:rsidR="00CC61CE" w:rsidRPr="00CF43DE" w:rsidRDefault="00CC61CE" w:rsidP="00CC61CE">
      <w:pPr>
        <w:widowControl w:val="0"/>
        <w:spacing w:after="120"/>
        <w:ind w:left="57"/>
        <w:rPr>
          <w:rFonts w:ascii="Times New Roman" w:hAnsi="Times New Roman"/>
          <w:szCs w:val="24"/>
        </w:rPr>
      </w:pPr>
      <w:bookmarkStart w:id="2" w:name="_Hlk118813980"/>
      <w:bookmarkEnd w:id="1"/>
      <w:r>
        <w:rPr>
          <w:rFonts w:ascii="Times New Roman" w:hAnsi="Times New Roman"/>
          <w:b/>
        </w:rPr>
        <w:t>Paragraphe 6:</w:t>
      </w:r>
      <w:r>
        <w:rPr>
          <w:rFonts w:ascii="Times New Roman" w:hAnsi="Times New Roman"/>
        </w:rPr>
        <w:t xml:space="preserve"> La Commission comprend l’approche de précaution adoptée par le Parlement européen sur la question de l’exploitation minière des grands fonds marins. Elle a communiqué sa position sur l’exploitation minière des grands fonds dans le programme de la gouvernance des océans. La Commission continuera de défendre l’interdiction de l’exploitation minière des grands fonds jusqu’à ce que les lacunes scientifiques soient adéquatement comblées, qu’il puisse être démontré qu’aucun effet néfaste ne résulte de l’exploitation minière et que, comme l’exige la convention des Nations Unies sur le droit de la mer (CNUDM), les mesures nécessaires à une protection efficace du milieu marin figurent dans la réglementation en matière d’exploitation. Elle continuera de contribuer aux négociations sur la réglementation en matière d’exploitation au sein de l’Autorité internationale des fonds marins (AIFM) pour parvenir à un cadre solide en faveur de la protection du milieu marin, notamment des normes et des lignes directrices sur des valeurs seuils et des références normatives. En parallèle, la Commission soutient la recherche visant à améliorer les connaissances relatives aux écosystèmes d’eau profonde ainsi qu’aux technologies de surveillance et de supervision.</w:t>
      </w:r>
    </w:p>
    <w:bookmarkEnd w:id="2"/>
    <w:p w:rsidR="00CC61CE" w:rsidRPr="00CB292C" w:rsidRDefault="00CC61CE" w:rsidP="00CC61CE">
      <w:pPr>
        <w:widowControl w:val="0"/>
        <w:spacing w:after="120"/>
        <w:ind w:left="57"/>
        <w:rPr>
          <w:rFonts w:ascii="Times New Roman" w:hAnsi="Times New Roman"/>
          <w:szCs w:val="24"/>
        </w:rPr>
      </w:pPr>
      <w:r>
        <w:rPr>
          <w:rFonts w:ascii="Times New Roman" w:hAnsi="Times New Roman"/>
          <w:b/>
        </w:rPr>
        <w:t>Paragraphe 8:</w:t>
      </w:r>
      <w:r>
        <w:rPr>
          <w:rFonts w:ascii="Times New Roman" w:hAnsi="Times New Roman"/>
        </w:rPr>
        <w:t xml:space="preserve"> Comme le prévoit le règlement relatif à la politique commune de la pêche (PCP) [article 32 du règlement (UE) nº 1380/2013], le soutien financier accordé au titre des accords de partenariat dans le domaine de la pêche durable (APPD) vise à aider le pays partenaire à «établir le cadre de gouvernance, incluant la mise en place et le maintien des instituts scientifiques et de recherche nécessaires, [à] promouvoir les processus de consultation des groupes d'intérêt et [à] prévoir les capacités de suivi, de contrôle et de surveillance, ainsi que les autres éléments relatifs au renforcement des capacités </w:t>
      </w:r>
      <w:r>
        <w:rPr>
          <w:rFonts w:ascii="Times New Roman" w:hAnsi="Times New Roman"/>
        </w:rPr>
        <w:lastRenderedPageBreak/>
        <w:t>d'élaboration d'une politique de pêche durable par le pays tiers». Les avantages pour la pêche locale et les communautés côtières peuvent donc être obtenus indirectement par le soutien des politiques susmentionnées.</w:t>
      </w:r>
    </w:p>
    <w:p w:rsidR="00CC61CE" w:rsidRPr="00CB292C" w:rsidRDefault="00CC61CE" w:rsidP="00CC61CE">
      <w:pPr>
        <w:widowControl w:val="0"/>
        <w:spacing w:after="120"/>
        <w:ind w:left="57"/>
        <w:rPr>
          <w:rFonts w:ascii="Times New Roman" w:hAnsi="Times New Roman"/>
          <w:szCs w:val="24"/>
        </w:rPr>
      </w:pPr>
      <w:r>
        <w:rPr>
          <w:rFonts w:ascii="Times New Roman" w:hAnsi="Times New Roman"/>
        </w:rPr>
        <w:t>Par exemple, le soutien à l’évaluation scientifique et à la bonne gestion des stocks importants pour les communautés locales, la mise en place de capacités scientifiques ou des outils des systèmes de gestion et de contrôle dans le pays en question apporteront en définitive des avantages aux populations, même si elles ne sont pas les bénéficiaires directs des fonds.</w:t>
      </w:r>
    </w:p>
    <w:p w:rsidR="00CC61CE" w:rsidRPr="00CB292C" w:rsidRDefault="00CC61CE" w:rsidP="00CC61CE">
      <w:pPr>
        <w:widowControl w:val="0"/>
        <w:spacing w:after="120"/>
        <w:ind w:left="57"/>
        <w:rPr>
          <w:rFonts w:ascii="Times New Roman" w:hAnsi="Times New Roman"/>
          <w:szCs w:val="24"/>
        </w:rPr>
      </w:pPr>
      <w:r>
        <w:rPr>
          <w:rFonts w:ascii="Times New Roman" w:hAnsi="Times New Roman"/>
        </w:rPr>
        <w:t>Les pays partenaires sont également encouragés et soutenus dans l’élaboration d’actions bénéficiant plus directement à la pêche artisanale, telles que les infrastructures de débarquement et l’amélioration de la conservation des produits après la capture, le soutien à l’aquaculture de subsistance, parallèlement aux priorités définies par ces pays dans les stratégies nationales de sécurité alimentaire ou d’éradication de la pauvreté. Les APPD ont toutefois une contribution budgétaire limitée pour l’appui sectoriel dans la plupart des cas (275 000 à 2,9 millions d’EUR par an pour 80 % des APPD), qui sont coordonnés avec d’autres donateurs et sources de financement à la disposition des pays partenaires, y compris les fonds de développement de l’UE.</w:t>
      </w:r>
    </w:p>
    <w:p w:rsidR="00CC61CE" w:rsidRPr="00CB292C" w:rsidRDefault="00CC61CE" w:rsidP="00CC61CE">
      <w:pPr>
        <w:widowControl w:val="0"/>
        <w:spacing w:after="120"/>
        <w:ind w:left="57"/>
        <w:rPr>
          <w:rFonts w:ascii="Times New Roman" w:hAnsi="Times New Roman"/>
          <w:szCs w:val="24"/>
        </w:rPr>
      </w:pPr>
      <w:bookmarkStart w:id="3" w:name="_Hlk118824741"/>
      <w:bookmarkStart w:id="4" w:name="_Hlk118880243"/>
      <w:r>
        <w:rPr>
          <w:rFonts w:ascii="Times New Roman" w:hAnsi="Times New Roman"/>
        </w:rPr>
        <w:t>En ce qui concerne la transparence, la Commission promeut, dans les protocoles de l’APPD, des clauses garantissant aux pays partenaires un accès complet aux positions et aux captures en temps réel des navires de l’UE au moyen d’une déclaration de captures régulière (dans la mesure où des procédures automatisées sont convenues). Elle s’efforce également de renforcer l’application des droits du travail pour les ressortissants de ces pays travaillant à bord de navires de l’UE, sur la base des normes et conventions pertinentes de l’Organisation internationale du travail (OIT).</w:t>
      </w:r>
    </w:p>
    <w:p w:rsidR="00CC61CE" w:rsidRDefault="00CC61CE" w:rsidP="00CC61CE">
      <w:pPr>
        <w:widowControl w:val="0"/>
        <w:spacing w:after="120"/>
        <w:ind w:left="57"/>
        <w:rPr>
          <w:rFonts w:ascii="Times New Roman" w:hAnsi="Times New Roman"/>
          <w:szCs w:val="24"/>
        </w:rPr>
      </w:pPr>
      <w:r>
        <w:rPr>
          <w:rFonts w:ascii="Times New Roman" w:hAnsi="Times New Roman"/>
        </w:rPr>
        <w:t>Toutefois, en raison de leur caractère bilatéral et limité dans le temps, les APPD ne peuvent imposer une base de données socio-économiques centralisée pour les navires de l’Union, quel que soit le lieu où ils opèrent, compte tenu également des règles de l’UE en matière de protection des données que les APPD doivent respecter. La base de données existante en vertu du règlement (UE) 2017/2403 relatif à la gestion durable des flottes de pêche externes assure la transparence du lieu et du moment où les navires de l’UE sont autorisés à opérer, mais n’est pas destinée à afficher d’autres éléments socio-économiques.</w:t>
      </w:r>
    </w:p>
    <w:p w:rsidR="00CC61CE" w:rsidRPr="00CB292C" w:rsidRDefault="00CC61CE" w:rsidP="00CC61CE">
      <w:pPr>
        <w:widowControl w:val="0"/>
        <w:spacing w:after="120"/>
        <w:ind w:left="57"/>
        <w:rPr>
          <w:rFonts w:ascii="Times New Roman" w:hAnsi="Times New Roman"/>
          <w:szCs w:val="24"/>
        </w:rPr>
      </w:pPr>
      <w:r>
        <w:rPr>
          <w:rFonts w:ascii="Times New Roman" w:hAnsi="Times New Roman"/>
          <w:b/>
        </w:rPr>
        <w:t>Paragraphe 9:</w:t>
      </w:r>
      <w:r>
        <w:rPr>
          <w:rFonts w:ascii="Times New Roman" w:hAnsi="Times New Roman"/>
        </w:rPr>
        <w:t xml:space="preserve"> </w:t>
      </w:r>
      <w:bookmarkEnd w:id="3"/>
      <w:r>
        <w:rPr>
          <w:rFonts w:ascii="Times New Roman" w:hAnsi="Times New Roman"/>
        </w:rPr>
        <w:t>La Commission est déterminée à améliorer le travail dans le secteur de la pêche. Dans le cadre de son programme de coopération internationale et de la PCP, elle promeut le travail décent dans le secteur de la pêche, conformément aux objectifs de l’Organisation internationale du travail (OIT), de l’Organisation maritime internationale (OMI) et de l’Organisation des Nations unies pour l’alimentation et l’agriculture (FAO) et en coopération avec les pays partenaires. La Commission continuera de promouvoir la ratification et la mise en œuvre effective de la convention C 188 de l’OIT sur le travail dans la pêche et d’autres normes internationales pertinentes, telles que la convention de l’OMI sur les normes de formation du personnel des navires de pêche, de délivrance des brevets et de veille (STCW-F). À cette fin, elle utilise les APPD, notamment par la mise en œuvre d’un ensemble cohérent de dispositions sociales, et les organisations régionales de gestion des pêches (ORGP), le cas échéant. Dans le cadre de dialogues bilatéraux et dans les enceintes régionales et internationales, la Commission et le haut représentant aborderont la question du travail forcé et des autres formes de travail qui violent les droits de l’homme dans le domaine de la pêche, y compris lorsque ceux-ci sont détectés dans le cadre de la lutte contre la pêche illicite, non déclarée et non réglementée (ci-après la</w:t>
      </w:r>
      <w:proofErr w:type="gramStart"/>
      <w:r>
        <w:rPr>
          <w:rFonts w:ascii="Times New Roman" w:hAnsi="Times New Roman"/>
        </w:rPr>
        <w:t xml:space="preserve"> «pêche</w:t>
      </w:r>
      <w:proofErr w:type="gramEnd"/>
      <w:r>
        <w:rPr>
          <w:rFonts w:ascii="Times New Roman" w:hAnsi="Times New Roman"/>
        </w:rPr>
        <w:t xml:space="preserve"> INN»). La communication sur le travail décent dans le monde renforce la stratégie de l’Union visant à promouvoir le travail décent au niveau mondial, et détermine les principaux instruments à cet effet dans le cadre </w:t>
      </w:r>
      <w:r>
        <w:rPr>
          <w:rFonts w:ascii="Times New Roman" w:hAnsi="Times New Roman"/>
        </w:rPr>
        <w:lastRenderedPageBreak/>
        <w:t>des politiques de l’Union.</w:t>
      </w:r>
    </w:p>
    <w:bookmarkEnd w:id="4"/>
    <w:p w:rsidR="00CC61CE" w:rsidRPr="009E110F" w:rsidRDefault="00CC61CE" w:rsidP="00CC61CE">
      <w:pPr>
        <w:widowControl w:val="0"/>
        <w:spacing w:after="120"/>
        <w:ind w:left="57"/>
        <w:rPr>
          <w:rFonts w:ascii="Times New Roman" w:hAnsi="Times New Roman"/>
          <w:szCs w:val="24"/>
        </w:rPr>
      </w:pPr>
      <w:r>
        <w:rPr>
          <w:rFonts w:ascii="Times New Roman" w:hAnsi="Times New Roman"/>
          <w:b/>
        </w:rPr>
        <w:t>Paragraphe 14:</w:t>
      </w:r>
      <w:r>
        <w:rPr>
          <w:rFonts w:ascii="Times New Roman" w:hAnsi="Times New Roman"/>
        </w:rPr>
        <w:t xml:space="preserve"> En ce qui concerne l’établissement de zones marines protégées (ZMP) dans l’Antarctique, l’UE et ses États membres ont présenté deux propositions visant à créer des ZMP dans l’océan Austral, l’une dans l’Antarctique oriental (depuis 2012) et l’autre dans la mer de Weddell (depuis 2016). Dans son discours sur l’état de l’Union du 16 septembre 2020, la présidente de la Commission a déclaré que l’Union ferait</w:t>
      </w:r>
      <w:proofErr w:type="gramStart"/>
      <w:r>
        <w:rPr>
          <w:rFonts w:ascii="Times New Roman" w:hAnsi="Times New Roman"/>
        </w:rPr>
        <w:t xml:space="preserve"> «usage</w:t>
      </w:r>
      <w:proofErr w:type="gramEnd"/>
      <w:r>
        <w:rPr>
          <w:rFonts w:ascii="Times New Roman" w:hAnsi="Times New Roman"/>
        </w:rPr>
        <w:t xml:space="preserve"> de [sa] puissance diplomatique et de [son] influence économique pour négocier des accords qui font la différence – des accords prévoyant, par exemple, des zones maritimes protégées en Antarctique». Grâce au leadership et aux efforts de la Commission, </w:t>
      </w:r>
      <w:proofErr w:type="spellStart"/>
      <w:r>
        <w:rPr>
          <w:rFonts w:ascii="Times New Roman" w:hAnsi="Times New Roman"/>
        </w:rPr>
        <w:t>qiu</w:t>
      </w:r>
      <w:proofErr w:type="spellEnd"/>
      <w:r>
        <w:rPr>
          <w:rFonts w:ascii="Times New Roman" w:hAnsi="Times New Roman"/>
        </w:rPr>
        <w:t xml:space="preserve"> a notamment organisé deux réunions ministérielles en avril et septembre 2021, les propositions sont désormais coparrainées par l’Australie, les États-Unis d’Amérique, l’Inde, la Norvège, la Nouvelle-Zélande, la République de Corée, le Royaume-Uni, l’Ukraine et l’Uruguay. Cela signifie que, malgré le refus de la Chine et de la Russie de s’associer au consensus, la commission pour la conservation de la faune et de la flore marines de l’Antarctique (CCAMLR) bénéficie d’un large soutien en faveur de cet objectif, 20 membres sur 27 </w:t>
      </w:r>
      <w:proofErr w:type="spellStart"/>
      <w:r>
        <w:rPr>
          <w:rFonts w:ascii="Times New Roman" w:hAnsi="Times New Roman"/>
        </w:rPr>
        <w:t>coparrainant</w:t>
      </w:r>
      <w:proofErr w:type="spellEnd"/>
      <w:r>
        <w:rPr>
          <w:rFonts w:ascii="Times New Roman" w:hAnsi="Times New Roman"/>
        </w:rPr>
        <w:t xml:space="preserve"> officiellement une ou plusieurs propositions. La Commission ne cessera pas ses efforts pour accroître le soutien à la création de nouvelles ZMP, y compris lors de la prochaine réunion extraordinaire sur les ZMP, qui se tiendra dans le courant du premier semestre de 2023.</w:t>
      </w:r>
    </w:p>
    <w:p w:rsidR="00CC61CE" w:rsidRDefault="00CC61CE" w:rsidP="00CC61CE">
      <w:pPr>
        <w:widowControl w:val="0"/>
        <w:spacing w:after="120"/>
        <w:ind w:left="57"/>
        <w:rPr>
          <w:rFonts w:ascii="Times New Roman" w:hAnsi="Times New Roman"/>
          <w:szCs w:val="24"/>
        </w:rPr>
      </w:pPr>
      <w:bookmarkStart w:id="5" w:name="_Hlk118744745"/>
      <w:r>
        <w:rPr>
          <w:rFonts w:ascii="Times New Roman" w:hAnsi="Times New Roman"/>
          <w:b/>
        </w:rPr>
        <w:t>Paragraphe 17:</w:t>
      </w:r>
      <w:r>
        <w:rPr>
          <w:rFonts w:ascii="Times New Roman" w:hAnsi="Times New Roman"/>
        </w:rPr>
        <w:t xml:space="preserve"> En ce qui concerne le règlement d’exécution (UE) 2022/1614 de la Commission relatif aux écosystèmes marins vulnérables, la Commission accorde la priorité absolue au dialogue avec les parties prenantes, à l’ouverture et à la transparence. Au cours des deux dernières années, les services de la Commission ont mené une vaste consultation des parties prenantes au moyen d’une série de réunions avec les États membres, les conseils consultatifs et les parties prenantes, qui ont été informés de tous les aspects techniques liés aux avis. La Commission a publié sur sa plateforme collaborative des échanges et des éléments de correspondance à ce sujet avec toutes les parties prenantes et les États membres. </w:t>
      </w:r>
    </w:p>
    <w:p w:rsidR="00CC61CE" w:rsidRPr="0055173E" w:rsidRDefault="00CC61CE" w:rsidP="00CC61CE">
      <w:pPr>
        <w:widowControl w:val="0"/>
        <w:spacing w:after="120"/>
        <w:ind w:left="57"/>
        <w:rPr>
          <w:rFonts w:ascii="Times New Roman" w:hAnsi="Times New Roman"/>
          <w:szCs w:val="24"/>
        </w:rPr>
      </w:pPr>
      <w:r>
        <w:rPr>
          <w:rFonts w:ascii="Times New Roman" w:hAnsi="Times New Roman"/>
        </w:rPr>
        <w:t>Dans le cadre de la préparation de l’avis du Conseil international pour l’exploration de la mer (CIEM), qui constitue la base scientifique de ce règlement d’exécution, toutes les informations scientifiques fournies en réponse aux demandes de données adressées par le CIEM à tous les États membres depuis 2017 ont été débattues et examinées au sein des organes consultatifs du CIEM. Cet avis scientifique est le résultat d’un processus approfondi d’examen scientifique par les pairs auquel participent des scientifiques de premier plan dans ce domaine et représente donc le meilleur avis scientifique disponible.</w:t>
      </w:r>
    </w:p>
    <w:p w:rsidR="00CC61CE" w:rsidRPr="009E110F" w:rsidRDefault="00CC61CE" w:rsidP="00CC61CE">
      <w:pPr>
        <w:widowControl w:val="0"/>
        <w:spacing w:after="120"/>
        <w:ind w:left="57"/>
        <w:rPr>
          <w:rFonts w:ascii="Times New Roman" w:hAnsi="Times New Roman"/>
          <w:szCs w:val="24"/>
        </w:rPr>
      </w:pPr>
      <w:r>
        <w:rPr>
          <w:rFonts w:ascii="Times New Roman" w:hAnsi="Times New Roman"/>
        </w:rPr>
        <w:t>Conformément aux dispositions du règlement de 2016 sur l’accès aux eaux profondes, la Commission collaborera avec les organismes scientifiques compétents pour assurer un examen annuel de l’avis scientifique (qui devrait être fourni par le CIEM en janvier 2022). Si les données scientifiques actualisées le justifient, cela pourrait conduire à une révision des zones fermées aux engins de fond.</w:t>
      </w:r>
    </w:p>
    <w:p w:rsidR="00CC61CE" w:rsidRPr="007D515A" w:rsidRDefault="00CC61CE" w:rsidP="00CC61CE">
      <w:pPr>
        <w:widowControl w:val="0"/>
        <w:spacing w:after="120"/>
        <w:ind w:left="57"/>
        <w:rPr>
          <w:rFonts w:ascii="Times New Roman" w:hAnsi="Times New Roman"/>
          <w:szCs w:val="24"/>
        </w:rPr>
      </w:pPr>
      <w:bookmarkStart w:id="6" w:name="_Hlk118821511"/>
      <w:bookmarkEnd w:id="5"/>
      <w:r>
        <w:rPr>
          <w:rFonts w:ascii="Times New Roman" w:hAnsi="Times New Roman"/>
          <w:b/>
        </w:rPr>
        <w:t>Paragraphe 18:</w:t>
      </w:r>
      <w:r w:rsidRPr="005644A3">
        <w:rPr>
          <w:rFonts w:ascii="Times New Roman" w:hAnsi="Times New Roman"/>
        </w:rPr>
        <w:t xml:space="preserve"> La Commission a </w:t>
      </w:r>
      <w:hyperlink r:id="rId5" w:history="1">
        <w:r>
          <w:rPr>
            <w:rStyle w:val="Hyperlink"/>
            <w:rFonts w:ascii="Times New Roman" w:hAnsi="Times New Roman"/>
          </w:rPr>
          <w:t>proposé de modifier le règlement (UE) 2018/841</w:t>
        </w:r>
      </w:hyperlink>
      <w:r>
        <w:t xml:space="preserve"> </w:t>
      </w:r>
      <w:r w:rsidRPr="005644A3">
        <w:rPr>
          <w:rFonts w:ascii="Times New Roman" w:hAnsi="Times New Roman"/>
        </w:rPr>
        <w:t>relatif à la prise en compte des émissions et des absorptions de gaz à effet de serre résultant de l’utilisation des terres, du changement d’affectation des terres et de la foresterie (UTCATF).</w:t>
      </w:r>
      <w:r>
        <w:rPr>
          <w:rFonts w:ascii="Times New Roman" w:hAnsi="Times New Roman"/>
        </w:rPr>
        <w:t xml:space="preserve"> La proposition comprend un engagement à évaluer la possibilité d’inclure le milieu marin dans le champ d’application du règlement. Une étude menée dans le cadre de la mission</w:t>
      </w:r>
      <w:proofErr w:type="gramStart"/>
      <w:r>
        <w:rPr>
          <w:rFonts w:ascii="Times New Roman" w:hAnsi="Times New Roman"/>
        </w:rPr>
        <w:t xml:space="preserve"> «Océan</w:t>
      </w:r>
      <w:proofErr w:type="gramEnd"/>
      <w:r>
        <w:rPr>
          <w:rFonts w:ascii="Times New Roman" w:hAnsi="Times New Roman"/>
        </w:rPr>
        <w:t xml:space="preserve">» et des travaux de recherche dans le cadre d’Horizon Europe contribueront à l’évaluation en améliorant la déclaration, la surveillance et la vérification des émissions et des absorptions dans les écosystèmes de carbone bleu. </w:t>
      </w:r>
      <w:r w:rsidRPr="005644A3">
        <w:rPr>
          <w:rFonts w:ascii="Times New Roman" w:hAnsi="Times New Roman"/>
        </w:rPr>
        <w:t xml:space="preserve">Des informations détaillées sur le lien entre l’océan et le climat, la recherche et l’innovation, sont décrites dans la publication </w:t>
      </w:r>
      <w:hyperlink r:id="rId6" w:history="1">
        <w:proofErr w:type="spellStart"/>
        <w:r>
          <w:rPr>
            <w:rStyle w:val="Hyperlink"/>
            <w:rFonts w:ascii="Times New Roman" w:hAnsi="Times New Roman"/>
          </w:rPr>
          <w:t>Ocean-climate</w:t>
        </w:r>
        <w:proofErr w:type="spellEnd"/>
        <w:r>
          <w:rPr>
            <w:rStyle w:val="Hyperlink"/>
            <w:rFonts w:ascii="Times New Roman" w:hAnsi="Times New Roman"/>
          </w:rPr>
          <w:t xml:space="preserve"> nexus: </w:t>
        </w:r>
        <w:proofErr w:type="spellStart"/>
        <w:r>
          <w:rPr>
            <w:rStyle w:val="Hyperlink"/>
            <w:rFonts w:ascii="Times New Roman" w:hAnsi="Times New Roman"/>
          </w:rPr>
          <w:t>Understanding</w:t>
        </w:r>
        <w:proofErr w:type="spellEnd"/>
        <w:r>
          <w:rPr>
            <w:rStyle w:val="Hyperlink"/>
            <w:rFonts w:ascii="Times New Roman" w:hAnsi="Times New Roman"/>
          </w:rPr>
          <w:t xml:space="preserve"> the changes, </w:t>
        </w:r>
        <w:proofErr w:type="spellStart"/>
        <w:r>
          <w:rPr>
            <w:rStyle w:val="Hyperlink"/>
            <w:rFonts w:ascii="Times New Roman" w:hAnsi="Times New Roman"/>
          </w:rPr>
          <w:t>responding</w:t>
        </w:r>
        <w:proofErr w:type="spellEnd"/>
        <w:r>
          <w:rPr>
            <w:rStyle w:val="Hyperlink"/>
            <w:rFonts w:ascii="Times New Roman" w:hAnsi="Times New Roman"/>
          </w:rPr>
          <w:t xml:space="preserve"> to the challenges</w:t>
        </w:r>
      </w:hyperlink>
      <w:r>
        <w:t xml:space="preserve"> </w:t>
      </w:r>
      <w:r w:rsidRPr="005644A3">
        <w:rPr>
          <w:rFonts w:ascii="Times New Roman" w:hAnsi="Times New Roman"/>
        </w:rPr>
        <w:t>(Le lien entre l’océan et le climat: Comprendre les changements et relever les défis).</w:t>
      </w:r>
      <w:r>
        <w:rPr>
          <w:rFonts w:ascii="Times New Roman" w:hAnsi="Times New Roman"/>
        </w:rPr>
        <w:t xml:space="preserve"> D’autres actions de recherche pertinentes sont prévues dans le cadre du programme de travail</w:t>
      </w:r>
      <w:proofErr w:type="gramStart"/>
      <w:r>
        <w:rPr>
          <w:rFonts w:ascii="Times New Roman" w:hAnsi="Times New Roman"/>
        </w:rPr>
        <w:t xml:space="preserve"> «Horizon</w:t>
      </w:r>
      <w:proofErr w:type="gramEnd"/>
      <w:r>
        <w:rPr>
          <w:rFonts w:ascii="Times New Roman" w:hAnsi="Times New Roman"/>
        </w:rPr>
        <w:t xml:space="preserve"> Europe» pour la période 2023-2024.</w:t>
      </w:r>
    </w:p>
    <w:bookmarkEnd w:id="6"/>
    <w:p w:rsidR="00CC61CE" w:rsidRPr="00781D68" w:rsidRDefault="00CC61CE" w:rsidP="00CC61CE">
      <w:pPr>
        <w:widowControl w:val="0"/>
        <w:spacing w:after="120"/>
        <w:ind w:left="57"/>
        <w:rPr>
          <w:rFonts w:ascii="Times New Roman" w:hAnsi="Times New Roman"/>
          <w:szCs w:val="24"/>
        </w:rPr>
      </w:pPr>
      <w:r>
        <w:rPr>
          <w:rFonts w:ascii="Times New Roman" w:hAnsi="Times New Roman"/>
          <w:b/>
        </w:rPr>
        <w:t>Paragraphe 21:</w:t>
      </w:r>
      <w:r>
        <w:rPr>
          <w:rFonts w:ascii="Times New Roman" w:hAnsi="Times New Roman"/>
        </w:rPr>
        <w:t xml:space="preserve"> </w:t>
      </w:r>
      <w:bookmarkStart w:id="7" w:name="_Hlk118821718"/>
      <w:r>
        <w:rPr>
          <w:rFonts w:ascii="Times New Roman" w:hAnsi="Times New Roman"/>
        </w:rPr>
        <w:t>En ce qui concerne l’accord de l’Organisation mondiale du commerce (OMC) sur les subventions à la pêche, la Commission poursuivra ses efforts pour renforcer l’accord par d’autres disciplines sur les subventions qui contribuent à la surcapacité et à la surpêche. La Commission applique des conditions strictes aux régimes d’aide de l’UE, tels que le Fonds européen pour les affaires maritimes, la pêche et l’aquaculture (</w:t>
      </w:r>
      <w:proofErr w:type="spellStart"/>
      <w:r>
        <w:rPr>
          <w:rFonts w:ascii="Times New Roman" w:hAnsi="Times New Roman"/>
        </w:rPr>
        <w:t>Feampa</w:t>
      </w:r>
      <w:proofErr w:type="spellEnd"/>
      <w:r>
        <w:rPr>
          <w:rFonts w:ascii="Times New Roman" w:hAnsi="Times New Roman"/>
        </w:rPr>
        <w:t>) et les programmes d’aides d’État, afin d’éviter les effets néfastes des subventions.</w:t>
      </w:r>
      <w:bookmarkEnd w:id="7"/>
    </w:p>
    <w:p w:rsidR="00CC61CE" w:rsidRDefault="00CC61CE" w:rsidP="00CC61CE">
      <w:pPr>
        <w:widowControl w:val="0"/>
        <w:spacing w:after="120"/>
        <w:ind w:left="57"/>
        <w:rPr>
          <w:rFonts w:ascii="Times New Roman" w:hAnsi="Times New Roman"/>
          <w:szCs w:val="24"/>
        </w:rPr>
      </w:pPr>
      <w:bookmarkStart w:id="8" w:name="_Hlk118824631"/>
      <w:r>
        <w:rPr>
          <w:rFonts w:ascii="Times New Roman" w:hAnsi="Times New Roman"/>
          <w:b/>
        </w:rPr>
        <w:t>Paragraphe 23:</w:t>
      </w:r>
      <w:r>
        <w:rPr>
          <w:rFonts w:ascii="Times New Roman" w:hAnsi="Times New Roman"/>
        </w:rPr>
        <w:t xml:space="preserve"> La Commission estime qu</w:t>
      </w:r>
      <w:bookmarkStart w:id="9" w:name="_GoBack"/>
      <w:bookmarkEnd w:id="9"/>
      <w:r>
        <w:rPr>
          <w:rFonts w:ascii="Times New Roman" w:hAnsi="Times New Roman"/>
        </w:rPr>
        <w:t>’il est important que tous les États respectent leurs obligations internationales en tant qu’États du pavillon. La Commission rappelle que les sanctions applicables aux infractions de pêche sont déterminées et imposées par un seul État concerné, conformément aux principes du droit international de la mer. La Commission convient que tous les pays doivent appliquer des sanctions dissuasives dans les cas de pêche INN. La Commission tient à souligner qu’il importe de concentrer l’attention sur les transbordements et, dans les cas où elle est autorisée, de veiller à ce que les activités de transbordement soient menées sous une surveillance, un suivi, un contrôle et des rapports stricts de la part des autorités compétentes. À cet égard, la Commission attire l’attention sur les directives volontaires de la FAO sur les transbordements, récemment adoptées. Dans le cadre des dialogues sur la pêche INN avec les pays tiers, la Commission promeut la transparence dans le secteur de la pêche, et en particulier en ce qui concerne les bénéficiaires effectifs, en tant qu’élément important contribuant au respect des règles en matière de pêche et à la lutte contre la pêche INN. Le même objectif est poursuivi par la Commission dans le cadre des travaux des ORGP. Dans le cadre de ses dialogues avec les pays tiers, la Commission attire particulièrement l’attention sur la coopération et la coordination interservices afin de traiter et de prévenir avec succès les éventuels cas de pêche INN.</w:t>
      </w:r>
    </w:p>
    <w:p w:rsidR="00CC61CE" w:rsidRDefault="00CC61CE" w:rsidP="00CC61CE">
      <w:pPr>
        <w:widowControl w:val="0"/>
        <w:spacing w:after="120"/>
        <w:ind w:left="57"/>
        <w:rPr>
          <w:rFonts w:ascii="Times New Roman" w:hAnsi="Times New Roman"/>
          <w:szCs w:val="24"/>
        </w:rPr>
      </w:pPr>
      <w:r>
        <w:rPr>
          <w:rFonts w:ascii="Times New Roman" w:hAnsi="Times New Roman"/>
          <w:b/>
        </w:rPr>
        <w:t>Paragraphe 25:</w:t>
      </w:r>
      <w:r>
        <w:rPr>
          <w:rFonts w:ascii="Times New Roman" w:hAnsi="Times New Roman"/>
        </w:rPr>
        <w:t xml:space="preserve"> Le 3 mai 2022, la Commission a publié un rapport sur la mise en œuvre de la directive sur la planification de l’espace maritime, dans lequel elle indiquait que la plupart des États membres côtiers disposaient désormais d’un plan de planification de l’espace maritime. La Commission a engagé des procédures d’infraction à l’encontre de sept États membres qui n’ont toujours pas établi de plan de planification de l’espace maritime comme l’exige la directive.</w:t>
      </w:r>
    </w:p>
    <w:p w:rsidR="00CC61CE" w:rsidRDefault="00CC61CE" w:rsidP="00CC61CE">
      <w:pPr>
        <w:widowControl w:val="0"/>
        <w:spacing w:after="120"/>
        <w:ind w:left="57"/>
        <w:rPr>
          <w:rFonts w:ascii="Times New Roman" w:hAnsi="Times New Roman"/>
          <w:szCs w:val="24"/>
        </w:rPr>
      </w:pPr>
      <w:r>
        <w:rPr>
          <w:rFonts w:ascii="Times New Roman" w:hAnsi="Times New Roman"/>
          <w:b/>
        </w:rPr>
        <w:t>Paragraphe 28:</w:t>
      </w:r>
      <w:r>
        <w:rPr>
          <w:rFonts w:ascii="Times New Roman" w:hAnsi="Times New Roman"/>
        </w:rPr>
        <w:t xml:space="preserve"> Les APPD visent à renforcer la gouvernance de la pêche, à améliorer la conservation des ressources halieutiques et à contribuer à la protection de l’environnement marin. À cette fin, des actions spécifiques sont soutenues par la contribution financière prévue par les APPD, notamment dans les domaines de la science, du contrôle et de la surveillance, de la protection des écosystèmes et de la gestion de la pêche. En outre, les pays partenaires sont également encouragés et soutenus dans l’élaboration d’actions bénéficiant plus directement à la pêche artisanale, telles que les infrastructures de débarquement et l’amélioration de la conservation des produits après récolte, le soutien à l’aquaculture de subsistance, parallèlement aux priorités définies par ces pays. Toutefois, comme indiqué ci</w:t>
      </w:r>
      <w:r w:rsidR="002F5B9D">
        <w:rPr>
          <w:rFonts w:ascii="Times New Roman" w:hAnsi="Times New Roman"/>
        </w:rPr>
        <w:noBreakHyphen/>
      </w:r>
      <w:r>
        <w:rPr>
          <w:rFonts w:ascii="Times New Roman" w:hAnsi="Times New Roman"/>
        </w:rPr>
        <w:t>dessus dans la section consacrée au paragraphe 8 de la résolution, les APPD ont une contribution budgétaire limitée pour l’appui sectoriel dans la plupart des cas et la coordination avec d’autres donateurs et sources de financement est essentielle.</w:t>
      </w:r>
    </w:p>
    <w:p w:rsidR="00CC61CE" w:rsidRPr="002C15A7" w:rsidRDefault="00CC61CE" w:rsidP="00CC61CE">
      <w:pPr>
        <w:widowControl w:val="0"/>
        <w:spacing w:after="120"/>
        <w:ind w:left="57"/>
        <w:rPr>
          <w:rFonts w:ascii="Times New Roman" w:hAnsi="Times New Roman"/>
          <w:szCs w:val="24"/>
        </w:rPr>
      </w:pPr>
      <w:r>
        <w:rPr>
          <w:rFonts w:ascii="Times New Roman" w:hAnsi="Times New Roman"/>
        </w:rPr>
        <w:t>En ce qui concerne le bruit sous-marin, la Commission tient à rappeler qu’en vertu de la directive-cadre</w:t>
      </w:r>
      <w:proofErr w:type="gramStart"/>
      <w:r>
        <w:rPr>
          <w:rFonts w:ascii="Times New Roman" w:hAnsi="Times New Roman"/>
        </w:rPr>
        <w:t xml:space="preserve"> «stratégie</w:t>
      </w:r>
      <w:proofErr w:type="gramEnd"/>
      <w:r>
        <w:rPr>
          <w:rFonts w:ascii="Times New Roman" w:hAnsi="Times New Roman"/>
        </w:rPr>
        <w:t xml:space="preserve"> pour le milieu marin», les États membres sont tenus d’évaluer l’état de leurs mers en ce qui concerne le bruit sous-marin, entre autres, et de prendre des </w:t>
      </w:r>
      <w:r>
        <w:rPr>
          <w:rFonts w:ascii="Times New Roman" w:hAnsi="Times New Roman"/>
        </w:rPr>
        <w:lastRenderedPageBreak/>
        <w:t>mesures pour garantir que le bruit sous-marin se situe à des niveaux qui n’ont pas d’incidence négative sur le milieu marin. Ces niveaux sont en cours de finalisation à l’échelle des experts en vue de leur utilisation dans la détermination du bon état écologique par les États membres. Les programmes de mesures des États membres ont été évalués récemment par la Commission [</w:t>
      </w:r>
      <w:proofErr w:type="gramStart"/>
      <w:r>
        <w:rPr>
          <w:rFonts w:ascii="Times New Roman" w:hAnsi="Times New Roman"/>
        </w:rPr>
        <w:t>COM(</w:t>
      </w:r>
      <w:proofErr w:type="gramEnd"/>
      <w:r>
        <w:rPr>
          <w:rFonts w:ascii="Times New Roman" w:hAnsi="Times New Roman"/>
        </w:rPr>
        <w:t>2018) 562]. Les programmes de mesures mis à jour devaient être notifiés par les États membres à la Commission au plus tard en mars 2022. Le pacte vert pour l’Europe, et plus particulièrement le plan d’action</w:t>
      </w:r>
      <w:proofErr w:type="gramStart"/>
      <w:r>
        <w:rPr>
          <w:rFonts w:ascii="Times New Roman" w:hAnsi="Times New Roman"/>
        </w:rPr>
        <w:t xml:space="preserve"> «zéro</w:t>
      </w:r>
      <w:proofErr w:type="gramEnd"/>
      <w:r>
        <w:rPr>
          <w:rFonts w:ascii="Times New Roman" w:hAnsi="Times New Roman"/>
        </w:rPr>
        <w:t xml:space="preserve"> pollution», ont donné un nouvel élan politique à la lutte contre la pollution sonore sous-marine. Au niveau mondial, l’UE soutient également les travaux en cours de l’Organisation maritime internationale visant à réviser les directives sur la réduction du bruit rayonné sous l’eau, ce qui constitue une étape importante vers un transport maritime durable.</w:t>
      </w:r>
    </w:p>
    <w:bookmarkEnd w:id="8"/>
    <w:p w:rsidR="00CC61CE" w:rsidRDefault="00CC61CE" w:rsidP="00CC61CE">
      <w:pPr>
        <w:widowControl w:val="0"/>
        <w:spacing w:after="120"/>
        <w:ind w:left="57"/>
        <w:rPr>
          <w:rFonts w:ascii="Times New Roman" w:hAnsi="Times New Roman"/>
          <w:szCs w:val="24"/>
        </w:rPr>
      </w:pPr>
      <w:r>
        <w:rPr>
          <w:rFonts w:ascii="Times New Roman" w:hAnsi="Times New Roman"/>
          <w:b/>
        </w:rPr>
        <w:t>Paragraphe 33:</w:t>
      </w:r>
      <w:r>
        <w:rPr>
          <w:rFonts w:ascii="Times New Roman" w:hAnsi="Times New Roman"/>
        </w:rPr>
        <w:t xml:space="preserve"> La Commission tient à rassurer le Parlement sur le fait que tous les efforts sont déployés au sein des ORGP pour garantir l’application cohérente des principes de la PCP et la promotion de conditions de concurrence équitables. La Commission est également constamment guidée, dans le cadre de nos actions au sein des ORGP, par les principes de la PCP, à savoir que les mesures de conservation et de gestion sont adoptées sur la base des meilleurs avis scientifiques disponibles, que les données scientifiques sont constamment améliorées, que les mesures adoptées par ces organisations sont effectivement mises en œuvre, que la conformité est améliorée et que des évaluations régulières des performances sont menées. La Commission encourage également activement la modernisation des organismes régionaux de pêche dans l’Atlantique pour en faire des ORGP à part entière en mesure de prendre des décisions contraignantes pour ses membres.</w:t>
      </w:r>
    </w:p>
    <w:p w:rsidR="00CC61CE" w:rsidRPr="00367980" w:rsidRDefault="00CC61CE" w:rsidP="00CC61CE">
      <w:pPr>
        <w:widowControl w:val="0"/>
        <w:spacing w:after="120"/>
        <w:ind w:left="57"/>
        <w:rPr>
          <w:rFonts w:ascii="Times New Roman" w:hAnsi="Times New Roman"/>
          <w:szCs w:val="24"/>
        </w:rPr>
      </w:pPr>
      <w:r>
        <w:rPr>
          <w:rFonts w:ascii="Times New Roman" w:hAnsi="Times New Roman"/>
          <w:b/>
        </w:rPr>
        <w:t>Points 36 à 41:</w:t>
      </w:r>
      <w:r>
        <w:rPr>
          <w:rFonts w:ascii="Times New Roman" w:hAnsi="Times New Roman"/>
        </w:rPr>
        <w:t xml:space="preserve"> La recherche et l’innovation jouent un rôle essentiel pour libérer tout le potentiel des océans. Horizon Europe, et en particulier la mission</w:t>
      </w:r>
      <w:proofErr w:type="gramStart"/>
      <w:r>
        <w:rPr>
          <w:rFonts w:ascii="Times New Roman" w:hAnsi="Times New Roman"/>
        </w:rPr>
        <w:t xml:space="preserve"> «Restaurer</w:t>
      </w:r>
      <w:proofErr w:type="gramEnd"/>
      <w:r>
        <w:rPr>
          <w:rFonts w:ascii="Times New Roman" w:hAnsi="Times New Roman"/>
        </w:rPr>
        <w:t xml:space="preserve"> notre océan et nos eaux d’ici à 2030», peut contribuer à renforcer les solutions et nous aider à atteindre les objectifs bleus du pacte vert pour l’Europe.</w:t>
      </w:r>
    </w:p>
    <w:p w:rsidR="00CC61CE" w:rsidRPr="00A65589" w:rsidRDefault="00CC61CE" w:rsidP="00CC61CE">
      <w:pPr>
        <w:widowControl w:val="0"/>
        <w:spacing w:after="120"/>
        <w:ind w:left="57"/>
        <w:rPr>
          <w:rFonts w:ascii="Times New Roman" w:hAnsi="Times New Roman"/>
          <w:szCs w:val="24"/>
        </w:rPr>
      </w:pPr>
      <w:r>
        <w:rPr>
          <w:rFonts w:ascii="Times New Roman" w:hAnsi="Times New Roman"/>
        </w:rPr>
        <w:t>Il y a lieu d’intensifier les efforts pour améliorer la connaissance des océans.</w:t>
      </w:r>
      <w:r>
        <w:rPr>
          <w:rFonts w:ascii="Times New Roman" w:hAnsi="Times New Roman"/>
          <w:color w:val="000000"/>
        </w:rPr>
        <w:t xml:space="preserve"> Sur la base de programmes européens tels que </w:t>
      </w:r>
      <w:proofErr w:type="spellStart"/>
      <w:r>
        <w:rPr>
          <w:rFonts w:ascii="Times New Roman" w:hAnsi="Times New Roman"/>
          <w:color w:val="000000"/>
        </w:rPr>
        <w:t>Copernicus</w:t>
      </w:r>
      <w:proofErr w:type="spellEnd"/>
      <w:r>
        <w:rPr>
          <w:rFonts w:ascii="Times New Roman" w:hAnsi="Times New Roman"/>
          <w:color w:val="000000"/>
        </w:rPr>
        <w:t xml:space="preserve"> et </w:t>
      </w:r>
      <w:proofErr w:type="spellStart"/>
      <w:r>
        <w:rPr>
          <w:rFonts w:ascii="Times New Roman" w:hAnsi="Times New Roman"/>
          <w:color w:val="000000"/>
        </w:rPr>
        <w:t>EMODnet</w:t>
      </w:r>
      <w:proofErr w:type="spellEnd"/>
      <w:r>
        <w:rPr>
          <w:rFonts w:ascii="Times New Roman" w:hAnsi="Times New Roman"/>
          <w:color w:val="000000"/>
        </w:rPr>
        <w:t>, la Commission souhaite soutenir la mise en œuvre d’un</w:t>
      </w:r>
      <w:proofErr w:type="gramStart"/>
      <w:r>
        <w:rPr>
          <w:rFonts w:ascii="Times New Roman" w:hAnsi="Times New Roman"/>
          <w:color w:val="000000"/>
        </w:rPr>
        <w:t xml:space="preserve"> «centre</w:t>
      </w:r>
      <w:proofErr w:type="gramEnd"/>
      <w:r>
        <w:rPr>
          <w:rFonts w:ascii="Times New Roman" w:hAnsi="Times New Roman"/>
          <w:color w:val="000000"/>
        </w:rPr>
        <w:t xml:space="preserve"> collaboratif sur la prévision océanique dans le cadre de la décennie des Nations unies» et encourager la création d’un groupe d’experts intergouvernemental sur la durabilité des océans. </w:t>
      </w:r>
      <w:r>
        <w:rPr>
          <w:rFonts w:ascii="Times New Roman" w:hAnsi="Times New Roman"/>
        </w:rPr>
        <w:t>La Commission doit également sensibiliser le public aux océans et améliorer la connaissance des océans, en particulier celle de la jeune génération. L’initiative sur la connaissance des océans, la coalition EU4Ocean, le réseau des écoles bleues européennes et le forum Youth4Ocean jouent un rôle déterminant à cet égard.</w:t>
      </w:r>
    </w:p>
    <w:p w:rsidR="00E857FC" w:rsidRDefault="00E857FC"/>
    <w:sectPr w:rsidR="00E85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CE"/>
    <w:rsid w:val="002F5B9D"/>
    <w:rsid w:val="005644A3"/>
    <w:rsid w:val="00CC61CE"/>
    <w:rsid w:val="00D97EE2"/>
    <w:rsid w:val="00E857FC"/>
    <w:rsid w:val="00F0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4E78"/>
  <w15:chartTrackingRefBased/>
  <w15:docId w15:val="{78B520DD-5733-4CE3-A88F-5AA6F9BF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1CE"/>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har1"/>
    <w:uiPriority w:val="99"/>
    <w:rsid w:val="00CC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b93affe0-5915-11ed-92ed-01aa75ed71a1/language-en/format-PDF/source-274182743" TargetMode="External"/><Relationship Id="rId5" Type="http://schemas.openxmlformats.org/officeDocument/2006/relationships/hyperlink" Target="https://eur-lex.europa.eu/legal-content/FR/TXT/HTML/?uri=CELEX:52021PC0554&amp;from=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4199</Words>
  <Characters>22927</Characters>
  <Application>Microsoft Office Word</Application>
  <DocSecurity>0</DocSecurity>
  <Lines>322</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DEBOIS Jean-Gregoire (DGT)</cp:lastModifiedBy>
  <cp:revision>3</cp:revision>
  <dcterms:created xsi:type="dcterms:W3CDTF">2022-12-13T17:16:00Z</dcterms:created>
  <dcterms:modified xsi:type="dcterms:W3CDTF">2023-01-18T10:55:00Z</dcterms:modified>
</cp:coreProperties>
</file>