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87B03" w14:textId="1570F020" w:rsidR="008022B3" w:rsidRPr="00C33439" w:rsidRDefault="008022B3" w:rsidP="008022B3">
      <w:pPr>
        <w:spacing w:after="600"/>
        <w:jc w:val="center"/>
        <w:rPr>
          <w:rFonts w:ascii="Times New Roman" w:hAnsi="Times New Roman"/>
          <w:b/>
          <w:bCs/>
          <w:szCs w:val="24"/>
        </w:rPr>
      </w:pPr>
      <w:r w:rsidRPr="00C33439">
        <w:rPr>
          <w:rFonts w:ascii="Times New Roman" w:hAnsi="Times New Roman"/>
          <w:b/>
          <w:szCs w:val="24"/>
        </w:rPr>
        <w:t xml:space="preserve">Follow-up to the European Parliament non-legislative resolution </w:t>
      </w:r>
      <w:r w:rsidRPr="00C33439">
        <w:rPr>
          <w:rFonts w:ascii="Times New Roman" w:hAnsi="Times New Roman"/>
          <w:b/>
          <w:bCs/>
          <w:szCs w:val="24"/>
        </w:rPr>
        <w:t xml:space="preserve">on </w:t>
      </w:r>
      <w:r w:rsidR="006C008E">
        <w:rPr>
          <w:rFonts w:ascii="Times New Roman" w:hAnsi="Times New Roman"/>
          <w:b/>
          <w:bCs/>
          <w:szCs w:val="24"/>
        </w:rPr>
        <w:t>the o</w:t>
      </w:r>
      <w:r w:rsidR="007200D4" w:rsidRPr="007200D4">
        <w:rPr>
          <w:rFonts w:ascii="Times New Roman" w:hAnsi="Times New Roman"/>
          <w:b/>
        </w:rPr>
        <w:t>utcome of the Commission’s review of the 15-point action plan</w:t>
      </w:r>
      <w:r w:rsidR="007200D4">
        <w:rPr>
          <w:rFonts w:ascii="Times New Roman" w:hAnsi="Times New Roman"/>
          <w:b/>
        </w:rPr>
        <w:t xml:space="preserve"> </w:t>
      </w:r>
      <w:r w:rsidR="007200D4" w:rsidRPr="007200D4">
        <w:rPr>
          <w:rFonts w:ascii="Times New Roman" w:hAnsi="Times New Roman"/>
          <w:b/>
        </w:rPr>
        <w:t>on trade and sustainable development</w:t>
      </w:r>
    </w:p>
    <w:p w14:paraId="2943E96C" w14:textId="4FB16FF3" w:rsidR="008022B3" w:rsidRPr="00D11033" w:rsidRDefault="008022B3" w:rsidP="008022B3">
      <w:pPr>
        <w:numPr>
          <w:ilvl w:val="0"/>
          <w:numId w:val="35"/>
        </w:numPr>
        <w:ind w:left="567" w:hanging="567"/>
        <w:rPr>
          <w:rFonts w:ascii="Times New Roman" w:hAnsi="Times New Roman"/>
          <w:i/>
          <w:szCs w:val="24"/>
        </w:rPr>
      </w:pPr>
      <w:r>
        <w:rPr>
          <w:rFonts w:ascii="Times New Roman" w:hAnsi="Times New Roman"/>
          <w:b/>
          <w:szCs w:val="24"/>
        </w:rPr>
        <w:t>Resolution</w:t>
      </w:r>
      <w:r w:rsidRPr="00346258">
        <w:rPr>
          <w:rFonts w:ascii="Times New Roman" w:hAnsi="Times New Roman"/>
          <w:b/>
          <w:szCs w:val="24"/>
        </w:rPr>
        <w:t xml:space="preserve"> tabled pursuant to Rules </w:t>
      </w:r>
      <w:r w:rsidRPr="000A5C63">
        <w:rPr>
          <w:rFonts w:ascii="Times New Roman" w:hAnsi="Times New Roman"/>
          <w:b/>
          <w:szCs w:val="24"/>
        </w:rPr>
        <w:t>136</w:t>
      </w:r>
      <w:r w:rsidRPr="00ED4DD7">
        <w:rPr>
          <w:rFonts w:ascii="Times New Roman" w:hAnsi="Times New Roman"/>
          <w:b/>
          <w:szCs w:val="24"/>
        </w:rPr>
        <w:t>(5) of the</w:t>
      </w:r>
      <w:r w:rsidRPr="00346258">
        <w:rPr>
          <w:rFonts w:ascii="Times New Roman" w:hAnsi="Times New Roman"/>
          <w:b/>
          <w:szCs w:val="24"/>
        </w:rPr>
        <w:t xml:space="preserve"> European Parliament's Rul</w:t>
      </w:r>
      <w:r w:rsidRPr="000A5C63">
        <w:rPr>
          <w:rFonts w:ascii="Times New Roman" w:hAnsi="Times New Roman"/>
          <w:b/>
          <w:szCs w:val="24"/>
        </w:rPr>
        <w:t>es of Procedure</w:t>
      </w:r>
    </w:p>
    <w:p w14:paraId="2D5EAB14" w14:textId="77777777" w:rsidR="008022B3" w:rsidRPr="007200D4" w:rsidRDefault="008022B3" w:rsidP="008022B3">
      <w:pPr>
        <w:pStyle w:val="Default"/>
        <w:numPr>
          <w:ilvl w:val="0"/>
          <w:numId w:val="35"/>
        </w:numPr>
        <w:spacing w:after="240"/>
        <w:ind w:left="567" w:hanging="567"/>
        <w:jc w:val="both"/>
        <w:rPr>
          <w:color w:val="auto"/>
          <w:lang w:val="en-US"/>
        </w:rPr>
      </w:pPr>
      <w:r>
        <w:rPr>
          <w:b/>
          <w:color w:val="auto"/>
          <w:lang w:val="en-GB"/>
        </w:rPr>
        <w:t>R</w:t>
      </w:r>
      <w:r w:rsidRPr="001F0B89">
        <w:rPr>
          <w:b/>
          <w:color w:val="auto"/>
          <w:lang w:val="en-GB"/>
        </w:rPr>
        <w:t xml:space="preserve">eference number: </w:t>
      </w:r>
      <w:r w:rsidRPr="009920AF">
        <w:rPr>
          <w:lang w:val="en-GB"/>
        </w:rPr>
        <w:t>2022/26</w:t>
      </w:r>
      <w:r w:rsidR="007200D4">
        <w:rPr>
          <w:lang w:val="en-GB"/>
        </w:rPr>
        <w:t>92</w:t>
      </w:r>
      <w:r w:rsidRPr="009920AF">
        <w:rPr>
          <w:lang w:val="en-GB"/>
        </w:rPr>
        <w:t xml:space="preserve"> (RSP) / </w:t>
      </w:r>
      <w:r w:rsidRPr="009920AF">
        <w:rPr>
          <w:rFonts w:eastAsia="Calibri"/>
          <w:noProof/>
          <w:lang w:val="en-GB" w:eastAsia="en-US"/>
        </w:rPr>
        <w:t>B9-</w:t>
      </w:r>
      <w:r w:rsidRPr="009920AF">
        <w:rPr>
          <w:rFonts w:eastAsia="Calibri"/>
          <w:lang w:val="en-GB" w:eastAsia="en-US"/>
        </w:rPr>
        <w:t>0</w:t>
      </w:r>
      <w:r w:rsidR="007200D4">
        <w:rPr>
          <w:rFonts w:eastAsia="Calibri"/>
          <w:lang w:val="en-GB" w:eastAsia="en-US"/>
        </w:rPr>
        <w:t>415</w:t>
      </w:r>
      <w:r w:rsidRPr="009920AF">
        <w:rPr>
          <w:rFonts w:eastAsia="Calibri"/>
          <w:lang w:val="en-GB" w:eastAsia="en-US"/>
        </w:rPr>
        <w:t>/</w:t>
      </w:r>
      <w:r w:rsidRPr="007200D4">
        <w:rPr>
          <w:rFonts w:eastAsia="Calibri"/>
          <w:lang w:val="en-GB" w:eastAsia="en-US"/>
        </w:rPr>
        <w:t xml:space="preserve">2022 </w:t>
      </w:r>
      <w:r w:rsidRPr="007200D4">
        <w:rPr>
          <w:lang w:val="en-GB"/>
        </w:rPr>
        <w:t>/ P9_TA(2022)0</w:t>
      </w:r>
      <w:r w:rsidR="007200D4" w:rsidRPr="007200D4">
        <w:rPr>
          <w:lang w:val="en-GB"/>
        </w:rPr>
        <w:t>354</w:t>
      </w:r>
    </w:p>
    <w:p w14:paraId="23D5E5C0" w14:textId="77777777" w:rsidR="008022B3" w:rsidRDefault="008022B3" w:rsidP="008022B3">
      <w:pPr>
        <w:numPr>
          <w:ilvl w:val="0"/>
          <w:numId w:val="35"/>
        </w:numPr>
        <w:ind w:left="567" w:hanging="567"/>
        <w:rPr>
          <w:rFonts w:ascii="Times New Roman" w:hAnsi="Times New Roman"/>
          <w:szCs w:val="24"/>
        </w:rPr>
      </w:pPr>
      <w:r w:rsidRPr="001F0B89">
        <w:rPr>
          <w:rFonts w:ascii="Times New Roman" w:hAnsi="Times New Roman"/>
          <w:b/>
          <w:szCs w:val="24"/>
        </w:rPr>
        <w:t>Date of adoption of the resolution:</w:t>
      </w:r>
      <w:r w:rsidRPr="001F0B89">
        <w:rPr>
          <w:rFonts w:ascii="Times New Roman" w:hAnsi="Times New Roman"/>
          <w:szCs w:val="24"/>
        </w:rPr>
        <w:t xml:space="preserve"> </w:t>
      </w:r>
      <w:r w:rsidR="007200D4">
        <w:rPr>
          <w:rFonts w:ascii="Times New Roman" w:hAnsi="Times New Roman"/>
          <w:szCs w:val="24"/>
        </w:rPr>
        <w:t xml:space="preserve">6 October </w:t>
      </w:r>
      <w:r w:rsidRPr="00A8302F">
        <w:rPr>
          <w:rFonts w:ascii="Times New Roman" w:hAnsi="Times New Roman"/>
          <w:szCs w:val="24"/>
        </w:rPr>
        <w:t>2022</w:t>
      </w:r>
    </w:p>
    <w:p w14:paraId="5FDBB52A" w14:textId="77777777" w:rsidR="008022B3" w:rsidRPr="00A8302F" w:rsidRDefault="008022B3" w:rsidP="008022B3">
      <w:pPr>
        <w:numPr>
          <w:ilvl w:val="0"/>
          <w:numId w:val="35"/>
        </w:numPr>
        <w:ind w:left="567" w:hanging="567"/>
        <w:rPr>
          <w:rFonts w:ascii="Times New Roman" w:hAnsi="Times New Roman"/>
          <w:i/>
          <w:szCs w:val="24"/>
        </w:rPr>
      </w:pPr>
      <w:r w:rsidRPr="001F0B89">
        <w:rPr>
          <w:rFonts w:ascii="Times New Roman" w:hAnsi="Times New Roman"/>
          <w:b/>
          <w:szCs w:val="24"/>
        </w:rPr>
        <w:t>Competent Parliamentary Committee:</w:t>
      </w:r>
      <w:r w:rsidRPr="00A0010B">
        <w:rPr>
          <w:rFonts w:ascii="Times New Roman" w:hAnsi="Times New Roman"/>
          <w:b/>
          <w:szCs w:val="24"/>
        </w:rPr>
        <w:t xml:space="preserve"> </w:t>
      </w:r>
      <w:r>
        <w:rPr>
          <w:rFonts w:ascii="Times New Roman" w:hAnsi="Times New Roman"/>
          <w:szCs w:val="24"/>
        </w:rPr>
        <w:t xml:space="preserve">Committee </w:t>
      </w:r>
      <w:r w:rsidRPr="00A8302F">
        <w:rPr>
          <w:rFonts w:ascii="Times New Roman" w:hAnsi="Times New Roman"/>
          <w:szCs w:val="24"/>
        </w:rPr>
        <w:t>on International Trade (INTA)</w:t>
      </w:r>
    </w:p>
    <w:p w14:paraId="0AC1F1DD" w14:textId="77777777" w:rsidR="008022B3" w:rsidRPr="00A8302F" w:rsidRDefault="008022B3" w:rsidP="008022B3">
      <w:pPr>
        <w:widowControl w:val="0"/>
        <w:numPr>
          <w:ilvl w:val="0"/>
          <w:numId w:val="35"/>
        </w:numPr>
        <w:ind w:left="567" w:hanging="567"/>
        <w:rPr>
          <w:rFonts w:ascii="Times New Roman" w:hAnsi="Times New Roman"/>
          <w:b/>
          <w:szCs w:val="24"/>
        </w:rPr>
      </w:pPr>
      <w:r w:rsidRPr="00C33439">
        <w:rPr>
          <w:rFonts w:ascii="Times New Roman" w:hAnsi="Times New Roman"/>
          <w:b/>
          <w:szCs w:val="24"/>
        </w:rPr>
        <w:t>Brief analysis/assessment of the resolution and requests made in it:</w:t>
      </w:r>
      <w:r>
        <w:rPr>
          <w:rFonts w:ascii="Times New Roman" w:hAnsi="Times New Roman"/>
          <w:b/>
          <w:szCs w:val="24"/>
        </w:rPr>
        <w:t xml:space="preserve"> </w:t>
      </w:r>
    </w:p>
    <w:p w14:paraId="39C89C56" w14:textId="04B1D368" w:rsidR="0045389C" w:rsidRDefault="008022B3" w:rsidP="006C008E">
      <w:pPr>
        <w:widowControl w:val="0"/>
        <w:spacing w:after="120"/>
        <w:rPr>
          <w:rFonts w:ascii="Times New Roman" w:hAnsi="Times New Roman"/>
          <w:szCs w:val="24"/>
        </w:rPr>
      </w:pPr>
      <w:r w:rsidRPr="00A8302F">
        <w:rPr>
          <w:rFonts w:ascii="Times New Roman" w:hAnsi="Times New Roman"/>
          <w:szCs w:val="24"/>
        </w:rPr>
        <w:t xml:space="preserve">The Committee on International Trade (INTA) </w:t>
      </w:r>
      <w:r>
        <w:rPr>
          <w:rFonts w:ascii="Times New Roman" w:hAnsi="Times New Roman"/>
          <w:szCs w:val="24"/>
        </w:rPr>
        <w:t xml:space="preserve">of the European Parliament voted, </w:t>
      </w:r>
      <w:r w:rsidRPr="00A8302F">
        <w:rPr>
          <w:rFonts w:ascii="Times New Roman" w:hAnsi="Times New Roman"/>
          <w:szCs w:val="24"/>
        </w:rPr>
        <w:t>on 1</w:t>
      </w:r>
      <w:r w:rsidR="00C737D1">
        <w:rPr>
          <w:rFonts w:ascii="Times New Roman" w:hAnsi="Times New Roman"/>
          <w:szCs w:val="24"/>
        </w:rPr>
        <w:t xml:space="preserve">4 July </w:t>
      </w:r>
      <w:r w:rsidRPr="00A8302F">
        <w:rPr>
          <w:rFonts w:ascii="Times New Roman" w:hAnsi="Times New Roman"/>
          <w:szCs w:val="24"/>
        </w:rPr>
        <w:t>2022</w:t>
      </w:r>
      <w:r>
        <w:rPr>
          <w:rFonts w:ascii="Times New Roman" w:hAnsi="Times New Roman"/>
          <w:szCs w:val="24"/>
        </w:rPr>
        <w:t>,</w:t>
      </w:r>
      <w:r w:rsidRPr="00A8302F">
        <w:rPr>
          <w:rFonts w:ascii="Times New Roman" w:hAnsi="Times New Roman"/>
          <w:szCs w:val="24"/>
        </w:rPr>
        <w:t xml:space="preserve"> </w:t>
      </w:r>
      <w:r w:rsidR="00D24096" w:rsidRPr="00D24096">
        <w:rPr>
          <w:rFonts w:ascii="Times New Roman" w:hAnsi="Times New Roman"/>
          <w:szCs w:val="24"/>
        </w:rPr>
        <w:t xml:space="preserve">on the Oral Question O-29/2022 and </w:t>
      </w:r>
      <w:r w:rsidRPr="00A8302F">
        <w:rPr>
          <w:rFonts w:ascii="Times New Roman" w:hAnsi="Times New Roman"/>
          <w:szCs w:val="24"/>
        </w:rPr>
        <w:t xml:space="preserve">on a motion for a resolution on </w:t>
      </w:r>
      <w:r w:rsidR="00C737D1" w:rsidRPr="006A194D">
        <w:rPr>
          <w:rFonts w:ascii="Times New Roman" w:hAnsi="Times New Roman"/>
          <w:i/>
          <w:szCs w:val="24"/>
        </w:rPr>
        <w:t>“Outcome of the Commission’s review of the 15-Point Action Plan on trade and sustainable development”</w:t>
      </w:r>
      <w:r w:rsidRPr="00A8302F">
        <w:rPr>
          <w:rFonts w:ascii="Times New Roman" w:hAnsi="Times New Roman"/>
          <w:szCs w:val="24"/>
        </w:rPr>
        <w:t xml:space="preserve">. The </w:t>
      </w:r>
      <w:r w:rsidR="00D24096" w:rsidRPr="00D24096">
        <w:rPr>
          <w:rFonts w:ascii="Times New Roman" w:hAnsi="Times New Roman"/>
          <w:szCs w:val="24"/>
        </w:rPr>
        <w:t xml:space="preserve">oral question was debated </w:t>
      </w:r>
      <w:r w:rsidR="00D24096" w:rsidRPr="00A8302F">
        <w:rPr>
          <w:rFonts w:ascii="Times New Roman" w:hAnsi="Times New Roman"/>
          <w:szCs w:val="24"/>
        </w:rPr>
        <w:t xml:space="preserve">in the European Parliament plenary on </w:t>
      </w:r>
      <w:r w:rsidR="00D24096">
        <w:rPr>
          <w:rFonts w:ascii="Times New Roman" w:hAnsi="Times New Roman"/>
          <w:szCs w:val="24"/>
        </w:rPr>
        <w:t xml:space="preserve">5 October </w:t>
      </w:r>
      <w:r w:rsidR="00D24096" w:rsidRPr="00A8302F">
        <w:rPr>
          <w:rFonts w:ascii="Times New Roman" w:hAnsi="Times New Roman"/>
          <w:szCs w:val="24"/>
        </w:rPr>
        <w:t>2022</w:t>
      </w:r>
      <w:r w:rsidR="00D24096">
        <w:rPr>
          <w:rFonts w:ascii="Times New Roman" w:hAnsi="Times New Roman"/>
          <w:szCs w:val="24"/>
        </w:rPr>
        <w:t xml:space="preserve"> </w:t>
      </w:r>
      <w:r w:rsidR="00D24096" w:rsidRPr="00D24096">
        <w:rPr>
          <w:rFonts w:ascii="Times New Roman" w:hAnsi="Times New Roman"/>
          <w:szCs w:val="24"/>
        </w:rPr>
        <w:t xml:space="preserve">and the </w:t>
      </w:r>
      <w:r w:rsidRPr="00A8302F">
        <w:rPr>
          <w:rFonts w:ascii="Times New Roman" w:hAnsi="Times New Roman"/>
          <w:szCs w:val="24"/>
        </w:rPr>
        <w:t xml:space="preserve">draft resolution </w:t>
      </w:r>
      <w:r>
        <w:rPr>
          <w:rFonts w:ascii="Times New Roman" w:hAnsi="Times New Roman"/>
          <w:szCs w:val="24"/>
        </w:rPr>
        <w:t>was adopted</w:t>
      </w:r>
      <w:r w:rsidRPr="00A8302F">
        <w:rPr>
          <w:rFonts w:ascii="Times New Roman" w:hAnsi="Times New Roman"/>
          <w:szCs w:val="24"/>
        </w:rPr>
        <w:t xml:space="preserve"> on </w:t>
      </w:r>
      <w:r w:rsidR="00D24096">
        <w:rPr>
          <w:rFonts w:ascii="Times New Roman" w:hAnsi="Times New Roman"/>
          <w:szCs w:val="24"/>
        </w:rPr>
        <w:t xml:space="preserve">the following day </w:t>
      </w:r>
      <w:r w:rsidR="000A5C63">
        <w:rPr>
          <w:rFonts w:ascii="Times New Roman" w:hAnsi="Times New Roman"/>
          <w:szCs w:val="24"/>
        </w:rPr>
        <w:t>by show of hands</w:t>
      </w:r>
      <w:r w:rsidR="006C008E">
        <w:rPr>
          <w:rFonts w:ascii="Times New Roman" w:hAnsi="Times New Roman"/>
          <w:szCs w:val="24"/>
        </w:rPr>
        <w:t>.</w:t>
      </w:r>
    </w:p>
    <w:p w14:paraId="602271EC" w14:textId="145A11E6" w:rsidR="0045389C" w:rsidRPr="0045389C" w:rsidRDefault="008022B3" w:rsidP="006C008E">
      <w:pPr>
        <w:widowControl w:val="0"/>
        <w:spacing w:after="120"/>
        <w:rPr>
          <w:rFonts w:ascii="Times New Roman" w:hAnsi="Times New Roman"/>
          <w:szCs w:val="24"/>
        </w:rPr>
      </w:pPr>
      <w:r w:rsidRPr="00A8302F">
        <w:rPr>
          <w:rFonts w:ascii="Times New Roman" w:hAnsi="Times New Roman"/>
          <w:szCs w:val="24"/>
        </w:rPr>
        <w:t xml:space="preserve">The resolution </w:t>
      </w:r>
      <w:r w:rsidR="0045389C" w:rsidRPr="0045389C">
        <w:rPr>
          <w:rFonts w:ascii="Times New Roman" w:hAnsi="Times New Roman"/>
          <w:szCs w:val="24"/>
        </w:rPr>
        <w:t>emphasises t</w:t>
      </w:r>
      <w:r w:rsidR="006A194D">
        <w:rPr>
          <w:rFonts w:ascii="Times New Roman" w:hAnsi="Times New Roman"/>
          <w:szCs w:val="24"/>
        </w:rPr>
        <w:t>hat EU</w:t>
      </w:r>
      <w:r w:rsidR="0045389C" w:rsidRPr="0045389C">
        <w:rPr>
          <w:rFonts w:ascii="Times New Roman" w:hAnsi="Times New Roman"/>
          <w:szCs w:val="24"/>
        </w:rPr>
        <w:t xml:space="preserve"> trade agreements must contribute to </w:t>
      </w:r>
      <w:r w:rsidR="006A194D">
        <w:rPr>
          <w:rFonts w:ascii="Times New Roman" w:hAnsi="Times New Roman"/>
          <w:szCs w:val="24"/>
        </w:rPr>
        <w:t xml:space="preserve">sustainability and to </w:t>
      </w:r>
      <w:r w:rsidR="0045389C" w:rsidRPr="0045389C">
        <w:rPr>
          <w:rFonts w:ascii="Times New Roman" w:hAnsi="Times New Roman"/>
          <w:szCs w:val="24"/>
        </w:rPr>
        <w:t xml:space="preserve">a </w:t>
      </w:r>
      <w:r w:rsidR="00012925">
        <w:rPr>
          <w:rFonts w:ascii="Times New Roman" w:hAnsi="Times New Roman"/>
          <w:szCs w:val="24"/>
        </w:rPr>
        <w:t>climate</w:t>
      </w:r>
      <w:r w:rsidR="0045389C" w:rsidRPr="0045389C">
        <w:rPr>
          <w:rFonts w:ascii="Times New Roman" w:hAnsi="Times New Roman"/>
          <w:szCs w:val="24"/>
        </w:rPr>
        <w:t>-neutral economy by prioriti</w:t>
      </w:r>
      <w:r w:rsidR="00BB7B4A">
        <w:rPr>
          <w:rFonts w:ascii="Times New Roman" w:hAnsi="Times New Roman"/>
          <w:szCs w:val="24"/>
        </w:rPr>
        <w:t>s</w:t>
      </w:r>
      <w:r w:rsidR="0045389C" w:rsidRPr="0045389C">
        <w:rPr>
          <w:rFonts w:ascii="Times New Roman" w:hAnsi="Times New Roman"/>
          <w:szCs w:val="24"/>
        </w:rPr>
        <w:t xml:space="preserve">ing trade in goods </w:t>
      </w:r>
      <w:r w:rsidR="001051A2">
        <w:rPr>
          <w:rFonts w:ascii="Times New Roman" w:hAnsi="Times New Roman"/>
          <w:szCs w:val="24"/>
        </w:rPr>
        <w:t xml:space="preserve">produced </w:t>
      </w:r>
      <w:r w:rsidR="0045389C" w:rsidRPr="0045389C">
        <w:rPr>
          <w:rFonts w:ascii="Times New Roman" w:hAnsi="Times New Roman"/>
          <w:szCs w:val="24"/>
        </w:rPr>
        <w:t>and services provided through sustainable practices</w:t>
      </w:r>
      <w:r w:rsidR="0045389C">
        <w:rPr>
          <w:rFonts w:ascii="Times New Roman" w:hAnsi="Times New Roman"/>
          <w:szCs w:val="24"/>
        </w:rPr>
        <w:t xml:space="preserve">. The </w:t>
      </w:r>
      <w:r w:rsidR="0045389C" w:rsidRPr="00A8302F">
        <w:rPr>
          <w:rFonts w:ascii="Times New Roman" w:hAnsi="Times New Roman"/>
          <w:szCs w:val="24"/>
        </w:rPr>
        <w:t xml:space="preserve">resolution </w:t>
      </w:r>
      <w:r w:rsidR="00CF1EC0">
        <w:rPr>
          <w:rFonts w:ascii="Times New Roman" w:hAnsi="Times New Roman"/>
          <w:szCs w:val="24"/>
        </w:rPr>
        <w:t xml:space="preserve">welcomes the </w:t>
      </w:r>
      <w:r w:rsidR="000A5C63">
        <w:rPr>
          <w:rFonts w:ascii="Times New Roman" w:hAnsi="Times New Roman"/>
          <w:szCs w:val="24"/>
        </w:rPr>
        <w:t xml:space="preserve">Commission </w:t>
      </w:r>
      <w:r w:rsidR="00CF1EC0">
        <w:rPr>
          <w:rFonts w:ascii="Times New Roman" w:hAnsi="Times New Roman"/>
          <w:szCs w:val="24"/>
        </w:rPr>
        <w:t>Communication and t</w:t>
      </w:r>
      <w:r w:rsidR="00CF1EC0" w:rsidRPr="00CF1EC0">
        <w:rPr>
          <w:rFonts w:ascii="Times New Roman" w:hAnsi="Times New Roman"/>
          <w:szCs w:val="24"/>
        </w:rPr>
        <w:t xml:space="preserve">akes note with satisfaction of the Commission’s intention to reinforce </w:t>
      </w:r>
      <w:r w:rsidR="00DB24FD">
        <w:rPr>
          <w:rFonts w:ascii="Times New Roman" w:hAnsi="Times New Roman"/>
          <w:szCs w:val="24"/>
        </w:rPr>
        <w:t>Trade and Sustainable Development (</w:t>
      </w:r>
      <w:r w:rsidR="00CF1EC0" w:rsidRPr="00CF1EC0">
        <w:rPr>
          <w:rFonts w:ascii="Times New Roman" w:hAnsi="Times New Roman"/>
          <w:szCs w:val="24"/>
        </w:rPr>
        <w:t>TSD</w:t>
      </w:r>
      <w:r w:rsidR="00DB24FD">
        <w:rPr>
          <w:rFonts w:ascii="Times New Roman" w:hAnsi="Times New Roman"/>
          <w:szCs w:val="24"/>
        </w:rPr>
        <w:t>)</w:t>
      </w:r>
      <w:r w:rsidR="00CF1EC0" w:rsidRPr="00CF1EC0">
        <w:rPr>
          <w:rFonts w:ascii="Times New Roman" w:hAnsi="Times New Roman"/>
          <w:szCs w:val="24"/>
        </w:rPr>
        <w:t xml:space="preserve"> chapters</w:t>
      </w:r>
      <w:r w:rsidR="00CF1EC0">
        <w:rPr>
          <w:rFonts w:ascii="Times New Roman" w:hAnsi="Times New Roman"/>
          <w:szCs w:val="24"/>
        </w:rPr>
        <w:t xml:space="preserve"> of EU trade agreements</w:t>
      </w:r>
      <w:r w:rsidR="00001648">
        <w:rPr>
          <w:rFonts w:ascii="Times New Roman" w:hAnsi="Times New Roman"/>
          <w:szCs w:val="24"/>
        </w:rPr>
        <w:t xml:space="preserve">. </w:t>
      </w:r>
      <w:r w:rsidR="0045389C">
        <w:rPr>
          <w:rFonts w:ascii="Times New Roman" w:hAnsi="Times New Roman"/>
          <w:szCs w:val="24"/>
        </w:rPr>
        <w:t xml:space="preserve">The </w:t>
      </w:r>
      <w:r w:rsidR="0045389C" w:rsidRPr="00A8302F">
        <w:rPr>
          <w:rFonts w:ascii="Times New Roman" w:hAnsi="Times New Roman"/>
          <w:szCs w:val="24"/>
        </w:rPr>
        <w:t>resolution</w:t>
      </w:r>
      <w:r w:rsidR="0045389C">
        <w:rPr>
          <w:rFonts w:ascii="Times New Roman" w:hAnsi="Times New Roman"/>
          <w:szCs w:val="24"/>
        </w:rPr>
        <w:t xml:space="preserve"> underlines the importance of </w:t>
      </w:r>
      <w:r w:rsidR="006A194D">
        <w:rPr>
          <w:rFonts w:ascii="Times New Roman" w:hAnsi="Times New Roman"/>
          <w:szCs w:val="24"/>
        </w:rPr>
        <w:t xml:space="preserve">advancing </w:t>
      </w:r>
      <w:r w:rsidR="0045389C">
        <w:rPr>
          <w:rFonts w:ascii="Times New Roman" w:hAnsi="Times New Roman"/>
          <w:szCs w:val="24"/>
        </w:rPr>
        <w:t xml:space="preserve">in all policy areas and action points </w:t>
      </w:r>
      <w:r w:rsidR="006A194D">
        <w:rPr>
          <w:rFonts w:ascii="Times New Roman" w:hAnsi="Times New Roman"/>
          <w:szCs w:val="24"/>
        </w:rPr>
        <w:t xml:space="preserve">identified by </w:t>
      </w:r>
      <w:r w:rsidR="0045389C">
        <w:rPr>
          <w:rFonts w:ascii="Times New Roman" w:hAnsi="Times New Roman"/>
          <w:szCs w:val="24"/>
        </w:rPr>
        <w:t xml:space="preserve">the Communication, namely </w:t>
      </w:r>
      <w:r w:rsidR="002D23F8">
        <w:rPr>
          <w:rFonts w:ascii="Times New Roman" w:hAnsi="Times New Roman"/>
          <w:szCs w:val="24"/>
        </w:rPr>
        <w:t>achieving</w:t>
      </w:r>
      <w:r w:rsidR="0045389C">
        <w:rPr>
          <w:rFonts w:ascii="Times New Roman" w:hAnsi="Times New Roman"/>
          <w:szCs w:val="24"/>
        </w:rPr>
        <w:t xml:space="preserve"> r</w:t>
      </w:r>
      <w:r w:rsidR="0045389C" w:rsidRPr="0045389C">
        <w:rPr>
          <w:rFonts w:ascii="Times New Roman" w:hAnsi="Times New Roman"/>
          <w:szCs w:val="24"/>
        </w:rPr>
        <w:t>esults-oriented and priority-based en</w:t>
      </w:r>
      <w:r w:rsidR="0045389C">
        <w:rPr>
          <w:rFonts w:ascii="Times New Roman" w:hAnsi="Times New Roman"/>
          <w:szCs w:val="24"/>
        </w:rPr>
        <w:t>gagement with partner countries, m</w:t>
      </w:r>
      <w:r w:rsidR="0045389C" w:rsidRPr="0045389C">
        <w:rPr>
          <w:rFonts w:ascii="Times New Roman" w:hAnsi="Times New Roman"/>
          <w:szCs w:val="24"/>
        </w:rPr>
        <w:t>ore participatio</w:t>
      </w:r>
      <w:r w:rsidR="009E4648">
        <w:rPr>
          <w:rFonts w:ascii="Times New Roman" w:hAnsi="Times New Roman"/>
          <w:szCs w:val="24"/>
        </w:rPr>
        <w:t>n</w:t>
      </w:r>
      <w:r w:rsidR="00BB7B4A">
        <w:rPr>
          <w:rFonts w:ascii="Times New Roman" w:hAnsi="Times New Roman"/>
          <w:szCs w:val="24"/>
        </w:rPr>
        <w:t xml:space="preserve"> of</w:t>
      </w:r>
      <w:r w:rsidR="009E4648">
        <w:rPr>
          <w:rFonts w:ascii="Times New Roman" w:hAnsi="Times New Roman"/>
          <w:szCs w:val="24"/>
        </w:rPr>
        <w:t xml:space="preserve"> and support for civil s</w:t>
      </w:r>
      <w:r w:rsidR="0045389C">
        <w:rPr>
          <w:rFonts w:ascii="Times New Roman" w:hAnsi="Times New Roman"/>
          <w:szCs w:val="24"/>
        </w:rPr>
        <w:t xml:space="preserve">ociety, and </w:t>
      </w:r>
      <w:r w:rsidR="00C27095">
        <w:rPr>
          <w:rFonts w:ascii="Times New Roman" w:hAnsi="Times New Roman"/>
          <w:szCs w:val="24"/>
        </w:rPr>
        <w:t xml:space="preserve">a </w:t>
      </w:r>
      <w:r w:rsidR="0045389C">
        <w:rPr>
          <w:rFonts w:ascii="Times New Roman" w:hAnsi="Times New Roman"/>
          <w:szCs w:val="24"/>
        </w:rPr>
        <w:t>s</w:t>
      </w:r>
      <w:r w:rsidR="0045389C" w:rsidRPr="0045389C">
        <w:rPr>
          <w:rFonts w:ascii="Times New Roman" w:hAnsi="Times New Roman"/>
          <w:szCs w:val="24"/>
        </w:rPr>
        <w:t>tronger focus o</w:t>
      </w:r>
      <w:r w:rsidR="0045389C">
        <w:rPr>
          <w:rFonts w:ascii="Times New Roman" w:hAnsi="Times New Roman"/>
          <w:szCs w:val="24"/>
        </w:rPr>
        <w:t>n implementation and enforcement</w:t>
      </w:r>
      <w:r w:rsidR="00BB7B4A">
        <w:rPr>
          <w:rFonts w:ascii="Times New Roman" w:hAnsi="Times New Roman"/>
          <w:szCs w:val="24"/>
        </w:rPr>
        <w:t xml:space="preserve"> of sustainability commitments</w:t>
      </w:r>
      <w:r w:rsidR="00C47A0C">
        <w:rPr>
          <w:rFonts w:ascii="Times New Roman" w:hAnsi="Times New Roman"/>
          <w:szCs w:val="24"/>
        </w:rPr>
        <w:t xml:space="preserve"> in trade agreements</w:t>
      </w:r>
      <w:r w:rsidR="0045389C">
        <w:rPr>
          <w:rFonts w:ascii="Times New Roman" w:hAnsi="Times New Roman"/>
          <w:szCs w:val="24"/>
        </w:rPr>
        <w:t>.</w:t>
      </w:r>
    </w:p>
    <w:p w14:paraId="24794D0B" w14:textId="2229DC07" w:rsidR="000D4DF4" w:rsidRDefault="006A194D" w:rsidP="006C008E">
      <w:pPr>
        <w:widowControl w:val="0"/>
        <w:spacing w:after="120"/>
        <w:rPr>
          <w:rFonts w:ascii="Times New Roman" w:hAnsi="Times New Roman"/>
          <w:szCs w:val="24"/>
        </w:rPr>
      </w:pPr>
      <w:r>
        <w:rPr>
          <w:rFonts w:ascii="Times New Roman" w:hAnsi="Times New Roman"/>
          <w:szCs w:val="24"/>
        </w:rPr>
        <w:t xml:space="preserve">In </w:t>
      </w:r>
      <w:r w:rsidR="000A5C63">
        <w:rPr>
          <w:rFonts w:ascii="Times New Roman" w:hAnsi="Times New Roman"/>
          <w:szCs w:val="24"/>
        </w:rPr>
        <w:t>particular</w:t>
      </w:r>
      <w:r>
        <w:rPr>
          <w:rFonts w:ascii="Times New Roman" w:hAnsi="Times New Roman"/>
          <w:szCs w:val="24"/>
        </w:rPr>
        <w:t>, t</w:t>
      </w:r>
      <w:r w:rsidRPr="00A8302F">
        <w:rPr>
          <w:rFonts w:ascii="Times New Roman" w:hAnsi="Times New Roman"/>
          <w:szCs w:val="24"/>
        </w:rPr>
        <w:t xml:space="preserve">he resolution </w:t>
      </w:r>
      <w:r>
        <w:rPr>
          <w:rFonts w:ascii="Times New Roman" w:hAnsi="Times New Roman"/>
          <w:szCs w:val="24"/>
        </w:rPr>
        <w:t xml:space="preserve">calls for action in a number of these areas, such as </w:t>
      </w:r>
      <w:r w:rsidR="00CF1EC0" w:rsidRPr="00684FB9">
        <w:rPr>
          <w:rFonts w:ascii="Times New Roman" w:hAnsi="Times New Roman"/>
          <w:szCs w:val="24"/>
        </w:rPr>
        <w:t>country-</w:t>
      </w:r>
      <w:r>
        <w:rPr>
          <w:rFonts w:ascii="Times New Roman" w:hAnsi="Times New Roman"/>
          <w:szCs w:val="24"/>
        </w:rPr>
        <w:t xml:space="preserve">based implementation priorities and roadmaps, </w:t>
      </w:r>
      <w:r w:rsidR="00684FB9" w:rsidRPr="00684FB9">
        <w:rPr>
          <w:rFonts w:ascii="Times New Roman" w:hAnsi="Times New Roman"/>
          <w:szCs w:val="24"/>
        </w:rPr>
        <w:t>scoping exercise</w:t>
      </w:r>
      <w:r>
        <w:rPr>
          <w:rFonts w:ascii="Times New Roman" w:hAnsi="Times New Roman"/>
          <w:szCs w:val="24"/>
        </w:rPr>
        <w:t xml:space="preserve">s and </w:t>
      </w:r>
      <w:r w:rsidR="00684FB9" w:rsidRPr="00684FB9">
        <w:rPr>
          <w:rFonts w:ascii="Times New Roman" w:hAnsi="Times New Roman"/>
          <w:szCs w:val="24"/>
        </w:rPr>
        <w:t>s</w:t>
      </w:r>
      <w:r>
        <w:rPr>
          <w:rFonts w:ascii="Times New Roman" w:hAnsi="Times New Roman"/>
          <w:szCs w:val="24"/>
        </w:rPr>
        <w:t xml:space="preserve">ustainable impact assessments, </w:t>
      </w:r>
      <w:r w:rsidR="00684FB9" w:rsidRPr="00684FB9">
        <w:rPr>
          <w:rFonts w:ascii="Times New Roman" w:hAnsi="Times New Roman"/>
          <w:szCs w:val="24"/>
        </w:rPr>
        <w:t xml:space="preserve">the </w:t>
      </w:r>
      <w:r w:rsidR="000D4DF4">
        <w:rPr>
          <w:rFonts w:ascii="Times New Roman" w:hAnsi="Times New Roman"/>
          <w:szCs w:val="24"/>
        </w:rPr>
        <w:t xml:space="preserve">role of </w:t>
      </w:r>
      <w:r w:rsidR="001F4C08">
        <w:rPr>
          <w:rFonts w:ascii="Times New Roman" w:hAnsi="Times New Roman"/>
          <w:szCs w:val="24"/>
        </w:rPr>
        <w:t xml:space="preserve">different </w:t>
      </w:r>
      <w:r w:rsidR="000D4DF4">
        <w:rPr>
          <w:rFonts w:ascii="Times New Roman" w:hAnsi="Times New Roman"/>
          <w:szCs w:val="24"/>
        </w:rPr>
        <w:t>actors in monitoring TSD implementatio</w:t>
      </w:r>
      <w:r w:rsidR="000A5C63">
        <w:rPr>
          <w:rFonts w:ascii="Times New Roman" w:hAnsi="Times New Roman"/>
          <w:szCs w:val="24"/>
        </w:rPr>
        <w:t>n (</w:t>
      </w:r>
      <w:r w:rsidR="000D4DF4" w:rsidRPr="00581821">
        <w:rPr>
          <w:rFonts w:ascii="Times New Roman" w:hAnsi="Times New Roman"/>
          <w:szCs w:val="24"/>
        </w:rPr>
        <w:t xml:space="preserve">Parliament’s </w:t>
      </w:r>
      <w:r w:rsidR="000D4DF4">
        <w:rPr>
          <w:rFonts w:ascii="Times New Roman" w:hAnsi="Times New Roman"/>
          <w:szCs w:val="24"/>
        </w:rPr>
        <w:t xml:space="preserve">INTA Committee, Member States, </w:t>
      </w:r>
      <w:r w:rsidRPr="00684FB9">
        <w:rPr>
          <w:rFonts w:ascii="Times New Roman" w:hAnsi="Times New Roman"/>
          <w:szCs w:val="24"/>
        </w:rPr>
        <w:t>Commission services</w:t>
      </w:r>
      <w:r w:rsidR="000D4DF4">
        <w:rPr>
          <w:rFonts w:ascii="Times New Roman" w:hAnsi="Times New Roman"/>
          <w:szCs w:val="24"/>
        </w:rPr>
        <w:t xml:space="preserve">, </w:t>
      </w:r>
      <w:r>
        <w:rPr>
          <w:rFonts w:ascii="Times New Roman" w:hAnsi="Times New Roman"/>
          <w:szCs w:val="24"/>
        </w:rPr>
        <w:t xml:space="preserve">EU Delegations, </w:t>
      </w:r>
      <w:r w:rsidR="00581821" w:rsidRPr="00581821">
        <w:rPr>
          <w:rFonts w:ascii="Times New Roman" w:hAnsi="Times New Roman"/>
          <w:szCs w:val="24"/>
        </w:rPr>
        <w:t>domestic advisory groups (DAGs)</w:t>
      </w:r>
      <w:r w:rsidR="000D4DF4">
        <w:rPr>
          <w:rFonts w:ascii="Times New Roman" w:hAnsi="Times New Roman"/>
          <w:szCs w:val="24"/>
        </w:rPr>
        <w:t xml:space="preserve">, civil society organisations), </w:t>
      </w:r>
      <w:r w:rsidR="00581821" w:rsidRPr="00581821">
        <w:rPr>
          <w:rFonts w:ascii="Times New Roman" w:hAnsi="Times New Roman"/>
          <w:szCs w:val="24"/>
        </w:rPr>
        <w:t>the role of disput</w:t>
      </w:r>
      <w:r w:rsidR="000D4DF4">
        <w:rPr>
          <w:rFonts w:ascii="Times New Roman" w:hAnsi="Times New Roman"/>
          <w:szCs w:val="24"/>
        </w:rPr>
        <w:t>e settlement in TSD enforcement</w:t>
      </w:r>
      <w:r w:rsidR="00581821" w:rsidRPr="00581821">
        <w:rPr>
          <w:rFonts w:ascii="Times New Roman" w:hAnsi="Times New Roman"/>
          <w:szCs w:val="24"/>
        </w:rPr>
        <w:t xml:space="preserve"> </w:t>
      </w:r>
      <w:r w:rsidR="000A5C63">
        <w:rPr>
          <w:rFonts w:ascii="Times New Roman" w:hAnsi="Times New Roman"/>
          <w:szCs w:val="24"/>
        </w:rPr>
        <w:t xml:space="preserve">as well as </w:t>
      </w:r>
      <w:r w:rsidR="00581821" w:rsidRPr="00581821">
        <w:rPr>
          <w:rFonts w:ascii="Times New Roman" w:hAnsi="Times New Roman"/>
          <w:szCs w:val="24"/>
        </w:rPr>
        <w:t xml:space="preserve">the </w:t>
      </w:r>
      <w:r w:rsidR="000D4DF4">
        <w:rPr>
          <w:rFonts w:ascii="Times New Roman" w:hAnsi="Times New Roman"/>
          <w:szCs w:val="24"/>
        </w:rPr>
        <w:t xml:space="preserve">new </w:t>
      </w:r>
      <w:r w:rsidR="00581821" w:rsidRPr="00581821">
        <w:rPr>
          <w:rFonts w:ascii="Times New Roman" w:hAnsi="Times New Roman"/>
          <w:szCs w:val="24"/>
        </w:rPr>
        <w:t>compliance stage</w:t>
      </w:r>
      <w:r w:rsidR="000D4DF4">
        <w:rPr>
          <w:rFonts w:ascii="Times New Roman" w:hAnsi="Times New Roman"/>
          <w:szCs w:val="24"/>
        </w:rPr>
        <w:t xml:space="preserve"> and sanctions, the relevance of TSD commitment</w:t>
      </w:r>
      <w:r w:rsidR="009E4648">
        <w:rPr>
          <w:rFonts w:ascii="Times New Roman" w:hAnsi="Times New Roman"/>
          <w:szCs w:val="24"/>
        </w:rPr>
        <w:t xml:space="preserve">s </w:t>
      </w:r>
      <w:r w:rsidR="00C47A0C">
        <w:rPr>
          <w:rFonts w:ascii="Times New Roman" w:hAnsi="Times New Roman"/>
          <w:szCs w:val="24"/>
        </w:rPr>
        <w:t>i</w:t>
      </w:r>
      <w:r w:rsidR="009E4648">
        <w:rPr>
          <w:rFonts w:ascii="Times New Roman" w:hAnsi="Times New Roman"/>
          <w:szCs w:val="24"/>
        </w:rPr>
        <w:t>n a number of areas (</w:t>
      </w:r>
      <w:r w:rsidR="000D4DF4">
        <w:rPr>
          <w:rFonts w:ascii="Times New Roman" w:hAnsi="Times New Roman"/>
          <w:szCs w:val="24"/>
        </w:rPr>
        <w:t xml:space="preserve">labour, climate change, biodiversity, gender), the importance of </w:t>
      </w:r>
      <w:r w:rsidR="001462A0">
        <w:rPr>
          <w:rFonts w:ascii="Times New Roman" w:hAnsi="Times New Roman"/>
          <w:szCs w:val="24"/>
        </w:rPr>
        <w:t xml:space="preserve">multilateral action (alongside bilateral trade agreements) as well as of EU </w:t>
      </w:r>
      <w:r w:rsidR="000D4DF4">
        <w:rPr>
          <w:rFonts w:ascii="Times New Roman" w:hAnsi="Times New Roman"/>
          <w:szCs w:val="24"/>
        </w:rPr>
        <w:t xml:space="preserve">autonomous </w:t>
      </w:r>
      <w:r w:rsidR="009E4648">
        <w:rPr>
          <w:rFonts w:ascii="Times New Roman" w:hAnsi="Times New Roman"/>
          <w:szCs w:val="24"/>
        </w:rPr>
        <w:t>instruments (</w:t>
      </w:r>
      <w:r w:rsidR="001462A0" w:rsidRPr="001462A0">
        <w:rPr>
          <w:rFonts w:ascii="Times New Roman" w:hAnsi="Times New Roman"/>
          <w:szCs w:val="24"/>
        </w:rPr>
        <w:t xml:space="preserve">climate action, deforestation, </w:t>
      </w:r>
      <w:r w:rsidR="001462A0">
        <w:rPr>
          <w:rFonts w:ascii="Times New Roman" w:hAnsi="Times New Roman"/>
          <w:szCs w:val="24"/>
        </w:rPr>
        <w:t xml:space="preserve">corporate sustainability and </w:t>
      </w:r>
      <w:r w:rsidR="001462A0" w:rsidRPr="001462A0">
        <w:rPr>
          <w:rFonts w:ascii="Times New Roman" w:hAnsi="Times New Roman"/>
          <w:szCs w:val="24"/>
        </w:rPr>
        <w:t>due</w:t>
      </w:r>
      <w:r w:rsidR="001462A0">
        <w:rPr>
          <w:rFonts w:ascii="Times New Roman" w:hAnsi="Times New Roman"/>
          <w:szCs w:val="24"/>
        </w:rPr>
        <w:t xml:space="preserve"> diligence, </w:t>
      </w:r>
      <w:r w:rsidR="001462A0" w:rsidRPr="001462A0">
        <w:rPr>
          <w:rFonts w:ascii="Times New Roman" w:hAnsi="Times New Roman"/>
          <w:szCs w:val="24"/>
        </w:rPr>
        <w:t>forced labour, circular economy and the green energy</w:t>
      </w:r>
      <w:r w:rsidR="001462A0">
        <w:rPr>
          <w:rFonts w:ascii="Times New Roman" w:hAnsi="Times New Roman"/>
          <w:szCs w:val="24"/>
        </w:rPr>
        <w:t xml:space="preserve"> transition)</w:t>
      </w:r>
      <w:r w:rsidR="000D4DF4">
        <w:rPr>
          <w:rFonts w:ascii="Times New Roman" w:hAnsi="Times New Roman"/>
          <w:szCs w:val="24"/>
        </w:rPr>
        <w:t xml:space="preserve"> and the application of the principles of the Communication to </w:t>
      </w:r>
      <w:r w:rsidR="000D4DF4" w:rsidRPr="000D4DF4">
        <w:rPr>
          <w:rFonts w:ascii="Times New Roman" w:hAnsi="Times New Roman"/>
          <w:szCs w:val="24"/>
        </w:rPr>
        <w:t>all EU trade agreements under negotiation and future trade agreements</w:t>
      </w:r>
      <w:r w:rsidR="001462A0">
        <w:rPr>
          <w:rFonts w:ascii="Times New Roman" w:hAnsi="Times New Roman"/>
          <w:szCs w:val="24"/>
        </w:rPr>
        <w:t>.</w:t>
      </w:r>
    </w:p>
    <w:p w14:paraId="42CB8068" w14:textId="77777777" w:rsidR="008022B3" w:rsidRPr="00942AA5" w:rsidRDefault="008022B3" w:rsidP="008022B3">
      <w:pPr>
        <w:widowControl w:val="0"/>
        <w:numPr>
          <w:ilvl w:val="0"/>
          <w:numId w:val="35"/>
        </w:numPr>
        <w:ind w:left="567" w:hanging="567"/>
        <w:rPr>
          <w:rFonts w:ascii="Times New Roman" w:hAnsi="Times New Roman"/>
          <w:b/>
          <w:szCs w:val="24"/>
        </w:rPr>
      </w:pPr>
      <w:r w:rsidRPr="00C33439">
        <w:rPr>
          <w:rFonts w:ascii="Times New Roman" w:hAnsi="Times New Roman"/>
          <w:b/>
          <w:szCs w:val="24"/>
        </w:rPr>
        <w:t>Response to requests and overview of action taken, or intended to be taken, by the Commission:</w:t>
      </w:r>
      <w:r>
        <w:rPr>
          <w:rFonts w:ascii="Times New Roman" w:hAnsi="Times New Roman"/>
          <w:b/>
          <w:szCs w:val="24"/>
        </w:rPr>
        <w:t xml:space="preserve"> </w:t>
      </w:r>
    </w:p>
    <w:p w14:paraId="1D605534" w14:textId="6B5E98C6" w:rsidR="00DB24FD" w:rsidRDefault="00027079" w:rsidP="00027079">
      <w:pPr>
        <w:widowControl w:val="0"/>
        <w:spacing w:after="120"/>
        <w:rPr>
          <w:rFonts w:ascii="Times New Roman" w:hAnsi="Times New Roman"/>
          <w:szCs w:val="24"/>
        </w:rPr>
      </w:pPr>
      <w:r>
        <w:rPr>
          <w:rFonts w:ascii="Times New Roman" w:hAnsi="Times New Roman"/>
          <w:szCs w:val="24"/>
        </w:rPr>
        <w:t xml:space="preserve">In its Communication </w:t>
      </w:r>
      <w:r w:rsidRPr="00027079">
        <w:rPr>
          <w:rFonts w:ascii="Times New Roman" w:hAnsi="Times New Roman"/>
          <w:i/>
          <w:szCs w:val="24"/>
        </w:rPr>
        <w:t>“Trade Policy Review – An Open, Sustainable and Assertive Trade Policy”</w:t>
      </w:r>
      <w:r w:rsidR="00DB24FD">
        <w:rPr>
          <w:rStyle w:val="FootnoteReference"/>
          <w:rFonts w:ascii="Times New Roman" w:hAnsi="Times New Roman"/>
          <w:i/>
          <w:szCs w:val="24"/>
        </w:rPr>
        <w:footnoteReference w:id="1"/>
      </w:r>
      <w:r>
        <w:rPr>
          <w:rFonts w:ascii="Times New Roman" w:hAnsi="Times New Roman"/>
          <w:szCs w:val="24"/>
        </w:rPr>
        <w:t xml:space="preserve"> published on 18 February 2021, the Commission put sustainability at the core of EU trade policy</w:t>
      </w:r>
      <w:r w:rsidR="00CA5A85">
        <w:rPr>
          <w:rFonts w:ascii="Times New Roman" w:hAnsi="Times New Roman"/>
          <w:szCs w:val="24"/>
        </w:rPr>
        <w:t>,</w:t>
      </w:r>
      <w:r w:rsidR="00CA5A85" w:rsidRPr="00CA5A85">
        <w:rPr>
          <w:rFonts w:ascii="Times New Roman" w:hAnsi="Times New Roman"/>
          <w:szCs w:val="24"/>
        </w:rPr>
        <w:t xml:space="preserve"> </w:t>
      </w:r>
      <w:r w:rsidR="00CA5A85">
        <w:rPr>
          <w:rFonts w:ascii="Times New Roman" w:hAnsi="Times New Roman"/>
          <w:szCs w:val="24"/>
        </w:rPr>
        <w:t xml:space="preserve">with </w:t>
      </w:r>
      <w:r w:rsidR="00CA5A85" w:rsidRPr="00942AA5">
        <w:rPr>
          <w:rFonts w:ascii="Times New Roman" w:hAnsi="Times New Roman"/>
          <w:szCs w:val="24"/>
        </w:rPr>
        <w:t>the objective</w:t>
      </w:r>
      <w:r w:rsidR="00CA5A85">
        <w:rPr>
          <w:rFonts w:ascii="Times New Roman" w:hAnsi="Times New Roman"/>
          <w:szCs w:val="24"/>
        </w:rPr>
        <w:t xml:space="preserve"> of</w:t>
      </w:r>
      <w:r w:rsidR="00CA5A85" w:rsidRPr="00942AA5">
        <w:rPr>
          <w:rFonts w:ascii="Times New Roman" w:hAnsi="Times New Roman"/>
          <w:szCs w:val="24"/>
        </w:rPr>
        <w:t xml:space="preserve"> </w:t>
      </w:r>
      <w:r w:rsidR="00CA5A85" w:rsidRPr="005D48D2">
        <w:rPr>
          <w:rFonts w:ascii="Times New Roman" w:hAnsi="Times New Roman"/>
          <w:szCs w:val="24"/>
        </w:rPr>
        <w:t>making EU trade greener, fairer and more sustainable</w:t>
      </w:r>
      <w:r w:rsidR="00472E8D">
        <w:rPr>
          <w:rFonts w:ascii="Times New Roman" w:hAnsi="Times New Roman"/>
          <w:szCs w:val="24"/>
        </w:rPr>
        <w:t xml:space="preserve">. </w:t>
      </w:r>
      <w:r w:rsidR="001F4C08">
        <w:rPr>
          <w:rFonts w:ascii="Times New Roman" w:hAnsi="Times New Roman"/>
          <w:szCs w:val="24"/>
        </w:rPr>
        <w:t>In addition</w:t>
      </w:r>
      <w:r w:rsidR="001F4C08" w:rsidRPr="00DB24FD">
        <w:rPr>
          <w:rFonts w:ascii="Times New Roman" w:hAnsi="Times New Roman"/>
          <w:szCs w:val="24"/>
        </w:rPr>
        <w:t xml:space="preserve"> </w:t>
      </w:r>
      <w:r w:rsidR="00DB24FD" w:rsidRPr="00DB24FD">
        <w:rPr>
          <w:rFonts w:ascii="Times New Roman" w:hAnsi="Times New Roman"/>
          <w:szCs w:val="24"/>
        </w:rPr>
        <w:t xml:space="preserve">to </w:t>
      </w:r>
      <w:r w:rsidR="00C27095">
        <w:rPr>
          <w:rFonts w:ascii="Times New Roman" w:hAnsi="Times New Roman"/>
          <w:szCs w:val="24"/>
        </w:rPr>
        <w:t xml:space="preserve">the </w:t>
      </w:r>
      <w:r w:rsidR="00677485">
        <w:rPr>
          <w:rFonts w:ascii="Times New Roman" w:hAnsi="Times New Roman"/>
          <w:szCs w:val="24"/>
        </w:rPr>
        <w:t>EU’s</w:t>
      </w:r>
      <w:r w:rsidR="00DB24FD" w:rsidRPr="00DB24FD">
        <w:rPr>
          <w:rFonts w:ascii="Times New Roman" w:hAnsi="Times New Roman"/>
          <w:szCs w:val="24"/>
        </w:rPr>
        <w:t xml:space="preserve"> autonomous</w:t>
      </w:r>
      <w:r w:rsidR="001F4C08">
        <w:rPr>
          <w:rFonts w:ascii="Times New Roman" w:hAnsi="Times New Roman"/>
          <w:szCs w:val="24"/>
        </w:rPr>
        <w:t xml:space="preserve"> measures</w:t>
      </w:r>
      <w:r w:rsidR="00DB24FD" w:rsidRPr="00DB24FD">
        <w:rPr>
          <w:rFonts w:ascii="Times New Roman" w:hAnsi="Times New Roman"/>
          <w:szCs w:val="24"/>
        </w:rPr>
        <w:t xml:space="preserve"> and multilateral engagement, the Commission shares the European Parliament</w:t>
      </w:r>
      <w:r w:rsidR="001F4C08">
        <w:rPr>
          <w:rFonts w:ascii="Times New Roman" w:hAnsi="Times New Roman"/>
          <w:szCs w:val="24"/>
        </w:rPr>
        <w:t>’s</w:t>
      </w:r>
      <w:r w:rsidR="00C27095">
        <w:rPr>
          <w:rFonts w:ascii="Times New Roman" w:hAnsi="Times New Roman"/>
          <w:szCs w:val="24"/>
        </w:rPr>
        <w:t xml:space="preserve"> </w:t>
      </w:r>
      <w:r w:rsidR="00C47A0C" w:rsidRPr="00C47A0C">
        <w:rPr>
          <w:rFonts w:ascii="Times New Roman" w:hAnsi="Times New Roman"/>
          <w:szCs w:val="24"/>
        </w:rPr>
        <w:t xml:space="preserve">view that </w:t>
      </w:r>
      <w:r w:rsidR="00DB24FD" w:rsidRPr="00DB24FD">
        <w:rPr>
          <w:rFonts w:ascii="Times New Roman" w:hAnsi="Times New Roman"/>
          <w:szCs w:val="24"/>
        </w:rPr>
        <w:t xml:space="preserve">the </w:t>
      </w:r>
      <w:r w:rsidR="00677485">
        <w:rPr>
          <w:rFonts w:ascii="Times New Roman" w:hAnsi="Times New Roman"/>
          <w:szCs w:val="24"/>
        </w:rPr>
        <w:t xml:space="preserve">role of </w:t>
      </w:r>
      <w:r w:rsidR="00DB24FD" w:rsidRPr="00DB24FD">
        <w:rPr>
          <w:rFonts w:ascii="Times New Roman" w:hAnsi="Times New Roman"/>
          <w:szCs w:val="24"/>
        </w:rPr>
        <w:t>bilateral trade agreements</w:t>
      </w:r>
      <w:r w:rsidR="00677485">
        <w:rPr>
          <w:rFonts w:ascii="Times New Roman" w:hAnsi="Times New Roman"/>
          <w:szCs w:val="24"/>
        </w:rPr>
        <w:t xml:space="preserve"> </w:t>
      </w:r>
      <w:r w:rsidR="001F4C08">
        <w:rPr>
          <w:rFonts w:ascii="Times New Roman" w:hAnsi="Times New Roman"/>
          <w:szCs w:val="24"/>
        </w:rPr>
        <w:t xml:space="preserve">in </w:t>
      </w:r>
      <w:r w:rsidR="00677485">
        <w:rPr>
          <w:rFonts w:ascii="Times New Roman" w:hAnsi="Times New Roman"/>
          <w:szCs w:val="24"/>
        </w:rPr>
        <w:t>promot</w:t>
      </w:r>
      <w:r w:rsidR="001F4C08">
        <w:rPr>
          <w:rFonts w:ascii="Times New Roman" w:hAnsi="Times New Roman"/>
          <w:szCs w:val="24"/>
        </w:rPr>
        <w:t>ing</w:t>
      </w:r>
      <w:r w:rsidR="00677485">
        <w:rPr>
          <w:rFonts w:ascii="Times New Roman" w:hAnsi="Times New Roman"/>
          <w:szCs w:val="24"/>
        </w:rPr>
        <w:t xml:space="preserve"> sustainability</w:t>
      </w:r>
      <w:r w:rsidR="00C47A0C" w:rsidRPr="00C47A0C">
        <w:t xml:space="preserve"> </w:t>
      </w:r>
      <w:r w:rsidR="00C47A0C" w:rsidRPr="00C47A0C">
        <w:rPr>
          <w:rFonts w:ascii="Times New Roman" w:hAnsi="Times New Roman"/>
          <w:szCs w:val="24"/>
        </w:rPr>
        <w:t>should be reinforced</w:t>
      </w:r>
      <w:r w:rsidR="00DB24FD" w:rsidRPr="00DB24FD">
        <w:rPr>
          <w:rFonts w:ascii="Times New Roman" w:hAnsi="Times New Roman"/>
          <w:szCs w:val="24"/>
        </w:rPr>
        <w:t>.</w:t>
      </w:r>
    </w:p>
    <w:p w14:paraId="1409ED86" w14:textId="4C677679" w:rsidR="00027079" w:rsidRDefault="00677485" w:rsidP="00027079">
      <w:pPr>
        <w:widowControl w:val="0"/>
        <w:spacing w:after="120"/>
        <w:rPr>
          <w:rFonts w:ascii="Times New Roman" w:hAnsi="Times New Roman"/>
          <w:szCs w:val="24"/>
          <w:lang w:eastAsia="en-US"/>
        </w:rPr>
      </w:pPr>
      <w:r>
        <w:rPr>
          <w:rFonts w:ascii="Times New Roman" w:hAnsi="Times New Roman"/>
          <w:szCs w:val="24"/>
        </w:rPr>
        <w:lastRenderedPageBreak/>
        <w:t>F</w:t>
      </w:r>
      <w:r w:rsidR="00472E8D">
        <w:rPr>
          <w:rFonts w:ascii="Times New Roman" w:hAnsi="Times New Roman"/>
          <w:szCs w:val="24"/>
          <w:lang w:eastAsia="en-US"/>
        </w:rPr>
        <w:t>ollowing a one-year stakeholder consultation process, t</w:t>
      </w:r>
      <w:r w:rsidR="00472E8D" w:rsidRPr="00144301">
        <w:rPr>
          <w:rFonts w:ascii="Times New Roman" w:hAnsi="Times New Roman"/>
          <w:szCs w:val="24"/>
          <w:lang w:eastAsia="en-US"/>
        </w:rPr>
        <w:t xml:space="preserve">he Commission </w:t>
      </w:r>
      <w:r w:rsidR="00472E8D">
        <w:rPr>
          <w:rFonts w:ascii="Times New Roman" w:hAnsi="Times New Roman"/>
          <w:szCs w:val="24"/>
          <w:lang w:eastAsia="en-US"/>
        </w:rPr>
        <w:t xml:space="preserve">adopted on 22 June 2022 the Communication </w:t>
      </w:r>
      <w:r w:rsidR="00472E8D" w:rsidRPr="00C737D1">
        <w:rPr>
          <w:rFonts w:ascii="Times New Roman" w:hAnsi="Times New Roman"/>
          <w:i/>
          <w:szCs w:val="24"/>
          <w:lang w:eastAsia="en-US"/>
        </w:rPr>
        <w:t>“The power of trade partnerships: together for green and just economic growth”</w:t>
      </w:r>
      <w:r w:rsidR="00472E8D">
        <w:rPr>
          <w:rStyle w:val="FootnoteReference"/>
          <w:rFonts w:ascii="Times New Roman" w:hAnsi="Times New Roman"/>
          <w:i/>
          <w:szCs w:val="24"/>
          <w:lang w:eastAsia="en-US"/>
        </w:rPr>
        <w:footnoteReference w:id="2"/>
      </w:r>
      <w:r w:rsidR="00472E8D">
        <w:rPr>
          <w:rFonts w:ascii="Times New Roman" w:hAnsi="Times New Roman"/>
          <w:i/>
          <w:szCs w:val="24"/>
          <w:lang w:eastAsia="en-US"/>
        </w:rPr>
        <w:t xml:space="preserve"> </w:t>
      </w:r>
      <w:r w:rsidR="00472E8D" w:rsidRPr="00472E8D">
        <w:rPr>
          <w:rFonts w:ascii="Times New Roman" w:hAnsi="Times New Roman"/>
          <w:szCs w:val="24"/>
          <w:lang w:eastAsia="en-US"/>
        </w:rPr>
        <w:t xml:space="preserve">in order to </w:t>
      </w:r>
      <w:r w:rsidR="00472E8D" w:rsidRPr="00C737D1">
        <w:rPr>
          <w:rFonts w:ascii="Times New Roman" w:hAnsi="Times New Roman"/>
          <w:szCs w:val="24"/>
          <w:lang w:eastAsia="en-US"/>
        </w:rPr>
        <w:t>enhance the contribution of EU trade agreements</w:t>
      </w:r>
      <w:r w:rsidR="001F4C08">
        <w:rPr>
          <w:rFonts w:ascii="Times New Roman" w:hAnsi="Times New Roman"/>
          <w:szCs w:val="24"/>
          <w:lang w:eastAsia="en-US"/>
        </w:rPr>
        <w:t xml:space="preserve"> to sustainability,</w:t>
      </w:r>
      <w:r w:rsidR="00472E8D" w:rsidRPr="00C737D1">
        <w:rPr>
          <w:rFonts w:ascii="Times New Roman" w:hAnsi="Times New Roman"/>
          <w:szCs w:val="24"/>
          <w:lang w:eastAsia="en-US"/>
        </w:rPr>
        <w:t xml:space="preserve"> </w:t>
      </w:r>
      <w:r>
        <w:rPr>
          <w:rFonts w:ascii="Times New Roman" w:hAnsi="Times New Roman"/>
          <w:szCs w:val="24"/>
          <w:lang w:eastAsia="en-US"/>
        </w:rPr>
        <w:t xml:space="preserve">in particular </w:t>
      </w:r>
      <w:r w:rsidR="00472E8D">
        <w:rPr>
          <w:rFonts w:ascii="Times New Roman" w:hAnsi="Times New Roman"/>
          <w:szCs w:val="24"/>
          <w:lang w:eastAsia="en-US"/>
        </w:rPr>
        <w:t xml:space="preserve">by </w:t>
      </w:r>
      <w:r w:rsidR="00472E8D" w:rsidRPr="00C737D1">
        <w:rPr>
          <w:rFonts w:ascii="Times New Roman" w:hAnsi="Times New Roman"/>
          <w:szCs w:val="24"/>
          <w:lang w:eastAsia="en-US"/>
        </w:rPr>
        <w:t>strengthen</w:t>
      </w:r>
      <w:r w:rsidR="00472E8D">
        <w:rPr>
          <w:rFonts w:ascii="Times New Roman" w:hAnsi="Times New Roman"/>
          <w:szCs w:val="24"/>
          <w:lang w:eastAsia="en-US"/>
        </w:rPr>
        <w:t>ing</w:t>
      </w:r>
      <w:r w:rsidR="00472E8D" w:rsidRPr="00C737D1">
        <w:rPr>
          <w:rFonts w:ascii="Times New Roman" w:hAnsi="Times New Roman"/>
          <w:szCs w:val="24"/>
          <w:lang w:eastAsia="en-US"/>
        </w:rPr>
        <w:t xml:space="preserve"> the implementation and enforcement of </w:t>
      </w:r>
      <w:r w:rsidR="00472E8D">
        <w:rPr>
          <w:rFonts w:ascii="Times New Roman" w:hAnsi="Times New Roman"/>
          <w:szCs w:val="24"/>
          <w:lang w:eastAsia="en-US"/>
        </w:rPr>
        <w:t xml:space="preserve">their </w:t>
      </w:r>
      <w:r w:rsidR="00DB24FD">
        <w:rPr>
          <w:rFonts w:ascii="Times New Roman" w:hAnsi="Times New Roman"/>
          <w:szCs w:val="24"/>
          <w:lang w:eastAsia="en-US"/>
        </w:rPr>
        <w:t>TSD</w:t>
      </w:r>
      <w:r w:rsidR="00472E8D">
        <w:rPr>
          <w:rFonts w:ascii="Times New Roman" w:hAnsi="Times New Roman"/>
          <w:szCs w:val="24"/>
          <w:lang w:eastAsia="en-US"/>
        </w:rPr>
        <w:t xml:space="preserve"> chapters. </w:t>
      </w:r>
      <w:r>
        <w:rPr>
          <w:rFonts w:ascii="Times New Roman" w:hAnsi="Times New Roman"/>
          <w:szCs w:val="24"/>
          <w:lang w:eastAsia="en-US"/>
        </w:rPr>
        <w:t xml:space="preserve">It </w:t>
      </w:r>
      <w:r w:rsidR="00027079" w:rsidRPr="005D48D2">
        <w:rPr>
          <w:rFonts w:ascii="Times New Roman" w:hAnsi="Times New Roman"/>
          <w:szCs w:val="24"/>
        </w:rPr>
        <w:t xml:space="preserve">identifies </w:t>
      </w:r>
      <w:r w:rsidR="001462A0">
        <w:rPr>
          <w:rFonts w:ascii="Times New Roman" w:hAnsi="Times New Roman"/>
          <w:szCs w:val="24"/>
        </w:rPr>
        <w:t xml:space="preserve">a number of </w:t>
      </w:r>
      <w:r w:rsidR="00027079" w:rsidRPr="005D48D2">
        <w:rPr>
          <w:rFonts w:ascii="Times New Roman" w:hAnsi="Times New Roman"/>
          <w:szCs w:val="24"/>
        </w:rPr>
        <w:t>policy priorities and key action points</w:t>
      </w:r>
      <w:r w:rsidR="000A5C63">
        <w:rPr>
          <w:rFonts w:ascii="Times New Roman" w:hAnsi="Times New Roman"/>
          <w:szCs w:val="24"/>
        </w:rPr>
        <w:t xml:space="preserve"> in that respect</w:t>
      </w:r>
      <w:r w:rsidR="00027079" w:rsidRPr="005D48D2">
        <w:rPr>
          <w:rFonts w:ascii="Times New Roman" w:hAnsi="Times New Roman"/>
          <w:szCs w:val="24"/>
        </w:rPr>
        <w:t>, which will further enhance the effectiveness of the current engagement-based approach to TSD</w:t>
      </w:r>
      <w:r w:rsidR="00027079">
        <w:rPr>
          <w:rFonts w:ascii="Times New Roman" w:hAnsi="Times New Roman"/>
          <w:szCs w:val="24"/>
        </w:rPr>
        <w:t xml:space="preserve"> </w:t>
      </w:r>
      <w:r w:rsidR="00027079" w:rsidRPr="00D11033">
        <w:rPr>
          <w:rFonts w:ascii="Times New Roman" w:hAnsi="Times New Roman"/>
          <w:b/>
          <w:szCs w:val="24"/>
        </w:rPr>
        <w:t>(paragraph 1)</w:t>
      </w:r>
      <w:r w:rsidR="00027079">
        <w:rPr>
          <w:rFonts w:ascii="Times New Roman" w:hAnsi="Times New Roman"/>
          <w:szCs w:val="24"/>
        </w:rPr>
        <w:t>.</w:t>
      </w:r>
    </w:p>
    <w:p w14:paraId="5BE9FC0E" w14:textId="598B5034" w:rsidR="00027079" w:rsidRPr="00684FB9" w:rsidRDefault="00027079" w:rsidP="00027079">
      <w:pPr>
        <w:widowControl w:val="0"/>
        <w:spacing w:after="120"/>
        <w:rPr>
          <w:rFonts w:ascii="Times New Roman" w:hAnsi="Times New Roman"/>
          <w:szCs w:val="24"/>
        </w:rPr>
      </w:pPr>
      <w:r>
        <w:rPr>
          <w:rFonts w:ascii="Times New Roman" w:hAnsi="Times New Roman"/>
          <w:szCs w:val="24"/>
        </w:rPr>
        <w:t xml:space="preserve">In particular, </w:t>
      </w:r>
      <w:r w:rsidR="001462A0">
        <w:rPr>
          <w:rFonts w:ascii="Times New Roman" w:hAnsi="Times New Roman"/>
          <w:szCs w:val="24"/>
        </w:rPr>
        <w:t>the Commission will i</w:t>
      </w:r>
      <w:r w:rsidRPr="00684FB9">
        <w:rPr>
          <w:rFonts w:ascii="Times New Roman" w:hAnsi="Times New Roman"/>
          <w:szCs w:val="24"/>
        </w:rPr>
        <w:t>dentify</w:t>
      </w:r>
      <w:r w:rsidR="001462A0">
        <w:rPr>
          <w:rFonts w:ascii="Times New Roman" w:hAnsi="Times New Roman"/>
          <w:szCs w:val="24"/>
        </w:rPr>
        <w:t xml:space="preserve"> </w:t>
      </w:r>
      <w:r w:rsidRPr="00684FB9">
        <w:rPr>
          <w:rFonts w:ascii="Times New Roman" w:hAnsi="Times New Roman"/>
          <w:szCs w:val="24"/>
        </w:rPr>
        <w:t xml:space="preserve">country-based implementation priorities with the involvement of civil society and in consultation with relevant </w:t>
      </w:r>
      <w:r w:rsidR="00C35E7E">
        <w:rPr>
          <w:rFonts w:ascii="Times New Roman" w:hAnsi="Times New Roman"/>
          <w:szCs w:val="24"/>
        </w:rPr>
        <w:t xml:space="preserve">entities and </w:t>
      </w:r>
      <w:r w:rsidRPr="00684FB9">
        <w:rPr>
          <w:rFonts w:ascii="Times New Roman" w:hAnsi="Times New Roman"/>
          <w:szCs w:val="24"/>
        </w:rPr>
        <w:t xml:space="preserve">international organisations, </w:t>
      </w:r>
      <w:r>
        <w:rPr>
          <w:rFonts w:ascii="Times New Roman" w:hAnsi="Times New Roman"/>
          <w:szCs w:val="24"/>
        </w:rPr>
        <w:t xml:space="preserve">while </w:t>
      </w:r>
      <w:r w:rsidRPr="00684FB9">
        <w:rPr>
          <w:rFonts w:ascii="Times New Roman" w:hAnsi="Times New Roman"/>
          <w:szCs w:val="24"/>
        </w:rPr>
        <w:t>considering implementation road</w:t>
      </w:r>
      <w:r w:rsidR="001462A0">
        <w:rPr>
          <w:rFonts w:ascii="Times New Roman" w:hAnsi="Times New Roman"/>
          <w:szCs w:val="24"/>
        </w:rPr>
        <w:t xml:space="preserve">maps </w:t>
      </w:r>
      <w:r w:rsidR="00F00BA5" w:rsidRPr="00F00BA5">
        <w:rPr>
          <w:rFonts w:ascii="Times New Roman" w:hAnsi="Times New Roman"/>
          <w:szCs w:val="24"/>
        </w:rPr>
        <w:t xml:space="preserve">where appropriate </w:t>
      </w:r>
      <w:r w:rsidR="001462A0">
        <w:rPr>
          <w:rFonts w:ascii="Times New Roman" w:hAnsi="Times New Roman"/>
          <w:szCs w:val="24"/>
        </w:rPr>
        <w:t>to achieve desired results</w:t>
      </w:r>
      <w:r w:rsidRPr="00684FB9">
        <w:rPr>
          <w:rFonts w:ascii="Times New Roman" w:hAnsi="Times New Roman"/>
          <w:szCs w:val="24"/>
        </w:rPr>
        <w:t xml:space="preserve"> </w:t>
      </w:r>
      <w:r w:rsidRPr="00684FB9">
        <w:rPr>
          <w:rFonts w:ascii="Times New Roman" w:hAnsi="Times New Roman"/>
          <w:b/>
          <w:szCs w:val="24"/>
        </w:rPr>
        <w:t>(paragraph 2)</w:t>
      </w:r>
      <w:r w:rsidR="00ED4DD7">
        <w:rPr>
          <w:rFonts w:ascii="Times New Roman" w:hAnsi="Times New Roman"/>
          <w:szCs w:val="24"/>
        </w:rPr>
        <w:t>.</w:t>
      </w:r>
    </w:p>
    <w:p w14:paraId="3A777EC7" w14:textId="7983BA0D" w:rsidR="00C177F3" w:rsidRDefault="00C177F3" w:rsidP="00C177F3">
      <w:pPr>
        <w:widowControl w:val="0"/>
        <w:spacing w:after="120"/>
        <w:rPr>
          <w:rFonts w:ascii="Times New Roman" w:hAnsi="Times New Roman"/>
          <w:szCs w:val="24"/>
        </w:rPr>
      </w:pPr>
      <w:r>
        <w:rPr>
          <w:rFonts w:ascii="Times New Roman" w:hAnsi="Times New Roman"/>
          <w:szCs w:val="24"/>
        </w:rPr>
        <w:t xml:space="preserve">The Commission </w:t>
      </w:r>
      <w:r w:rsidR="000A5C63">
        <w:rPr>
          <w:rFonts w:ascii="Times New Roman" w:hAnsi="Times New Roman"/>
          <w:szCs w:val="24"/>
        </w:rPr>
        <w:t xml:space="preserve">also </w:t>
      </w:r>
      <w:r>
        <w:rPr>
          <w:rFonts w:ascii="Times New Roman" w:hAnsi="Times New Roman"/>
          <w:szCs w:val="24"/>
        </w:rPr>
        <w:t xml:space="preserve">agrees with </w:t>
      </w:r>
      <w:r w:rsidR="001F4C08">
        <w:rPr>
          <w:rFonts w:ascii="Times New Roman" w:hAnsi="Times New Roman"/>
          <w:szCs w:val="24"/>
        </w:rPr>
        <w:t xml:space="preserve">the European Parliament resolution on </w:t>
      </w:r>
      <w:r>
        <w:rPr>
          <w:rFonts w:ascii="Times New Roman" w:hAnsi="Times New Roman"/>
          <w:szCs w:val="24"/>
        </w:rPr>
        <w:t xml:space="preserve">the </w:t>
      </w:r>
      <w:r w:rsidRPr="00684FB9">
        <w:rPr>
          <w:rFonts w:ascii="Times New Roman" w:hAnsi="Times New Roman"/>
          <w:szCs w:val="24"/>
        </w:rPr>
        <w:t>need for scoping exercise</w:t>
      </w:r>
      <w:r>
        <w:rPr>
          <w:rFonts w:ascii="Times New Roman" w:hAnsi="Times New Roman"/>
          <w:szCs w:val="24"/>
        </w:rPr>
        <w:t>s</w:t>
      </w:r>
      <w:r w:rsidRPr="00684FB9">
        <w:rPr>
          <w:rFonts w:ascii="Times New Roman" w:hAnsi="Times New Roman"/>
          <w:szCs w:val="24"/>
        </w:rPr>
        <w:t xml:space="preserve"> </w:t>
      </w:r>
      <w:r>
        <w:rPr>
          <w:rFonts w:ascii="Times New Roman" w:hAnsi="Times New Roman"/>
          <w:szCs w:val="24"/>
        </w:rPr>
        <w:t xml:space="preserve">with </w:t>
      </w:r>
      <w:r w:rsidRPr="00684FB9">
        <w:rPr>
          <w:rFonts w:ascii="Times New Roman" w:hAnsi="Times New Roman"/>
          <w:szCs w:val="24"/>
        </w:rPr>
        <w:t>TSD content prior to</w:t>
      </w:r>
      <w:r>
        <w:rPr>
          <w:rFonts w:ascii="Times New Roman" w:hAnsi="Times New Roman"/>
          <w:szCs w:val="24"/>
        </w:rPr>
        <w:t xml:space="preserve"> </w:t>
      </w:r>
      <w:r w:rsidRPr="00684FB9">
        <w:rPr>
          <w:rFonts w:ascii="Times New Roman" w:hAnsi="Times New Roman"/>
          <w:szCs w:val="24"/>
        </w:rPr>
        <w:t xml:space="preserve">the launch of new </w:t>
      </w:r>
      <w:r w:rsidR="006C008E">
        <w:rPr>
          <w:rFonts w:ascii="Times New Roman" w:hAnsi="Times New Roman"/>
          <w:szCs w:val="24"/>
        </w:rPr>
        <w:t>Free Trade Agreements (</w:t>
      </w:r>
      <w:r w:rsidRPr="00684FB9">
        <w:rPr>
          <w:rFonts w:ascii="Times New Roman" w:hAnsi="Times New Roman"/>
          <w:szCs w:val="24"/>
        </w:rPr>
        <w:t>FTA</w:t>
      </w:r>
      <w:r w:rsidR="006C008E">
        <w:rPr>
          <w:rFonts w:ascii="Times New Roman" w:hAnsi="Times New Roman"/>
          <w:szCs w:val="24"/>
        </w:rPr>
        <w:t>)</w:t>
      </w:r>
      <w:r>
        <w:rPr>
          <w:rFonts w:ascii="Times New Roman" w:hAnsi="Times New Roman"/>
          <w:szCs w:val="24"/>
        </w:rPr>
        <w:t xml:space="preserve"> negotiations, </w:t>
      </w:r>
      <w:r w:rsidR="00ED4DD7">
        <w:rPr>
          <w:rFonts w:ascii="Times New Roman" w:hAnsi="Times New Roman"/>
          <w:szCs w:val="24"/>
        </w:rPr>
        <w:t xml:space="preserve">the </w:t>
      </w:r>
      <w:r w:rsidR="00ED4DD7" w:rsidRPr="00684FB9">
        <w:rPr>
          <w:rFonts w:ascii="Times New Roman" w:hAnsi="Times New Roman"/>
          <w:szCs w:val="24"/>
        </w:rPr>
        <w:t xml:space="preserve">need </w:t>
      </w:r>
      <w:r w:rsidR="000D492D">
        <w:rPr>
          <w:rFonts w:ascii="Times New Roman" w:hAnsi="Times New Roman"/>
          <w:szCs w:val="24"/>
        </w:rPr>
        <w:t xml:space="preserve">for </w:t>
      </w:r>
      <w:r w:rsidR="0051558E">
        <w:rPr>
          <w:rFonts w:ascii="Times New Roman" w:hAnsi="Times New Roman"/>
          <w:szCs w:val="24"/>
        </w:rPr>
        <w:t>ex</w:t>
      </w:r>
      <w:r w:rsidR="00C27095">
        <w:rPr>
          <w:rFonts w:ascii="Times New Roman" w:hAnsi="Times New Roman"/>
          <w:szCs w:val="24"/>
        </w:rPr>
        <w:t>-</w:t>
      </w:r>
      <w:r w:rsidR="0051558E">
        <w:rPr>
          <w:rFonts w:ascii="Times New Roman" w:hAnsi="Times New Roman"/>
          <w:szCs w:val="24"/>
        </w:rPr>
        <w:t>ante</w:t>
      </w:r>
      <w:r w:rsidRPr="00684FB9">
        <w:rPr>
          <w:rFonts w:ascii="Times New Roman" w:hAnsi="Times New Roman"/>
          <w:szCs w:val="24"/>
        </w:rPr>
        <w:t xml:space="preserve"> assessments </w:t>
      </w:r>
      <w:r w:rsidR="00F00BA5">
        <w:rPr>
          <w:rFonts w:ascii="Times New Roman" w:hAnsi="Times New Roman"/>
          <w:szCs w:val="24"/>
        </w:rPr>
        <w:t xml:space="preserve">also </w:t>
      </w:r>
      <w:r w:rsidRPr="00684FB9">
        <w:rPr>
          <w:rFonts w:ascii="Times New Roman" w:hAnsi="Times New Roman"/>
          <w:szCs w:val="24"/>
        </w:rPr>
        <w:t xml:space="preserve">to identify relevant provisions </w:t>
      </w:r>
      <w:r>
        <w:rPr>
          <w:rFonts w:ascii="Times New Roman" w:hAnsi="Times New Roman"/>
          <w:szCs w:val="24"/>
        </w:rPr>
        <w:t>that may s</w:t>
      </w:r>
      <w:r w:rsidRPr="00684FB9">
        <w:rPr>
          <w:rFonts w:ascii="Times New Roman" w:hAnsi="Times New Roman"/>
          <w:szCs w:val="24"/>
        </w:rPr>
        <w:t>treamlin</w:t>
      </w:r>
      <w:r>
        <w:rPr>
          <w:rFonts w:ascii="Times New Roman" w:hAnsi="Times New Roman"/>
          <w:szCs w:val="24"/>
        </w:rPr>
        <w:t xml:space="preserve">e </w:t>
      </w:r>
      <w:r w:rsidRPr="00684FB9">
        <w:rPr>
          <w:rFonts w:ascii="Times New Roman" w:hAnsi="Times New Roman"/>
          <w:szCs w:val="24"/>
        </w:rPr>
        <w:t xml:space="preserve">sustainability </w:t>
      </w:r>
      <w:r w:rsidR="001051A2" w:rsidRPr="001051A2">
        <w:rPr>
          <w:rFonts w:ascii="Times New Roman" w:hAnsi="Times New Roman"/>
          <w:szCs w:val="24"/>
        </w:rPr>
        <w:t xml:space="preserve">and decent work worldwide </w:t>
      </w:r>
      <w:r w:rsidRPr="00684FB9">
        <w:rPr>
          <w:rFonts w:ascii="Times New Roman" w:hAnsi="Times New Roman"/>
          <w:szCs w:val="24"/>
        </w:rPr>
        <w:t>beyond TSD chapters</w:t>
      </w:r>
      <w:r w:rsidR="000D492D">
        <w:rPr>
          <w:rFonts w:ascii="Times New Roman" w:hAnsi="Times New Roman"/>
          <w:szCs w:val="24"/>
        </w:rPr>
        <w:t>, as well as the need for ex</w:t>
      </w:r>
      <w:r w:rsidR="00C27095">
        <w:rPr>
          <w:rFonts w:ascii="Times New Roman" w:hAnsi="Times New Roman"/>
          <w:szCs w:val="24"/>
        </w:rPr>
        <w:t>-</w:t>
      </w:r>
      <w:r w:rsidR="000D492D">
        <w:rPr>
          <w:rFonts w:ascii="Times New Roman" w:hAnsi="Times New Roman"/>
          <w:szCs w:val="24"/>
        </w:rPr>
        <w:t>post impact assessments</w:t>
      </w:r>
      <w:r>
        <w:rPr>
          <w:rFonts w:ascii="Times New Roman" w:hAnsi="Times New Roman"/>
          <w:szCs w:val="24"/>
        </w:rPr>
        <w:t xml:space="preserve"> </w:t>
      </w:r>
      <w:r>
        <w:rPr>
          <w:rFonts w:ascii="Times New Roman" w:hAnsi="Times New Roman"/>
          <w:b/>
          <w:szCs w:val="24"/>
        </w:rPr>
        <w:t>(paragraphs 3</w:t>
      </w:r>
      <w:r w:rsidR="000D492D">
        <w:rPr>
          <w:rFonts w:ascii="Times New Roman" w:hAnsi="Times New Roman"/>
          <w:b/>
          <w:szCs w:val="24"/>
        </w:rPr>
        <w:t xml:space="preserve">, </w:t>
      </w:r>
      <w:r>
        <w:rPr>
          <w:rFonts w:ascii="Times New Roman" w:hAnsi="Times New Roman"/>
          <w:b/>
          <w:szCs w:val="24"/>
        </w:rPr>
        <w:t>4</w:t>
      </w:r>
      <w:r w:rsidR="000D492D">
        <w:rPr>
          <w:rFonts w:ascii="Times New Roman" w:hAnsi="Times New Roman"/>
          <w:b/>
          <w:szCs w:val="24"/>
        </w:rPr>
        <w:t xml:space="preserve"> and 9</w:t>
      </w:r>
      <w:r w:rsidRPr="00930687">
        <w:rPr>
          <w:rFonts w:ascii="Times New Roman" w:hAnsi="Times New Roman"/>
          <w:b/>
          <w:szCs w:val="24"/>
        </w:rPr>
        <w:t>)</w:t>
      </w:r>
      <w:r>
        <w:rPr>
          <w:rFonts w:ascii="Times New Roman" w:hAnsi="Times New Roman"/>
          <w:szCs w:val="24"/>
        </w:rPr>
        <w:t>.</w:t>
      </w:r>
    </w:p>
    <w:p w14:paraId="15475C08" w14:textId="4F7024D9" w:rsidR="00C177F3" w:rsidRDefault="00C177F3" w:rsidP="00693C4C">
      <w:pPr>
        <w:widowControl w:val="0"/>
        <w:spacing w:after="120"/>
        <w:rPr>
          <w:rFonts w:ascii="Times New Roman" w:hAnsi="Times New Roman"/>
          <w:szCs w:val="24"/>
        </w:rPr>
      </w:pPr>
      <w:r>
        <w:rPr>
          <w:rFonts w:ascii="Times New Roman" w:hAnsi="Times New Roman"/>
          <w:szCs w:val="24"/>
        </w:rPr>
        <w:t>Action point 9 of the</w:t>
      </w:r>
      <w:r w:rsidR="001F4C08">
        <w:rPr>
          <w:rFonts w:ascii="Times New Roman" w:hAnsi="Times New Roman"/>
          <w:szCs w:val="24"/>
        </w:rPr>
        <w:t xml:space="preserve"> Commission</w:t>
      </w:r>
      <w:r>
        <w:rPr>
          <w:rFonts w:ascii="Times New Roman" w:hAnsi="Times New Roman"/>
          <w:szCs w:val="24"/>
        </w:rPr>
        <w:t xml:space="preserve"> Communication </w:t>
      </w:r>
      <w:r w:rsidR="001F4C08">
        <w:rPr>
          <w:rFonts w:ascii="Times New Roman" w:hAnsi="Times New Roman"/>
          <w:szCs w:val="24"/>
        </w:rPr>
        <w:t>underlines</w:t>
      </w:r>
      <w:r>
        <w:rPr>
          <w:rFonts w:ascii="Times New Roman" w:hAnsi="Times New Roman"/>
          <w:szCs w:val="24"/>
        </w:rPr>
        <w:t xml:space="preserve"> the </w:t>
      </w:r>
      <w:r w:rsidRPr="00684FB9">
        <w:rPr>
          <w:rFonts w:ascii="Times New Roman" w:hAnsi="Times New Roman"/>
          <w:szCs w:val="24"/>
        </w:rPr>
        <w:t>role of EU Delegations in monitoring the implementation of TSD commitments</w:t>
      </w:r>
      <w:r>
        <w:rPr>
          <w:rFonts w:ascii="Times New Roman" w:hAnsi="Times New Roman"/>
          <w:szCs w:val="24"/>
        </w:rPr>
        <w:t xml:space="preserve">, including </w:t>
      </w:r>
      <w:r w:rsidR="00710BDE">
        <w:rPr>
          <w:rFonts w:ascii="Times New Roman" w:hAnsi="Times New Roman"/>
          <w:szCs w:val="24"/>
        </w:rPr>
        <w:t xml:space="preserve">by </w:t>
      </w:r>
      <w:r>
        <w:rPr>
          <w:rFonts w:ascii="Times New Roman" w:hAnsi="Times New Roman"/>
          <w:szCs w:val="24"/>
        </w:rPr>
        <w:t xml:space="preserve">liaising with </w:t>
      </w:r>
      <w:r w:rsidRPr="00C177F3">
        <w:rPr>
          <w:rFonts w:ascii="Times New Roman" w:hAnsi="Times New Roman"/>
          <w:szCs w:val="24"/>
        </w:rPr>
        <w:t>local DAGs.</w:t>
      </w:r>
      <w:r>
        <w:rPr>
          <w:rFonts w:ascii="Times New Roman" w:hAnsi="Times New Roman"/>
          <w:szCs w:val="24"/>
        </w:rPr>
        <w:t xml:space="preserve"> </w:t>
      </w:r>
      <w:r w:rsidR="00693C4C">
        <w:rPr>
          <w:rFonts w:ascii="Times New Roman" w:hAnsi="Times New Roman"/>
          <w:szCs w:val="24"/>
        </w:rPr>
        <w:t xml:space="preserve">The Commission agrees that such a </w:t>
      </w:r>
      <w:r w:rsidR="00693C4C" w:rsidRPr="00693C4C">
        <w:rPr>
          <w:rFonts w:ascii="Times New Roman" w:hAnsi="Times New Roman"/>
          <w:szCs w:val="24"/>
        </w:rPr>
        <w:t xml:space="preserve">role </w:t>
      </w:r>
      <w:r w:rsidR="00693C4C">
        <w:rPr>
          <w:rFonts w:ascii="Times New Roman" w:hAnsi="Times New Roman"/>
          <w:szCs w:val="24"/>
        </w:rPr>
        <w:t xml:space="preserve">could be </w:t>
      </w:r>
      <w:r w:rsidR="00693C4C" w:rsidRPr="00693C4C">
        <w:rPr>
          <w:rFonts w:ascii="Times New Roman" w:hAnsi="Times New Roman"/>
          <w:szCs w:val="24"/>
        </w:rPr>
        <w:t>strengthened</w:t>
      </w:r>
      <w:r w:rsidR="00693C4C">
        <w:rPr>
          <w:rFonts w:ascii="Times New Roman" w:hAnsi="Times New Roman"/>
          <w:szCs w:val="24"/>
        </w:rPr>
        <w:t xml:space="preserve"> and </w:t>
      </w:r>
      <w:r>
        <w:rPr>
          <w:rFonts w:ascii="Times New Roman" w:hAnsi="Times New Roman"/>
          <w:szCs w:val="24"/>
        </w:rPr>
        <w:t xml:space="preserve">takes note of the </w:t>
      </w:r>
      <w:r w:rsidRPr="00C177F3">
        <w:rPr>
          <w:rFonts w:ascii="Times New Roman" w:hAnsi="Times New Roman"/>
          <w:szCs w:val="24"/>
        </w:rPr>
        <w:t xml:space="preserve">call </w:t>
      </w:r>
      <w:r>
        <w:rPr>
          <w:rFonts w:ascii="Times New Roman" w:hAnsi="Times New Roman"/>
          <w:szCs w:val="24"/>
        </w:rPr>
        <w:t xml:space="preserve">by the Parliament </w:t>
      </w:r>
      <w:r w:rsidRPr="00C177F3">
        <w:rPr>
          <w:rFonts w:ascii="Times New Roman" w:hAnsi="Times New Roman"/>
          <w:szCs w:val="24"/>
        </w:rPr>
        <w:t>for sufficient financial</w:t>
      </w:r>
      <w:r>
        <w:rPr>
          <w:rFonts w:ascii="Times New Roman" w:hAnsi="Times New Roman"/>
          <w:szCs w:val="24"/>
        </w:rPr>
        <w:t xml:space="preserve"> </w:t>
      </w:r>
      <w:r w:rsidRPr="00C177F3">
        <w:rPr>
          <w:rFonts w:ascii="Times New Roman" w:hAnsi="Times New Roman"/>
          <w:szCs w:val="24"/>
        </w:rPr>
        <w:t xml:space="preserve">and human resources to be allocated </w:t>
      </w:r>
      <w:r w:rsidR="00693C4C">
        <w:rPr>
          <w:rFonts w:ascii="Times New Roman" w:hAnsi="Times New Roman"/>
          <w:szCs w:val="24"/>
        </w:rPr>
        <w:t xml:space="preserve">in that respect. The Commission also agrees on the importance to </w:t>
      </w:r>
      <w:r w:rsidR="00693C4C" w:rsidRPr="00684FB9">
        <w:rPr>
          <w:rFonts w:ascii="Times New Roman" w:hAnsi="Times New Roman"/>
          <w:szCs w:val="24"/>
        </w:rPr>
        <w:t>streamlin</w:t>
      </w:r>
      <w:r w:rsidR="00693C4C">
        <w:rPr>
          <w:rFonts w:ascii="Times New Roman" w:hAnsi="Times New Roman"/>
          <w:szCs w:val="24"/>
        </w:rPr>
        <w:t xml:space="preserve">e </w:t>
      </w:r>
      <w:r w:rsidR="00693C4C" w:rsidRPr="00684FB9">
        <w:rPr>
          <w:rFonts w:ascii="Times New Roman" w:hAnsi="Times New Roman"/>
          <w:szCs w:val="24"/>
        </w:rPr>
        <w:t xml:space="preserve">work across the Commission’s services </w:t>
      </w:r>
      <w:r w:rsidR="00693C4C">
        <w:rPr>
          <w:rFonts w:ascii="Times New Roman" w:hAnsi="Times New Roman"/>
          <w:szCs w:val="24"/>
        </w:rPr>
        <w:t xml:space="preserve">including </w:t>
      </w:r>
      <w:r w:rsidR="00693C4C" w:rsidRPr="00684FB9">
        <w:rPr>
          <w:rFonts w:ascii="Times New Roman" w:hAnsi="Times New Roman"/>
          <w:szCs w:val="24"/>
        </w:rPr>
        <w:t xml:space="preserve">for the coordination of capacity-building programmes, </w:t>
      </w:r>
      <w:r w:rsidR="00693C4C">
        <w:rPr>
          <w:rFonts w:ascii="Times New Roman" w:hAnsi="Times New Roman"/>
          <w:szCs w:val="24"/>
        </w:rPr>
        <w:t xml:space="preserve">and </w:t>
      </w:r>
      <w:r w:rsidR="00693C4C" w:rsidRPr="00684FB9">
        <w:rPr>
          <w:rFonts w:ascii="Times New Roman" w:hAnsi="Times New Roman"/>
          <w:szCs w:val="24"/>
        </w:rPr>
        <w:t xml:space="preserve">making the best use of the Team Europe approach when engaging with partner countries on TSD </w:t>
      </w:r>
      <w:r>
        <w:rPr>
          <w:rFonts w:ascii="Times New Roman" w:hAnsi="Times New Roman"/>
          <w:b/>
          <w:szCs w:val="24"/>
        </w:rPr>
        <w:t>(paragraph 5</w:t>
      </w:r>
      <w:r w:rsidRPr="00930687">
        <w:rPr>
          <w:rFonts w:ascii="Times New Roman" w:hAnsi="Times New Roman"/>
          <w:b/>
          <w:szCs w:val="24"/>
        </w:rPr>
        <w:t>)</w:t>
      </w:r>
      <w:r>
        <w:rPr>
          <w:rFonts w:ascii="Times New Roman" w:hAnsi="Times New Roman"/>
          <w:szCs w:val="24"/>
        </w:rPr>
        <w:t>.</w:t>
      </w:r>
    </w:p>
    <w:p w14:paraId="6DA25A2C" w14:textId="316D10C2" w:rsidR="00693C4C" w:rsidRDefault="00693C4C" w:rsidP="00693C4C">
      <w:pPr>
        <w:widowControl w:val="0"/>
        <w:spacing w:after="120"/>
        <w:rPr>
          <w:rFonts w:ascii="Times New Roman" w:hAnsi="Times New Roman"/>
          <w:szCs w:val="24"/>
        </w:rPr>
      </w:pPr>
      <w:r>
        <w:rPr>
          <w:rFonts w:ascii="Times New Roman" w:hAnsi="Times New Roman"/>
          <w:szCs w:val="24"/>
        </w:rPr>
        <w:t xml:space="preserve">The Commission </w:t>
      </w:r>
      <w:r w:rsidR="00710BDE">
        <w:rPr>
          <w:rFonts w:ascii="Times New Roman" w:hAnsi="Times New Roman"/>
          <w:szCs w:val="24"/>
        </w:rPr>
        <w:t xml:space="preserve">welcomes </w:t>
      </w:r>
      <w:r w:rsidR="001F4C08">
        <w:rPr>
          <w:rFonts w:ascii="Times New Roman" w:hAnsi="Times New Roman"/>
          <w:szCs w:val="24"/>
        </w:rPr>
        <w:t xml:space="preserve">that </w:t>
      </w:r>
      <w:r>
        <w:rPr>
          <w:rFonts w:ascii="Times New Roman" w:hAnsi="Times New Roman"/>
          <w:szCs w:val="24"/>
        </w:rPr>
        <w:t>the Parliament</w:t>
      </w:r>
      <w:r w:rsidR="001F4C08">
        <w:rPr>
          <w:rFonts w:ascii="Times New Roman" w:hAnsi="Times New Roman"/>
          <w:szCs w:val="24"/>
        </w:rPr>
        <w:t xml:space="preserve"> supports </w:t>
      </w:r>
      <w:r w:rsidR="00C177F3" w:rsidRPr="003146CD">
        <w:rPr>
          <w:rFonts w:ascii="Times New Roman" w:hAnsi="Times New Roman"/>
          <w:szCs w:val="24"/>
        </w:rPr>
        <w:t>the creation of the Chief Trade Enforcement Officer (CTEO) function and</w:t>
      </w:r>
      <w:r w:rsidR="00C177F3">
        <w:rPr>
          <w:rFonts w:ascii="Times New Roman" w:hAnsi="Times New Roman"/>
          <w:szCs w:val="24"/>
        </w:rPr>
        <w:t xml:space="preserve"> </w:t>
      </w:r>
      <w:r w:rsidR="00C177F3" w:rsidRPr="003146CD">
        <w:rPr>
          <w:rFonts w:ascii="Times New Roman" w:hAnsi="Times New Roman"/>
          <w:szCs w:val="24"/>
        </w:rPr>
        <w:t>the Single Entry Point</w:t>
      </w:r>
      <w:r w:rsidR="00C177F3">
        <w:rPr>
          <w:rFonts w:ascii="Times New Roman" w:hAnsi="Times New Roman"/>
          <w:szCs w:val="24"/>
        </w:rPr>
        <w:t xml:space="preserve">, </w:t>
      </w:r>
      <w:r>
        <w:rPr>
          <w:rFonts w:ascii="Times New Roman" w:hAnsi="Times New Roman"/>
          <w:szCs w:val="24"/>
        </w:rPr>
        <w:t xml:space="preserve">and </w:t>
      </w:r>
      <w:r w:rsidR="00DD03A2">
        <w:rPr>
          <w:rFonts w:ascii="Times New Roman" w:hAnsi="Times New Roman"/>
          <w:szCs w:val="24"/>
        </w:rPr>
        <w:t xml:space="preserve">confirms </w:t>
      </w:r>
      <w:r>
        <w:rPr>
          <w:rFonts w:ascii="Times New Roman" w:hAnsi="Times New Roman"/>
          <w:szCs w:val="24"/>
        </w:rPr>
        <w:t xml:space="preserve">its commitment </w:t>
      </w:r>
      <w:r w:rsidR="00C177F3">
        <w:rPr>
          <w:rFonts w:ascii="Times New Roman" w:hAnsi="Times New Roman"/>
          <w:szCs w:val="24"/>
        </w:rPr>
        <w:t xml:space="preserve">to give </w:t>
      </w:r>
      <w:r w:rsidR="002D23F8">
        <w:rPr>
          <w:rFonts w:ascii="Times New Roman" w:hAnsi="Times New Roman"/>
          <w:szCs w:val="24"/>
        </w:rPr>
        <w:t xml:space="preserve">no less </w:t>
      </w:r>
      <w:r w:rsidR="00C177F3" w:rsidRPr="003146CD">
        <w:rPr>
          <w:rFonts w:ascii="Times New Roman" w:hAnsi="Times New Roman"/>
          <w:szCs w:val="24"/>
        </w:rPr>
        <w:t xml:space="preserve">importance to alleged breaches of TSD </w:t>
      </w:r>
      <w:r w:rsidR="002D23F8">
        <w:rPr>
          <w:rFonts w:ascii="Times New Roman" w:hAnsi="Times New Roman"/>
          <w:szCs w:val="24"/>
        </w:rPr>
        <w:t xml:space="preserve">commitments compared to </w:t>
      </w:r>
      <w:r w:rsidR="00710BDE" w:rsidRPr="00710BDE">
        <w:rPr>
          <w:rFonts w:ascii="Times New Roman" w:hAnsi="Times New Roman"/>
          <w:szCs w:val="24"/>
        </w:rPr>
        <w:t>other alleged breaches</w:t>
      </w:r>
      <w:r w:rsidR="00DD03A2">
        <w:rPr>
          <w:rFonts w:ascii="Times New Roman" w:hAnsi="Times New Roman"/>
          <w:szCs w:val="24"/>
        </w:rPr>
        <w:t>,</w:t>
      </w:r>
      <w:r w:rsidR="00710BDE" w:rsidRPr="00710BDE">
        <w:rPr>
          <w:rFonts w:ascii="Times New Roman" w:hAnsi="Times New Roman"/>
          <w:szCs w:val="24"/>
        </w:rPr>
        <w:t xml:space="preserve"> such as those related to </w:t>
      </w:r>
      <w:r>
        <w:rPr>
          <w:rFonts w:ascii="Times New Roman" w:hAnsi="Times New Roman"/>
          <w:szCs w:val="24"/>
        </w:rPr>
        <w:t>market access</w:t>
      </w:r>
      <w:r w:rsidR="002D23F8">
        <w:rPr>
          <w:rFonts w:ascii="Times New Roman" w:hAnsi="Times New Roman"/>
          <w:szCs w:val="24"/>
        </w:rPr>
        <w:t xml:space="preserve">. As an </w:t>
      </w:r>
      <w:r w:rsidR="00215B1F">
        <w:rPr>
          <w:rFonts w:ascii="Times New Roman" w:hAnsi="Times New Roman"/>
          <w:szCs w:val="24"/>
        </w:rPr>
        <w:t>immediate</w:t>
      </w:r>
      <w:r w:rsidR="002D23F8">
        <w:rPr>
          <w:rFonts w:ascii="Times New Roman" w:hAnsi="Times New Roman"/>
          <w:szCs w:val="24"/>
        </w:rPr>
        <w:t xml:space="preserve"> </w:t>
      </w:r>
      <w:r w:rsidR="00DD03A2">
        <w:rPr>
          <w:rFonts w:ascii="Times New Roman" w:hAnsi="Times New Roman"/>
          <w:szCs w:val="24"/>
        </w:rPr>
        <w:t>follow-up to</w:t>
      </w:r>
      <w:r w:rsidR="002D23F8" w:rsidRPr="002D23F8">
        <w:rPr>
          <w:rFonts w:ascii="Times New Roman" w:hAnsi="Times New Roman"/>
          <w:szCs w:val="24"/>
        </w:rPr>
        <w:t xml:space="preserve"> the </w:t>
      </w:r>
      <w:r w:rsidR="002D23F8">
        <w:rPr>
          <w:rFonts w:ascii="Times New Roman" w:hAnsi="Times New Roman"/>
          <w:szCs w:val="24"/>
        </w:rPr>
        <w:t xml:space="preserve">TSD </w:t>
      </w:r>
      <w:r w:rsidR="002D23F8" w:rsidRPr="002D23F8">
        <w:rPr>
          <w:rFonts w:ascii="Times New Roman" w:hAnsi="Times New Roman"/>
          <w:szCs w:val="24"/>
        </w:rPr>
        <w:t xml:space="preserve">Communication, </w:t>
      </w:r>
      <w:r w:rsidR="002D23F8">
        <w:rPr>
          <w:rFonts w:ascii="Times New Roman" w:hAnsi="Times New Roman"/>
          <w:szCs w:val="24"/>
        </w:rPr>
        <w:t xml:space="preserve">the Commission decided to apply </w:t>
      </w:r>
      <w:r w:rsidR="00A45836">
        <w:rPr>
          <w:rFonts w:ascii="Times New Roman" w:hAnsi="Times New Roman"/>
          <w:szCs w:val="24"/>
        </w:rPr>
        <w:t xml:space="preserve">indicative </w:t>
      </w:r>
      <w:r w:rsidR="002D23F8">
        <w:rPr>
          <w:rFonts w:ascii="Times New Roman" w:hAnsi="Times New Roman"/>
          <w:szCs w:val="24"/>
        </w:rPr>
        <w:t>timelines to the processing of TSD complaints</w:t>
      </w:r>
      <w:r w:rsidR="00306EC9" w:rsidRPr="00306EC9">
        <w:rPr>
          <w:rFonts w:ascii="Times New Roman" w:hAnsi="Times New Roman"/>
          <w:szCs w:val="24"/>
        </w:rPr>
        <w:t xml:space="preserve">, </w:t>
      </w:r>
      <w:r w:rsidR="00306EC9">
        <w:rPr>
          <w:rFonts w:ascii="Times New Roman" w:hAnsi="Times New Roman"/>
          <w:szCs w:val="24"/>
        </w:rPr>
        <w:t xml:space="preserve">as </w:t>
      </w:r>
      <w:r w:rsidR="00306EC9" w:rsidRPr="00306EC9">
        <w:rPr>
          <w:rFonts w:ascii="Times New Roman" w:hAnsi="Times New Roman"/>
          <w:szCs w:val="24"/>
        </w:rPr>
        <w:t xml:space="preserve">reflected in the </w:t>
      </w:r>
      <w:r w:rsidR="00306EC9">
        <w:rPr>
          <w:rFonts w:ascii="Times New Roman" w:hAnsi="Times New Roman"/>
          <w:szCs w:val="24"/>
        </w:rPr>
        <w:t xml:space="preserve">updated </w:t>
      </w:r>
      <w:r w:rsidR="00306EC9" w:rsidRPr="00306EC9">
        <w:rPr>
          <w:rFonts w:ascii="Times New Roman" w:hAnsi="Times New Roman"/>
          <w:szCs w:val="24"/>
        </w:rPr>
        <w:t>Operating guidelines for the Single Entry Point</w:t>
      </w:r>
      <w:r w:rsidR="00306EC9">
        <w:rPr>
          <w:rFonts w:ascii="Times New Roman" w:hAnsi="Times New Roman"/>
          <w:szCs w:val="24"/>
        </w:rPr>
        <w:t>.</w:t>
      </w:r>
      <w:r w:rsidR="002D23F8">
        <w:rPr>
          <w:rFonts w:ascii="Times New Roman" w:hAnsi="Times New Roman"/>
          <w:szCs w:val="24"/>
        </w:rPr>
        <w:t xml:space="preserve"> </w:t>
      </w:r>
      <w:r w:rsidR="00DD03A2">
        <w:rPr>
          <w:rFonts w:ascii="Times New Roman" w:hAnsi="Times New Roman"/>
          <w:szCs w:val="24"/>
        </w:rPr>
        <w:t>The Commission will also continue to strive for c</w:t>
      </w:r>
      <w:r w:rsidR="00C177F3" w:rsidRPr="003146CD">
        <w:rPr>
          <w:rFonts w:ascii="Times New Roman" w:hAnsi="Times New Roman"/>
          <w:szCs w:val="24"/>
        </w:rPr>
        <w:t xml:space="preserve">lear and precise </w:t>
      </w:r>
      <w:r w:rsidR="00C177F3">
        <w:rPr>
          <w:rFonts w:ascii="Times New Roman" w:hAnsi="Times New Roman"/>
          <w:szCs w:val="24"/>
        </w:rPr>
        <w:t xml:space="preserve">TSD </w:t>
      </w:r>
      <w:r w:rsidR="00C177F3" w:rsidRPr="003146CD">
        <w:rPr>
          <w:rFonts w:ascii="Times New Roman" w:hAnsi="Times New Roman"/>
          <w:szCs w:val="24"/>
        </w:rPr>
        <w:t>commitments</w:t>
      </w:r>
      <w:r w:rsidR="00DD03A2">
        <w:rPr>
          <w:rFonts w:ascii="Times New Roman" w:hAnsi="Times New Roman"/>
          <w:szCs w:val="24"/>
        </w:rPr>
        <w:t>,</w:t>
      </w:r>
      <w:r w:rsidR="00C177F3" w:rsidRPr="003146CD">
        <w:rPr>
          <w:rFonts w:ascii="Times New Roman" w:hAnsi="Times New Roman"/>
          <w:szCs w:val="24"/>
        </w:rPr>
        <w:t xml:space="preserve"> </w:t>
      </w:r>
      <w:r w:rsidR="00DD03A2">
        <w:rPr>
          <w:rFonts w:ascii="Times New Roman" w:hAnsi="Times New Roman"/>
          <w:szCs w:val="24"/>
        </w:rPr>
        <w:t xml:space="preserve">as the Commission agrees with the Parliament that this is </w:t>
      </w:r>
      <w:r>
        <w:rPr>
          <w:rFonts w:ascii="Times New Roman" w:hAnsi="Times New Roman"/>
          <w:szCs w:val="24"/>
        </w:rPr>
        <w:t>important to facilitate</w:t>
      </w:r>
      <w:r w:rsidR="002D23F8">
        <w:rPr>
          <w:rFonts w:ascii="Times New Roman" w:hAnsi="Times New Roman"/>
          <w:szCs w:val="24"/>
        </w:rPr>
        <w:t xml:space="preserve"> implementation and enforcement </w:t>
      </w:r>
      <w:r w:rsidR="00C177F3" w:rsidRPr="003146CD">
        <w:rPr>
          <w:rFonts w:ascii="Times New Roman" w:hAnsi="Times New Roman"/>
          <w:b/>
          <w:szCs w:val="24"/>
        </w:rPr>
        <w:t>(paragraph 6)</w:t>
      </w:r>
      <w:r w:rsidR="00431451">
        <w:rPr>
          <w:rFonts w:ascii="Times New Roman" w:hAnsi="Times New Roman"/>
          <w:szCs w:val="24"/>
        </w:rPr>
        <w:t>.</w:t>
      </w:r>
    </w:p>
    <w:p w14:paraId="086A3DD4" w14:textId="674EFF19" w:rsidR="004D2C96" w:rsidRDefault="00693C4C" w:rsidP="00215AAB">
      <w:pPr>
        <w:widowControl w:val="0"/>
        <w:spacing w:after="120"/>
        <w:rPr>
          <w:rFonts w:ascii="Times New Roman" w:hAnsi="Times New Roman"/>
          <w:szCs w:val="24"/>
        </w:rPr>
      </w:pPr>
      <w:r>
        <w:rPr>
          <w:rFonts w:ascii="Times New Roman" w:hAnsi="Times New Roman"/>
          <w:szCs w:val="24"/>
        </w:rPr>
        <w:t>S</w:t>
      </w:r>
      <w:r w:rsidR="00C177F3" w:rsidRPr="00581821">
        <w:rPr>
          <w:rFonts w:ascii="Times New Roman" w:hAnsi="Times New Roman"/>
          <w:szCs w:val="24"/>
        </w:rPr>
        <w:t xml:space="preserve">upporting a stronger </w:t>
      </w:r>
      <w:r w:rsidR="006C779B" w:rsidRPr="006C779B">
        <w:rPr>
          <w:rFonts w:ascii="Times New Roman" w:hAnsi="Times New Roman"/>
          <w:szCs w:val="24"/>
        </w:rPr>
        <w:t>structured</w:t>
      </w:r>
      <w:r w:rsidR="006C779B">
        <w:rPr>
          <w:rFonts w:ascii="Times New Roman" w:hAnsi="Times New Roman"/>
          <w:szCs w:val="24"/>
        </w:rPr>
        <w:t xml:space="preserve"> </w:t>
      </w:r>
      <w:r w:rsidR="00C177F3" w:rsidRPr="00581821">
        <w:rPr>
          <w:rFonts w:ascii="Times New Roman" w:hAnsi="Times New Roman"/>
          <w:szCs w:val="24"/>
        </w:rPr>
        <w:t xml:space="preserve">role for </w:t>
      </w:r>
      <w:r>
        <w:rPr>
          <w:rFonts w:ascii="Times New Roman" w:hAnsi="Times New Roman"/>
          <w:szCs w:val="24"/>
        </w:rPr>
        <w:t xml:space="preserve">the </w:t>
      </w:r>
      <w:r w:rsidR="00C177F3" w:rsidRPr="00581821">
        <w:rPr>
          <w:rFonts w:ascii="Times New Roman" w:hAnsi="Times New Roman"/>
          <w:szCs w:val="24"/>
        </w:rPr>
        <w:t xml:space="preserve">DAGs, </w:t>
      </w:r>
      <w:r w:rsidR="00431451">
        <w:rPr>
          <w:rFonts w:ascii="Times New Roman" w:hAnsi="Times New Roman"/>
          <w:szCs w:val="24"/>
        </w:rPr>
        <w:t xml:space="preserve">including </w:t>
      </w:r>
      <w:r w:rsidR="00C177F3" w:rsidRPr="00581821">
        <w:rPr>
          <w:rFonts w:ascii="Times New Roman" w:hAnsi="Times New Roman"/>
          <w:szCs w:val="24"/>
        </w:rPr>
        <w:t xml:space="preserve">with financial resources and technical assistance, </w:t>
      </w:r>
      <w:r>
        <w:rPr>
          <w:rFonts w:ascii="Times New Roman" w:hAnsi="Times New Roman"/>
          <w:szCs w:val="24"/>
        </w:rPr>
        <w:t xml:space="preserve">is one of the key </w:t>
      </w:r>
      <w:r w:rsidR="006C779B">
        <w:rPr>
          <w:rFonts w:ascii="Times New Roman" w:hAnsi="Times New Roman"/>
          <w:szCs w:val="24"/>
        </w:rPr>
        <w:t>priorities</w:t>
      </w:r>
      <w:r>
        <w:rPr>
          <w:rFonts w:ascii="Times New Roman" w:hAnsi="Times New Roman"/>
          <w:szCs w:val="24"/>
        </w:rPr>
        <w:t xml:space="preserve"> </w:t>
      </w:r>
      <w:r w:rsidR="00710BDE">
        <w:rPr>
          <w:rFonts w:ascii="Times New Roman" w:hAnsi="Times New Roman"/>
          <w:szCs w:val="24"/>
        </w:rPr>
        <w:t xml:space="preserve">set out in </w:t>
      </w:r>
      <w:r>
        <w:rPr>
          <w:rFonts w:ascii="Times New Roman" w:hAnsi="Times New Roman"/>
          <w:szCs w:val="24"/>
        </w:rPr>
        <w:t>the Communication, which includes</w:t>
      </w:r>
      <w:r w:rsidR="00ED4DD7">
        <w:rPr>
          <w:rFonts w:ascii="Times New Roman" w:hAnsi="Times New Roman"/>
          <w:szCs w:val="24"/>
        </w:rPr>
        <w:t xml:space="preserve"> </w:t>
      </w:r>
      <w:r>
        <w:rPr>
          <w:rFonts w:ascii="Times New Roman" w:hAnsi="Times New Roman"/>
          <w:szCs w:val="24"/>
        </w:rPr>
        <w:t xml:space="preserve">seven action points </w:t>
      </w:r>
      <w:r w:rsidR="00DD03A2">
        <w:rPr>
          <w:rFonts w:ascii="Times New Roman" w:hAnsi="Times New Roman"/>
          <w:szCs w:val="24"/>
        </w:rPr>
        <w:t>on that priority</w:t>
      </w:r>
      <w:r>
        <w:rPr>
          <w:rFonts w:ascii="Times New Roman" w:hAnsi="Times New Roman"/>
          <w:szCs w:val="24"/>
        </w:rPr>
        <w:t>.</w:t>
      </w:r>
      <w:r w:rsidRPr="00693C4C">
        <w:rPr>
          <w:rFonts w:ascii="Times New Roman" w:hAnsi="Times New Roman"/>
          <w:szCs w:val="24"/>
        </w:rPr>
        <w:t xml:space="preserve"> </w:t>
      </w:r>
      <w:r>
        <w:rPr>
          <w:rFonts w:ascii="Times New Roman" w:hAnsi="Times New Roman"/>
          <w:szCs w:val="24"/>
        </w:rPr>
        <w:t>In implement</w:t>
      </w:r>
      <w:r w:rsidR="00DD03A2">
        <w:rPr>
          <w:rFonts w:ascii="Times New Roman" w:hAnsi="Times New Roman"/>
          <w:szCs w:val="24"/>
        </w:rPr>
        <w:t>ing</w:t>
      </w:r>
      <w:r>
        <w:rPr>
          <w:rFonts w:ascii="Times New Roman" w:hAnsi="Times New Roman"/>
          <w:szCs w:val="24"/>
        </w:rPr>
        <w:t xml:space="preserve"> the Communication</w:t>
      </w:r>
      <w:r w:rsidR="00C27095">
        <w:rPr>
          <w:rFonts w:ascii="Times New Roman" w:hAnsi="Times New Roman"/>
          <w:szCs w:val="24"/>
        </w:rPr>
        <w:t>,</w:t>
      </w:r>
      <w:r>
        <w:rPr>
          <w:rFonts w:ascii="Times New Roman" w:hAnsi="Times New Roman"/>
          <w:szCs w:val="24"/>
        </w:rPr>
        <w:t xml:space="preserve"> the Commission has </w:t>
      </w:r>
      <w:r w:rsidR="006C779B">
        <w:rPr>
          <w:rFonts w:ascii="Times New Roman" w:hAnsi="Times New Roman"/>
          <w:szCs w:val="24"/>
        </w:rPr>
        <w:t xml:space="preserve">recently </w:t>
      </w:r>
      <w:r>
        <w:rPr>
          <w:rFonts w:ascii="Times New Roman" w:hAnsi="Times New Roman"/>
          <w:szCs w:val="24"/>
        </w:rPr>
        <w:t xml:space="preserve">improved the </w:t>
      </w:r>
      <w:r w:rsidR="006C779B">
        <w:rPr>
          <w:rFonts w:ascii="Times New Roman" w:hAnsi="Times New Roman"/>
          <w:szCs w:val="24"/>
        </w:rPr>
        <w:t xml:space="preserve">guidelines on </w:t>
      </w:r>
      <w:r>
        <w:rPr>
          <w:rFonts w:ascii="Times New Roman" w:hAnsi="Times New Roman"/>
          <w:szCs w:val="24"/>
        </w:rPr>
        <w:t xml:space="preserve">access </w:t>
      </w:r>
      <w:r w:rsidR="006C779B">
        <w:rPr>
          <w:rFonts w:ascii="Times New Roman" w:hAnsi="Times New Roman"/>
          <w:szCs w:val="24"/>
        </w:rPr>
        <w:t xml:space="preserve">to the </w:t>
      </w:r>
      <w:r w:rsidR="006C779B" w:rsidRPr="003146CD">
        <w:rPr>
          <w:rFonts w:ascii="Times New Roman" w:hAnsi="Times New Roman"/>
          <w:szCs w:val="24"/>
        </w:rPr>
        <w:t xml:space="preserve">Single </w:t>
      </w:r>
      <w:r w:rsidR="006C779B" w:rsidRPr="00167A06">
        <w:rPr>
          <w:rFonts w:ascii="Times New Roman" w:hAnsi="Times New Roman"/>
          <w:szCs w:val="24"/>
        </w:rPr>
        <w:t xml:space="preserve">Entry Point </w:t>
      </w:r>
      <w:r w:rsidR="00151DDD" w:rsidRPr="00167A06">
        <w:rPr>
          <w:rFonts w:ascii="Times New Roman" w:hAnsi="Times New Roman"/>
          <w:szCs w:val="24"/>
        </w:rPr>
        <w:t xml:space="preserve">by </w:t>
      </w:r>
      <w:r w:rsidRPr="00167A06">
        <w:rPr>
          <w:rFonts w:ascii="Times New Roman" w:hAnsi="Times New Roman"/>
          <w:szCs w:val="24"/>
        </w:rPr>
        <w:t xml:space="preserve">EU DAGs and </w:t>
      </w:r>
      <w:r w:rsidR="00151DDD" w:rsidRPr="00167A06">
        <w:rPr>
          <w:rFonts w:ascii="Times New Roman" w:hAnsi="Times New Roman"/>
          <w:szCs w:val="24"/>
        </w:rPr>
        <w:t xml:space="preserve">by </w:t>
      </w:r>
      <w:r w:rsidR="006C779B" w:rsidRPr="00167A06">
        <w:rPr>
          <w:rFonts w:ascii="Times New Roman" w:hAnsi="Times New Roman"/>
          <w:szCs w:val="24"/>
        </w:rPr>
        <w:t xml:space="preserve">EU </w:t>
      </w:r>
      <w:r w:rsidRPr="00167A06">
        <w:rPr>
          <w:rFonts w:ascii="Times New Roman" w:hAnsi="Times New Roman"/>
          <w:szCs w:val="24"/>
        </w:rPr>
        <w:t>civil society organisations</w:t>
      </w:r>
      <w:r w:rsidR="00DD03A2">
        <w:rPr>
          <w:rFonts w:ascii="Times New Roman" w:hAnsi="Times New Roman"/>
          <w:szCs w:val="24"/>
        </w:rPr>
        <w:t xml:space="preserve">. In particular, </w:t>
      </w:r>
      <w:r w:rsidR="00710BDE">
        <w:rPr>
          <w:rFonts w:ascii="Times New Roman" w:hAnsi="Times New Roman"/>
          <w:szCs w:val="24"/>
        </w:rPr>
        <w:t xml:space="preserve">the Commission </w:t>
      </w:r>
      <w:r w:rsidR="006C779B" w:rsidRPr="00167A06">
        <w:rPr>
          <w:rFonts w:ascii="Times New Roman" w:hAnsi="Times New Roman"/>
          <w:szCs w:val="24"/>
        </w:rPr>
        <w:t>confirm</w:t>
      </w:r>
      <w:r w:rsidR="00710BDE">
        <w:rPr>
          <w:rFonts w:ascii="Times New Roman" w:hAnsi="Times New Roman"/>
          <w:szCs w:val="24"/>
        </w:rPr>
        <w:t>s</w:t>
      </w:r>
      <w:r w:rsidR="006C779B" w:rsidRPr="00167A06">
        <w:rPr>
          <w:rFonts w:ascii="Times New Roman" w:hAnsi="Times New Roman"/>
          <w:szCs w:val="24"/>
        </w:rPr>
        <w:t xml:space="preserve"> that </w:t>
      </w:r>
      <w:r w:rsidR="00513E96">
        <w:rPr>
          <w:rFonts w:ascii="Times New Roman" w:hAnsi="Times New Roman"/>
          <w:szCs w:val="24"/>
        </w:rPr>
        <w:t>E</w:t>
      </w:r>
      <w:r w:rsidR="00DD03A2">
        <w:rPr>
          <w:rFonts w:ascii="Times New Roman" w:hAnsi="Times New Roman"/>
          <w:szCs w:val="24"/>
        </w:rPr>
        <w:t>U DAGs and EU civil society organisations</w:t>
      </w:r>
      <w:r w:rsidR="00DD03A2" w:rsidRPr="00167A06">
        <w:rPr>
          <w:rFonts w:ascii="Times New Roman" w:hAnsi="Times New Roman"/>
          <w:szCs w:val="24"/>
        </w:rPr>
        <w:t xml:space="preserve"> </w:t>
      </w:r>
      <w:r w:rsidR="00710BDE">
        <w:rPr>
          <w:rFonts w:ascii="Times New Roman" w:hAnsi="Times New Roman"/>
          <w:szCs w:val="24"/>
        </w:rPr>
        <w:t xml:space="preserve">can </w:t>
      </w:r>
      <w:r w:rsidR="006C779B" w:rsidRPr="00167A06">
        <w:rPr>
          <w:rFonts w:ascii="Times New Roman" w:hAnsi="Times New Roman"/>
          <w:szCs w:val="24"/>
        </w:rPr>
        <w:t>submit collective complaints</w:t>
      </w:r>
      <w:r w:rsidR="00DD03A2">
        <w:rPr>
          <w:rFonts w:ascii="Times New Roman" w:hAnsi="Times New Roman"/>
          <w:szCs w:val="24"/>
        </w:rPr>
        <w:t>,</w:t>
      </w:r>
      <w:r w:rsidR="00C47A0C">
        <w:rPr>
          <w:rFonts w:ascii="Times New Roman" w:hAnsi="Times New Roman"/>
          <w:szCs w:val="24"/>
        </w:rPr>
        <w:t xml:space="preserve"> </w:t>
      </w:r>
      <w:r w:rsidR="00C47A0C" w:rsidRPr="00C47A0C">
        <w:rPr>
          <w:rFonts w:ascii="Times New Roman" w:hAnsi="Times New Roman"/>
          <w:szCs w:val="24"/>
        </w:rPr>
        <w:t xml:space="preserve">including </w:t>
      </w:r>
      <w:r w:rsidR="00DD03A2">
        <w:rPr>
          <w:rFonts w:ascii="Times New Roman" w:hAnsi="Times New Roman"/>
          <w:szCs w:val="24"/>
        </w:rPr>
        <w:t xml:space="preserve">to </w:t>
      </w:r>
      <w:r w:rsidR="00C47A0C" w:rsidRPr="00C47A0C">
        <w:rPr>
          <w:rFonts w:ascii="Times New Roman" w:hAnsi="Times New Roman"/>
          <w:szCs w:val="24"/>
        </w:rPr>
        <w:t>represen</w:t>
      </w:r>
      <w:r w:rsidR="00DD03A2">
        <w:rPr>
          <w:rFonts w:ascii="Times New Roman" w:hAnsi="Times New Roman"/>
          <w:szCs w:val="24"/>
        </w:rPr>
        <w:t>t</w:t>
      </w:r>
      <w:r w:rsidR="00C47A0C" w:rsidRPr="00C47A0C">
        <w:rPr>
          <w:rFonts w:ascii="Times New Roman" w:hAnsi="Times New Roman"/>
          <w:szCs w:val="24"/>
        </w:rPr>
        <w:t xml:space="preserve"> interests of similar entities </w:t>
      </w:r>
      <w:r w:rsidR="00C47A0C">
        <w:rPr>
          <w:rFonts w:ascii="Times New Roman" w:hAnsi="Times New Roman"/>
          <w:szCs w:val="24"/>
        </w:rPr>
        <w:t>in partner countries</w:t>
      </w:r>
      <w:r w:rsidR="00710BDE">
        <w:rPr>
          <w:rFonts w:ascii="Times New Roman" w:hAnsi="Times New Roman"/>
          <w:szCs w:val="24"/>
        </w:rPr>
        <w:t xml:space="preserve"> outside the EU</w:t>
      </w:r>
      <w:r w:rsidR="006C779B" w:rsidRPr="00167A06">
        <w:rPr>
          <w:rFonts w:ascii="Times New Roman" w:hAnsi="Times New Roman"/>
          <w:szCs w:val="24"/>
        </w:rPr>
        <w:t xml:space="preserve">. The Commission </w:t>
      </w:r>
      <w:r w:rsidR="003D014B">
        <w:rPr>
          <w:rFonts w:ascii="Times New Roman" w:hAnsi="Times New Roman"/>
          <w:szCs w:val="24"/>
        </w:rPr>
        <w:t xml:space="preserve">confirms that it </w:t>
      </w:r>
      <w:r w:rsidR="006C779B" w:rsidRPr="00167A06">
        <w:rPr>
          <w:rFonts w:ascii="Times New Roman" w:hAnsi="Times New Roman"/>
          <w:szCs w:val="24"/>
        </w:rPr>
        <w:t>has received</w:t>
      </w:r>
      <w:r w:rsidR="00215AAB">
        <w:rPr>
          <w:rFonts w:ascii="Times New Roman" w:hAnsi="Times New Roman"/>
          <w:szCs w:val="24"/>
        </w:rPr>
        <w:t>, on 17 May 2022,</w:t>
      </w:r>
      <w:r w:rsidR="006C779B" w:rsidRPr="00167A06">
        <w:rPr>
          <w:rFonts w:ascii="Times New Roman" w:hAnsi="Times New Roman"/>
          <w:szCs w:val="24"/>
        </w:rPr>
        <w:t xml:space="preserve"> a TSD complaint lodged by </w:t>
      </w:r>
      <w:r w:rsidR="002D23F8" w:rsidRPr="00167A06">
        <w:rPr>
          <w:rFonts w:ascii="Times New Roman" w:hAnsi="Times New Roman"/>
          <w:szCs w:val="24"/>
        </w:rPr>
        <w:t>an</w:t>
      </w:r>
      <w:r w:rsidR="006C779B" w:rsidRPr="00167A06">
        <w:rPr>
          <w:rFonts w:ascii="Times New Roman" w:hAnsi="Times New Roman"/>
          <w:szCs w:val="24"/>
        </w:rPr>
        <w:t xml:space="preserve"> EU trade union association on behalf of organisations in partner countries</w:t>
      </w:r>
      <w:r w:rsidR="00694A12">
        <w:rPr>
          <w:rFonts w:ascii="Times New Roman" w:hAnsi="Times New Roman"/>
          <w:szCs w:val="24"/>
        </w:rPr>
        <w:t>.</w:t>
      </w:r>
      <w:r w:rsidR="006C779B" w:rsidRPr="00167A06">
        <w:rPr>
          <w:rFonts w:ascii="Times New Roman" w:hAnsi="Times New Roman"/>
          <w:szCs w:val="24"/>
        </w:rPr>
        <w:t xml:space="preserve"> </w:t>
      </w:r>
      <w:r w:rsidR="006C779B">
        <w:rPr>
          <w:rFonts w:ascii="Times New Roman" w:hAnsi="Times New Roman"/>
          <w:szCs w:val="24"/>
        </w:rPr>
        <w:t xml:space="preserve">The Commission welcomes the </w:t>
      </w:r>
      <w:r w:rsidR="00151DDD">
        <w:rPr>
          <w:rFonts w:ascii="Times New Roman" w:hAnsi="Times New Roman"/>
          <w:szCs w:val="24"/>
        </w:rPr>
        <w:t xml:space="preserve">intention of </w:t>
      </w:r>
      <w:r w:rsidR="006C779B">
        <w:rPr>
          <w:rFonts w:ascii="Times New Roman" w:hAnsi="Times New Roman"/>
          <w:szCs w:val="24"/>
        </w:rPr>
        <w:t xml:space="preserve">the INTA </w:t>
      </w:r>
      <w:r w:rsidR="006C779B" w:rsidRPr="006C779B">
        <w:rPr>
          <w:rFonts w:ascii="Times New Roman" w:hAnsi="Times New Roman"/>
          <w:szCs w:val="24"/>
        </w:rPr>
        <w:t>Committee to hold</w:t>
      </w:r>
      <w:r w:rsidR="00151DDD">
        <w:rPr>
          <w:rFonts w:ascii="Times New Roman" w:hAnsi="Times New Roman"/>
          <w:szCs w:val="24"/>
        </w:rPr>
        <w:t xml:space="preserve"> </w:t>
      </w:r>
      <w:r w:rsidR="006C779B" w:rsidRPr="006C779B">
        <w:rPr>
          <w:rFonts w:ascii="Times New Roman" w:hAnsi="Times New Roman"/>
          <w:szCs w:val="24"/>
        </w:rPr>
        <w:t>an annual debate with</w:t>
      </w:r>
      <w:r w:rsidR="006C779B">
        <w:rPr>
          <w:rFonts w:ascii="Times New Roman" w:hAnsi="Times New Roman"/>
          <w:szCs w:val="24"/>
        </w:rPr>
        <w:t xml:space="preserve"> </w:t>
      </w:r>
      <w:r w:rsidR="006C779B" w:rsidRPr="006C779B">
        <w:rPr>
          <w:rFonts w:ascii="Times New Roman" w:hAnsi="Times New Roman"/>
          <w:szCs w:val="24"/>
        </w:rPr>
        <w:t xml:space="preserve">representatives of </w:t>
      </w:r>
      <w:r w:rsidR="00151DDD">
        <w:rPr>
          <w:rFonts w:ascii="Times New Roman" w:hAnsi="Times New Roman"/>
          <w:szCs w:val="24"/>
        </w:rPr>
        <w:t xml:space="preserve">the </w:t>
      </w:r>
      <w:r w:rsidR="006C779B" w:rsidRPr="006C779B">
        <w:rPr>
          <w:rFonts w:ascii="Times New Roman" w:hAnsi="Times New Roman"/>
          <w:szCs w:val="24"/>
        </w:rPr>
        <w:t>DAGs</w:t>
      </w:r>
      <w:r w:rsidR="00151DDD">
        <w:rPr>
          <w:rFonts w:ascii="Times New Roman" w:hAnsi="Times New Roman"/>
          <w:szCs w:val="24"/>
        </w:rPr>
        <w:t xml:space="preserve">, </w:t>
      </w:r>
      <w:r w:rsidR="006C779B">
        <w:rPr>
          <w:rFonts w:ascii="Times New Roman" w:hAnsi="Times New Roman"/>
          <w:szCs w:val="24"/>
        </w:rPr>
        <w:t xml:space="preserve">and agrees </w:t>
      </w:r>
      <w:r w:rsidR="00710BDE">
        <w:rPr>
          <w:rFonts w:ascii="Times New Roman" w:hAnsi="Times New Roman"/>
          <w:szCs w:val="24"/>
        </w:rPr>
        <w:t xml:space="preserve">on </w:t>
      </w:r>
      <w:r w:rsidR="006C779B">
        <w:rPr>
          <w:rFonts w:ascii="Times New Roman" w:hAnsi="Times New Roman"/>
          <w:szCs w:val="24"/>
        </w:rPr>
        <w:t xml:space="preserve">the value of </w:t>
      </w:r>
      <w:r w:rsidR="006C779B" w:rsidRPr="006C779B">
        <w:rPr>
          <w:rFonts w:ascii="Times New Roman" w:hAnsi="Times New Roman"/>
          <w:szCs w:val="24"/>
        </w:rPr>
        <w:t>closer exchange</w:t>
      </w:r>
      <w:r w:rsidR="00151DDD">
        <w:rPr>
          <w:rFonts w:ascii="Times New Roman" w:hAnsi="Times New Roman"/>
          <w:szCs w:val="24"/>
        </w:rPr>
        <w:t>s</w:t>
      </w:r>
      <w:r w:rsidR="006C779B" w:rsidRPr="006C779B">
        <w:rPr>
          <w:rFonts w:ascii="Times New Roman" w:hAnsi="Times New Roman"/>
          <w:szCs w:val="24"/>
        </w:rPr>
        <w:t xml:space="preserve"> between </w:t>
      </w:r>
      <w:r w:rsidR="006C779B">
        <w:rPr>
          <w:rFonts w:ascii="Times New Roman" w:hAnsi="Times New Roman"/>
          <w:szCs w:val="24"/>
        </w:rPr>
        <w:t xml:space="preserve">the DAGs and the </w:t>
      </w:r>
      <w:r w:rsidR="006C779B" w:rsidRPr="006C779B">
        <w:rPr>
          <w:rFonts w:ascii="Times New Roman" w:hAnsi="Times New Roman"/>
          <w:szCs w:val="24"/>
        </w:rPr>
        <w:t>Parliament’s monitoring</w:t>
      </w:r>
      <w:r w:rsidR="006C779B">
        <w:rPr>
          <w:rFonts w:ascii="Times New Roman" w:hAnsi="Times New Roman"/>
          <w:szCs w:val="24"/>
        </w:rPr>
        <w:t xml:space="preserve"> </w:t>
      </w:r>
      <w:r w:rsidR="006C779B" w:rsidRPr="006C779B">
        <w:rPr>
          <w:rFonts w:ascii="Times New Roman" w:hAnsi="Times New Roman"/>
          <w:szCs w:val="24"/>
        </w:rPr>
        <w:t>groups and standing rapporteurs</w:t>
      </w:r>
      <w:r w:rsidR="006C779B">
        <w:rPr>
          <w:rFonts w:ascii="Times New Roman" w:hAnsi="Times New Roman"/>
          <w:szCs w:val="24"/>
        </w:rPr>
        <w:t xml:space="preserve">. </w:t>
      </w:r>
      <w:r w:rsidR="00151DDD">
        <w:rPr>
          <w:rFonts w:ascii="Times New Roman" w:hAnsi="Times New Roman"/>
          <w:szCs w:val="24"/>
        </w:rPr>
        <w:t>T</w:t>
      </w:r>
      <w:r w:rsidR="006C779B">
        <w:rPr>
          <w:rFonts w:ascii="Times New Roman" w:hAnsi="Times New Roman"/>
          <w:szCs w:val="24"/>
        </w:rPr>
        <w:t xml:space="preserve">he Commission </w:t>
      </w:r>
      <w:r w:rsidR="00151DDD">
        <w:rPr>
          <w:rFonts w:ascii="Times New Roman" w:hAnsi="Times New Roman"/>
          <w:szCs w:val="24"/>
        </w:rPr>
        <w:t xml:space="preserve">remains fully </w:t>
      </w:r>
      <w:r w:rsidR="006C779B">
        <w:rPr>
          <w:rFonts w:ascii="Times New Roman" w:hAnsi="Times New Roman"/>
          <w:szCs w:val="24"/>
        </w:rPr>
        <w:t>committed to support</w:t>
      </w:r>
      <w:r w:rsidR="00151DDD">
        <w:rPr>
          <w:rFonts w:ascii="Times New Roman" w:hAnsi="Times New Roman"/>
          <w:szCs w:val="24"/>
        </w:rPr>
        <w:t xml:space="preserve"> </w:t>
      </w:r>
      <w:r w:rsidR="006C779B" w:rsidRPr="006C779B">
        <w:rPr>
          <w:rFonts w:ascii="Times New Roman" w:hAnsi="Times New Roman"/>
          <w:szCs w:val="24"/>
        </w:rPr>
        <w:t>functioning DAGs in partner</w:t>
      </w:r>
      <w:r w:rsidR="006C779B">
        <w:rPr>
          <w:rFonts w:ascii="Times New Roman" w:hAnsi="Times New Roman"/>
          <w:szCs w:val="24"/>
        </w:rPr>
        <w:t xml:space="preserve"> </w:t>
      </w:r>
      <w:r w:rsidR="006C779B" w:rsidRPr="006C779B">
        <w:rPr>
          <w:rFonts w:ascii="Times New Roman" w:hAnsi="Times New Roman"/>
          <w:szCs w:val="24"/>
        </w:rPr>
        <w:t>countries and regions</w:t>
      </w:r>
      <w:r w:rsidR="00710BDE">
        <w:rPr>
          <w:rFonts w:ascii="Times New Roman" w:hAnsi="Times New Roman"/>
          <w:szCs w:val="24"/>
        </w:rPr>
        <w:t>.</w:t>
      </w:r>
      <w:r w:rsidR="00151DDD">
        <w:rPr>
          <w:rFonts w:ascii="Times New Roman" w:hAnsi="Times New Roman"/>
          <w:szCs w:val="24"/>
        </w:rPr>
        <w:t xml:space="preserve"> </w:t>
      </w:r>
      <w:r w:rsidR="00710BDE">
        <w:rPr>
          <w:rFonts w:ascii="Times New Roman" w:hAnsi="Times New Roman"/>
          <w:szCs w:val="24"/>
        </w:rPr>
        <w:t>T</w:t>
      </w:r>
      <w:r w:rsidR="00151DDD" w:rsidRPr="00151DDD">
        <w:rPr>
          <w:rFonts w:ascii="Times New Roman" w:hAnsi="Times New Roman"/>
          <w:szCs w:val="24"/>
        </w:rPr>
        <w:t xml:space="preserve">he interaction </w:t>
      </w:r>
      <w:r w:rsidR="00151DDD">
        <w:rPr>
          <w:rFonts w:ascii="Times New Roman" w:hAnsi="Times New Roman"/>
          <w:szCs w:val="24"/>
        </w:rPr>
        <w:t xml:space="preserve">with </w:t>
      </w:r>
      <w:r w:rsidR="00151DDD" w:rsidRPr="00151DDD">
        <w:rPr>
          <w:rFonts w:ascii="Times New Roman" w:hAnsi="Times New Roman"/>
          <w:szCs w:val="24"/>
        </w:rPr>
        <w:t xml:space="preserve">EU </w:t>
      </w:r>
      <w:r w:rsidR="00151DDD">
        <w:rPr>
          <w:rFonts w:ascii="Times New Roman" w:hAnsi="Times New Roman"/>
          <w:szCs w:val="24"/>
        </w:rPr>
        <w:t xml:space="preserve">DAGs, which may be facilitated by the Commission as appropriate, is a key component in that respect </w:t>
      </w:r>
      <w:r w:rsidR="006C779B" w:rsidRPr="003146CD">
        <w:rPr>
          <w:rFonts w:ascii="Times New Roman" w:hAnsi="Times New Roman"/>
          <w:b/>
          <w:szCs w:val="24"/>
        </w:rPr>
        <w:t xml:space="preserve">(paragraph </w:t>
      </w:r>
      <w:r w:rsidR="006C779B">
        <w:rPr>
          <w:rFonts w:ascii="Times New Roman" w:hAnsi="Times New Roman"/>
          <w:b/>
          <w:szCs w:val="24"/>
        </w:rPr>
        <w:t>7</w:t>
      </w:r>
      <w:r w:rsidR="006C779B" w:rsidRPr="003146CD">
        <w:rPr>
          <w:rFonts w:ascii="Times New Roman" w:hAnsi="Times New Roman"/>
          <w:b/>
          <w:szCs w:val="24"/>
        </w:rPr>
        <w:t>)</w:t>
      </w:r>
      <w:r w:rsidR="004D2C96">
        <w:rPr>
          <w:rFonts w:ascii="Times New Roman" w:hAnsi="Times New Roman"/>
          <w:szCs w:val="24"/>
        </w:rPr>
        <w:t>.</w:t>
      </w:r>
    </w:p>
    <w:p w14:paraId="6ED29A98" w14:textId="1D984D1A" w:rsidR="000D492D" w:rsidRDefault="004D2C96" w:rsidP="000D492D">
      <w:pPr>
        <w:widowControl w:val="0"/>
        <w:spacing w:after="120"/>
        <w:rPr>
          <w:rFonts w:ascii="Times New Roman" w:hAnsi="Times New Roman"/>
          <w:szCs w:val="24"/>
        </w:rPr>
      </w:pPr>
      <w:r>
        <w:rPr>
          <w:rFonts w:ascii="Times New Roman" w:hAnsi="Times New Roman"/>
          <w:szCs w:val="24"/>
        </w:rPr>
        <w:t>The Communication</w:t>
      </w:r>
      <w:r w:rsidR="000D492D">
        <w:rPr>
          <w:rFonts w:ascii="Times New Roman" w:hAnsi="Times New Roman"/>
          <w:szCs w:val="24"/>
        </w:rPr>
        <w:t xml:space="preserve"> aim</w:t>
      </w:r>
      <w:r>
        <w:rPr>
          <w:rFonts w:ascii="Times New Roman" w:hAnsi="Times New Roman"/>
          <w:szCs w:val="24"/>
        </w:rPr>
        <w:t xml:space="preserve">s </w:t>
      </w:r>
      <w:r w:rsidR="000D492D">
        <w:rPr>
          <w:rFonts w:ascii="Times New Roman" w:hAnsi="Times New Roman"/>
          <w:szCs w:val="24"/>
        </w:rPr>
        <w:t xml:space="preserve">at </w:t>
      </w:r>
      <w:r w:rsidRPr="004D2C96">
        <w:rPr>
          <w:rFonts w:ascii="Times New Roman" w:hAnsi="Times New Roman"/>
          <w:szCs w:val="24"/>
        </w:rPr>
        <w:t>further align</w:t>
      </w:r>
      <w:r w:rsidR="000D492D">
        <w:rPr>
          <w:rFonts w:ascii="Times New Roman" w:hAnsi="Times New Roman"/>
          <w:szCs w:val="24"/>
        </w:rPr>
        <w:t>ing</w:t>
      </w:r>
      <w:r>
        <w:rPr>
          <w:rFonts w:ascii="Times New Roman" w:hAnsi="Times New Roman"/>
          <w:szCs w:val="24"/>
        </w:rPr>
        <w:t xml:space="preserve"> </w:t>
      </w:r>
      <w:r w:rsidRPr="004D2C96">
        <w:rPr>
          <w:rFonts w:ascii="Times New Roman" w:hAnsi="Times New Roman"/>
          <w:szCs w:val="24"/>
        </w:rPr>
        <w:t>TSD enforcement with the general dispute</w:t>
      </w:r>
      <w:r>
        <w:rPr>
          <w:rFonts w:ascii="Times New Roman" w:hAnsi="Times New Roman"/>
          <w:szCs w:val="24"/>
        </w:rPr>
        <w:t xml:space="preserve"> </w:t>
      </w:r>
      <w:r w:rsidRPr="004D2C96">
        <w:rPr>
          <w:rFonts w:ascii="Times New Roman" w:hAnsi="Times New Roman"/>
          <w:szCs w:val="24"/>
        </w:rPr>
        <w:lastRenderedPageBreak/>
        <w:t xml:space="preserve">settlement </w:t>
      </w:r>
      <w:r w:rsidR="000D492D">
        <w:rPr>
          <w:rFonts w:ascii="Times New Roman" w:hAnsi="Times New Roman"/>
          <w:szCs w:val="24"/>
        </w:rPr>
        <w:t>process</w:t>
      </w:r>
      <w:r w:rsidR="00F95F12" w:rsidRPr="00F95F12">
        <w:t xml:space="preserve"> </w:t>
      </w:r>
      <w:r w:rsidR="00F95F12" w:rsidRPr="00F95F12">
        <w:rPr>
          <w:rFonts w:ascii="Times New Roman" w:hAnsi="Times New Roman"/>
          <w:szCs w:val="24"/>
        </w:rPr>
        <w:t>under the EU’s trade agreements</w:t>
      </w:r>
      <w:r w:rsidR="000A5C63">
        <w:rPr>
          <w:rFonts w:ascii="Times New Roman" w:hAnsi="Times New Roman"/>
          <w:szCs w:val="24"/>
        </w:rPr>
        <w:t>,</w:t>
      </w:r>
      <w:r w:rsidR="000D492D">
        <w:rPr>
          <w:rFonts w:ascii="Times New Roman" w:hAnsi="Times New Roman"/>
          <w:szCs w:val="24"/>
        </w:rPr>
        <w:t xml:space="preserve"> </w:t>
      </w:r>
      <w:r w:rsidRPr="004D2C96">
        <w:rPr>
          <w:rFonts w:ascii="Times New Roman" w:hAnsi="Times New Roman"/>
          <w:szCs w:val="24"/>
        </w:rPr>
        <w:t>and extend</w:t>
      </w:r>
      <w:r w:rsidR="00215AAB">
        <w:rPr>
          <w:rFonts w:ascii="Times New Roman" w:hAnsi="Times New Roman"/>
          <w:szCs w:val="24"/>
        </w:rPr>
        <w:t>ing</w:t>
      </w:r>
      <w:r w:rsidRPr="004D2C96">
        <w:rPr>
          <w:rFonts w:ascii="Times New Roman" w:hAnsi="Times New Roman"/>
          <w:szCs w:val="24"/>
        </w:rPr>
        <w:t xml:space="preserve"> the compliance stage</w:t>
      </w:r>
      <w:r>
        <w:rPr>
          <w:rFonts w:ascii="Times New Roman" w:hAnsi="Times New Roman"/>
          <w:szCs w:val="24"/>
        </w:rPr>
        <w:t xml:space="preserve"> to disputes </w:t>
      </w:r>
      <w:r w:rsidR="00F95F12" w:rsidRPr="00F95F12">
        <w:rPr>
          <w:rFonts w:ascii="Times New Roman" w:hAnsi="Times New Roman"/>
          <w:szCs w:val="24"/>
        </w:rPr>
        <w:t xml:space="preserve">relating to breaches of </w:t>
      </w:r>
      <w:r>
        <w:rPr>
          <w:rFonts w:ascii="Times New Roman" w:hAnsi="Times New Roman"/>
          <w:szCs w:val="24"/>
        </w:rPr>
        <w:t>TSD chapters</w:t>
      </w:r>
      <w:r w:rsidR="002D23F8">
        <w:rPr>
          <w:rFonts w:ascii="Times New Roman" w:hAnsi="Times New Roman"/>
          <w:szCs w:val="24"/>
        </w:rPr>
        <w:t xml:space="preserve">. This </w:t>
      </w:r>
      <w:r w:rsidR="00F95F12" w:rsidRPr="00F95F12">
        <w:rPr>
          <w:rFonts w:ascii="Times New Roman" w:hAnsi="Times New Roman"/>
          <w:szCs w:val="24"/>
        </w:rPr>
        <w:t xml:space="preserve">approach </w:t>
      </w:r>
      <w:r w:rsidR="002D23F8">
        <w:rPr>
          <w:rFonts w:ascii="Times New Roman" w:hAnsi="Times New Roman"/>
          <w:szCs w:val="24"/>
        </w:rPr>
        <w:t xml:space="preserve">means </w:t>
      </w:r>
      <w:r w:rsidR="002D23F8" w:rsidRPr="002D23F8">
        <w:rPr>
          <w:rFonts w:ascii="Times New Roman" w:hAnsi="Times New Roman"/>
          <w:szCs w:val="24"/>
        </w:rPr>
        <w:t xml:space="preserve">that the party found in </w:t>
      </w:r>
      <w:r w:rsidR="00012925">
        <w:rPr>
          <w:rFonts w:ascii="Times New Roman" w:hAnsi="Times New Roman"/>
          <w:szCs w:val="24"/>
        </w:rPr>
        <w:t>breach</w:t>
      </w:r>
      <w:r w:rsidR="002D23F8" w:rsidRPr="002D23F8">
        <w:rPr>
          <w:rFonts w:ascii="Times New Roman" w:hAnsi="Times New Roman"/>
          <w:szCs w:val="24"/>
        </w:rPr>
        <w:t xml:space="preserve"> of any of the TSD commitments </w:t>
      </w:r>
      <w:r w:rsidR="00F95F12" w:rsidRPr="00F95F12">
        <w:rPr>
          <w:rFonts w:ascii="Times New Roman" w:hAnsi="Times New Roman"/>
          <w:szCs w:val="24"/>
        </w:rPr>
        <w:t xml:space="preserve">by the panel </w:t>
      </w:r>
      <w:r w:rsidR="002D23F8" w:rsidRPr="002D23F8">
        <w:rPr>
          <w:rFonts w:ascii="Times New Roman" w:hAnsi="Times New Roman"/>
          <w:szCs w:val="24"/>
        </w:rPr>
        <w:t>will have to promptly inform how it will implement the panel report, and comply within a certain period of time</w:t>
      </w:r>
      <w:r>
        <w:rPr>
          <w:rFonts w:ascii="Times New Roman" w:hAnsi="Times New Roman"/>
          <w:szCs w:val="24"/>
        </w:rPr>
        <w:t xml:space="preserve">. The Commission takes note of </w:t>
      </w:r>
      <w:r w:rsidR="000D492D">
        <w:rPr>
          <w:rFonts w:ascii="Times New Roman" w:hAnsi="Times New Roman"/>
          <w:szCs w:val="24"/>
        </w:rPr>
        <w:t xml:space="preserve">the view expressed in the resolution about </w:t>
      </w:r>
      <w:r>
        <w:rPr>
          <w:rFonts w:ascii="Times New Roman" w:hAnsi="Times New Roman"/>
          <w:szCs w:val="24"/>
        </w:rPr>
        <w:t xml:space="preserve">the </w:t>
      </w:r>
      <w:r w:rsidR="000D492D">
        <w:rPr>
          <w:rFonts w:ascii="Times New Roman" w:hAnsi="Times New Roman"/>
          <w:szCs w:val="24"/>
        </w:rPr>
        <w:t xml:space="preserve">role of </w:t>
      </w:r>
      <w:r w:rsidR="00012925">
        <w:rPr>
          <w:rFonts w:ascii="Times New Roman" w:hAnsi="Times New Roman"/>
          <w:szCs w:val="24"/>
        </w:rPr>
        <w:t>N</w:t>
      </w:r>
      <w:r w:rsidR="000D492D" w:rsidRPr="00581821">
        <w:rPr>
          <w:rFonts w:ascii="Times New Roman" w:hAnsi="Times New Roman"/>
          <w:szCs w:val="24"/>
        </w:rPr>
        <w:t xml:space="preserve">ationally </w:t>
      </w:r>
      <w:r w:rsidR="00012925">
        <w:rPr>
          <w:rFonts w:ascii="Times New Roman" w:hAnsi="Times New Roman"/>
          <w:szCs w:val="24"/>
        </w:rPr>
        <w:t>D</w:t>
      </w:r>
      <w:r w:rsidR="000D492D" w:rsidRPr="00581821">
        <w:rPr>
          <w:rFonts w:ascii="Times New Roman" w:hAnsi="Times New Roman"/>
          <w:szCs w:val="24"/>
        </w:rPr>
        <w:t xml:space="preserve">etermined </w:t>
      </w:r>
      <w:r w:rsidR="00012925">
        <w:rPr>
          <w:rFonts w:ascii="Times New Roman" w:hAnsi="Times New Roman"/>
          <w:szCs w:val="24"/>
        </w:rPr>
        <w:t>C</w:t>
      </w:r>
      <w:r w:rsidR="000D492D" w:rsidRPr="00581821">
        <w:rPr>
          <w:rFonts w:ascii="Times New Roman" w:hAnsi="Times New Roman"/>
          <w:szCs w:val="24"/>
        </w:rPr>
        <w:t xml:space="preserve">ontributions </w:t>
      </w:r>
      <w:r w:rsidR="000D492D">
        <w:rPr>
          <w:rFonts w:ascii="Times New Roman" w:hAnsi="Times New Roman"/>
          <w:szCs w:val="24"/>
        </w:rPr>
        <w:t xml:space="preserve">in </w:t>
      </w:r>
      <w:r w:rsidR="00A654B3">
        <w:rPr>
          <w:rFonts w:ascii="Times New Roman" w:hAnsi="Times New Roman"/>
          <w:szCs w:val="24"/>
        </w:rPr>
        <w:t xml:space="preserve">assessing possible </w:t>
      </w:r>
      <w:r w:rsidR="002D23F8">
        <w:rPr>
          <w:rFonts w:ascii="Times New Roman" w:hAnsi="Times New Roman"/>
          <w:szCs w:val="24"/>
        </w:rPr>
        <w:t xml:space="preserve">violations to </w:t>
      </w:r>
      <w:r w:rsidR="000D492D" w:rsidRPr="004D2C96">
        <w:rPr>
          <w:rFonts w:ascii="Times New Roman" w:hAnsi="Times New Roman"/>
          <w:szCs w:val="24"/>
        </w:rPr>
        <w:t>the Paris Agreement</w:t>
      </w:r>
      <w:r w:rsidR="00012925">
        <w:rPr>
          <w:rFonts w:ascii="Times New Roman" w:hAnsi="Times New Roman"/>
          <w:szCs w:val="24"/>
        </w:rPr>
        <w:t xml:space="preserve"> </w:t>
      </w:r>
      <w:r w:rsidR="00012925" w:rsidRPr="00012925">
        <w:rPr>
          <w:rFonts w:ascii="Times New Roman" w:hAnsi="Times New Roman"/>
          <w:szCs w:val="24"/>
        </w:rPr>
        <w:t>commitments</w:t>
      </w:r>
      <w:r w:rsidR="0065049B">
        <w:rPr>
          <w:rFonts w:ascii="Times New Roman" w:hAnsi="Times New Roman"/>
          <w:szCs w:val="24"/>
        </w:rPr>
        <w:t xml:space="preserve">. </w:t>
      </w:r>
      <w:r w:rsidR="000D492D">
        <w:rPr>
          <w:rFonts w:ascii="Times New Roman" w:hAnsi="Times New Roman"/>
          <w:szCs w:val="24"/>
        </w:rPr>
        <w:t xml:space="preserve">In accordance with TSD chapter provisions, the </w:t>
      </w:r>
      <w:r w:rsidR="002D23F8">
        <w:rPr>
          <w:rFonts w:ascii="Times New Roman" w:hAnsi="Times New Roman"/>
          <w:szCs w:val="24"/>
        </w:rPr>
        <w:t>arbitrators</w:t>
      </w:r>
      <w:r w:rsidR="000D492D">
        <w:rPr>
          <w:rFonts w:ascii="Times New Roman" w:hAnsi="Times New Roman"/>
          <w:szCs w:val="24"/>
        </w:rPr>
        <w:t xml:space="preserve"> selected to participate in </w:t>
      </w:r>
      <w:r w:rsidR="0065049B">
        <w:rPr>
          <w:rFonts w:ascii="Times New Roman" w:hAnsi="Times New Roman"/>
          <w:szCs w:val="24"/>
        </w:rPr>
        <w:t xml:space="preserve">independent </w:t>
      </w:r>
      <w:r w:rsidR="000D492D">
        <w:rPr>
          <w:rFonts w:ascii="Times New Roman" w:hAnsi="Times New Roman"/>
          <w:szCs w:val="24"/>
        </w:rPr>
        <w:t xml:space="preserve">panels concerning TSD disputes </w:t>
      </w:r>
      <w:r w:rsidR="00677485">
        <w:rPr>
          <w:rFonts w:ascii="Times New Roman" w:hAnsi="Times New Roman"/>
          <w:szCs w:val="24"/>
        </w:rPr>
        <w:t>wil</w:t>
      </w:r>
      <w:r w:rsidR="00306EC9">
        <w:rPr>
          <w:rFonts w:ascii="Times New Roman" w:hAnsi="Times New Roman"/>
          <w:szCs w:val="24"/>
        </w:rPr>
        <w:t>l</w:t>
      </w:r>
      <w:r w:rsidR="00677485">
        <w:rPr>
          <w:rFonts w:ascii="Times New Roman" w:hAnsi="Times New Roman"/>
          <w:szCs w:val="24"/>
        </w:rPr>
        <w:t xml:space="preserve"> </w:t>
      </w:r>
      <w:r w:rsidR="00677485" w:rsidRPr="00677485">
        <w:rPr>
          <w:rFonts w:ascii="Times New Roman" w:hAnsi="Times New Roman"/>
          <w:szCs w:val="24"/>
        </w:rPr>
        <w:t xml:space="preserve">have specialised knowledge of, or expertise in, labour or environmental law, </w:t>
      </w:r>
      <w:r w:rsidR="00215AAB">
        <w:rPr>
          <w:rFonts w:ascii="Times New Roman" w:hAnsi="Times New Roman"/>
          <w:szCs w:val="24"/>
        </w:rPr>
        <w:t xml:space="preserve">other </w:t>
      </w:r>
      <w:r w:rsidR="00677485" w:rsidRPr="00677485">
        <w:rPr>
          <w:rFonts w:ascii="Times New Roman" w:hAnsi="Times New Roman"/>
          <w:szCs w:val="24"/>
        </w:rPr>
        <w:t xml:space="preserve">issues addressed in the TSD Chapter, or the resolution of disputes arising </w:t>
      </w:r>
      <w:r w:rsidR="00677485">
        <w:rPr>
          <w:rFonts w:ascii="Times New Roman" w:hAnsi="Times New Roman"/>
          <w:szCs w:val="24"/>
        </w:rPr>
        <w:t>under international agreements</w:t>
      </w:r>
      <w:r w:rsidR="00677485" w:rsidRPr="00677485">
        <w:rPr>
          <w:rFonts w:ascii="Times New Roman" w:hAnsi="Times New Roman"/>
          <w:szCs w:val="24"/>
        </w:rPr>
        <w:t xml:space="preserve"> </w:t>
      </w:r>
      <w:r w:rsidR="00C177F3" w:rsidRPr="00581821">
        <w:rPr>
          <w:rFonts w:ascii="Times New Roman" w:hAnsi="Times New Roman"/>
          <w:b/>
          <w:szCs w:val="24"/>
        </w:rPr>
        <w:t>(paragraph 8)</w:t>
      </w:r>
      <w:r w:rsidR="000D492D">
        <w:rPr>
          <w:rFonts w:ascii="Times New Roman" w:hAnsi="Times New Roman"/>
          <w:szCs w:val="24"/>
        </w:rPr>
        <w:t>.</w:t>
      </w:r>
    </w:p>
    <w:p w14:paraId="2081BC58" w14:textId="08EA5381" w:rsidR="000D492D" w:rsidRDefault="000D492D" w:rsidP="001D16F0">
      <w:pPr>
        <w:widowControl w:val="0"/>
        <w:spacing w:after="120"/>
        <w:rPr>
          <w:rFonts w:ascii="Times New Roman" w:hAnsi="Times New Roman"/>
          <w:szCs w:val="24"/>
        </w:rPr>
      </w:pPr>
      <w:r w:rsidRPr="000D492D">
        <w:rPr>
          <w:rFonts w:ascii="Times New Roman" w:hAnsi="Times New Roman"/>
          <w:szCs w:val="24"/>
        </w:rPr>
        <w:t xml:space="preserve">The </w:t>
      </w:r>
      <w:r w:rsidR="001D16F0">
        <w:rPr>
          <w:rFonts w:ascii="Times New Roman" w:hAnsi="Times New Roman"/>
          <w:szCs w:val="24"/>
        </w:rPr>
        <w:t xml:space="preserve">Commission believes that </w:t>
      </w:r>
      <w:r w:rsidR="00215AAB">
        <w:rPr>
          <w:rFonts w:ascii="Times New Roman" w:hAnsi="Times New Roman"/>
          <w:szCs w:val="24"/>
        </w:rPr>
        <w:t xml:space="preserve">the </w:t>
      </w:r>
      <w:r w:rsidRPr="000D492D">
        <w:rPr>
          <w:rFonts w:ascii="Times New Roman" w:hAnsi="Times New Roman"/>
          <w:szCs w:val="24"/>
        </w:rPr>
        <w:t>EU</w:t>
      </w:r>
      <w:r w:rsidR="00F95F12">
        <w:rPr>
          <w:rFonts w:ascii="Times New Roman" w:hAnsi="Times New Roman"/>
          <w:szCs w:val="24"/>
        </w:rPr>
        <w:t>’s</w:t>
      </w:r>
      <w:r w:rsidRPr="000D492D">
        <w:rPr>
          <w:rFonts w:ascii="Times New Roman" w:hAnsi="Times New Roman"/>
          <w:szCs w:val="24"/>
        </w:rPr>
        <w:t xml:space="preserve"> cooperative approach based on capacity-building and regulatory dialogue</w:t>
      </w:r>
      <w:r w:rsidR="001D16F0">
        <w:rPr>
          <w:rFonts w:ascii="Times New Roman" w:hAnsi="Times New Roman"/>
          <w:szCs w:val="24"/>
        </w:rPr>
        <w:t xml:space="preserve"> should</w:t>
      </w:r>
      <w:r w:rsidRPr="000D492D">
        <w:rPr>
          <w:rFonts w:ascii="Times New Roman" w:hAnsi="Times New Roman"/>
          <w:szCs w:val="24"/>
        </w:rPr>
        <w:t xml:space="preserve"> remain the watchword</w:t>
      </w:r>
      <w:r>
        <w:rPr>
          <w:rFonts w:ascii="Times New Roman" w:hAnsi="Times New Roman"/>
          <w:szCs w:val="24"/>
        </w:rPr>
        <w:t xml:space="preserve"> for TSD implementation and enforcement</w:t>
      </w:r>
      <w:r w:rsidR="00167A06">
        <w:rPr>
          <w:rFonts w:ascii="Times New Roman" w:hAnsi="Times New Roman"/>
          <w:szCs w:val="24"/>
        </w:rPr>
        <w:t>,</w:t>
      </w:r>
      <w:r>
        <w:rPr>
          <w:rFonts w:ascii="Times New Roman" w:hAnsi="Times New Roman"/>
          <w:szCs w:val="24"/>
        </w:rPr>
        <w:t xml:space="preserve"> as this is the most eff</w:t>
      </w:r>
      <w:r w:rsidR="001D16F0">
        <w:rPr>
          <w:rFonts w:ascii="Times New Roman" w:hAnsi="Times New Roman"/>
          <w:szCs w:val="24"/>
        </w:rPr>
        <w:t>ective</w:t>
      </w:r>
      <w:r>
        <w:rPr>
          <w:rFonts w:ascii="Times New Roman" w:hAnsi="Times New Roman"/>
          <w:szCs w:val="24"/>
        </w:rPr>
        <w:t xml:space="preserve"> </w:t>
      </w:r>
      <w:r w:rsidR="00167A06">
        <w:rPr>
          <w:rFonts w:ascii="Times New Roman" w:hAnsi="Times New Roman"/>
          <w:szCs w:val="24"/>
        </w:rPr>
        <w:t xml:space="preserve">way </w:t>
      </w:r>
      <w:r>
        <w:rPr>
          <w:rFonts w:ascii="Times New Roman" w:hAnsi="Times New Roman"/>
          <w:szCs w:val="24"/>
        </w:rPr>
        <w:t>to achieve lasting impact</w:t>
      </w:r>
      <w:r w:rsidR="00F95F12">
        <w:rPr>
          <w:rFonts w:ascii="Times New Roman" w:hAnsi="Times New Roman"/>
          <w:szCs w:val="24"/>
        </w:rPr>
        <w:t>s</w:t>
      </w:r>
      <w:r>
        <w:rPr>
          <w:rFonts w:ascii="Times New Roman" w:hAnsi="Times New Roman"/>
          <w:szCs w:val="24"/>
        </w:rPr>
        <w:t xml:space="preserve"> on the ground. </w:t>
      </w:r>
      <w:r w:rsidR="002D23F8">
        <w:rPr>
          <w:rFonts w:ascii="Times New Roman" w:hAnsi="Times New Roman"/>
          <w:szCs w:val="24"/>
        </w:rPr>
        <w:t>Nevertheless</w:t>
      </w:r>
      <w:r>
        <w:rPr>
          <w:rFonts w:ascii="Times New Roman" w:hAnsi="Times New Roman"/>
          <w:szCs w:val="24"/>
        </w:rPr>
        <w:t xml:space="preserve">, the Communication </w:t>
      </w:r>
      <w:r w:rsidR="001D16F0">
        <w:rPr>
          <w:rFonts w:ascii="Times New Roman" w:hAnsi="Times New Roman"/>
          <w:szCs w:val="24"/>
        </w:rPr>
        <w:t xml:space="preserve">recognises that </w:t>
      </w:r>
      <w:r>
        <w:rPr>
          <w:rFonts w:ascii="Times New Roman" w:hAnsi="Times New Roman"/>
          <w:szCs w:val="24"/>
        </w:rPr>
        <w:t xml:space="preserve">trade </w:t>
      </w:r>
      <w:r w:rsidRPr="000D492D">
        <w:rPr>
          <w:rFonts w:ascii="Times New Roman" w:hAnsi="Times New Roman"/>
          <w:szCs w:val="24"/>
        </w:rPr>
        <w:t xml:space="preserve">sanctions </w:t>
      </w:r>
      <w:r w:rsidR="001D16F0">
        <w:rPr>
          <w:rFonts w:ascii="Times New Roman" w:hAnsi="Times New Roman"/>
          <w:szCs w:val="24"/>
        </w:rPr>
        <w:t xml:space="preserve">would be appropriate </w:t>
      </w:r>
      <w:r w:rsidRPr="000D492D">
        <w:rPr>
          <w:rFonts w:ascii="Times New Roman" w:hAnsi="Times New Roman"/>
          <w:szCs w:val="24"/>
        </w:rPr>
        <w:t xml:space="preserve">as </w:t>
      </w:r>
      <w:r>
        <w:rPr>
          <w:rFonts w:ascii="Times New Roman" w:hAnsi="Times New Roman"/>
          <w:szCs w:val="24"/>
        </w:rPr>
        <w:t xml:space="preserve">a </w:t>
      </w:r>
      <w:r w:rsidR="001D16F0">
        <w:rPr>
          <w:rFonts w:ascii="Times New Roman" w:hAnsi="Times New Roman"/>
          <w:szCs w:val="24"/>
        </w:rPr>
        <w:t>means to foster compliance in cases of</w:t>
      </w:r>
      <w:r w:rsidRPr="000D492D">
        <w:rPr>
          <w:rFonts w:ascii="Times New Roman" w:hAnsi="Times New Roman"/>
          <w:szCs w:val="24"/>
        </w:rPr>
        <w:t xml:space="preserve"> failure to comply with obligations that materially defeats the object and purpose of the Paris Agreement on Climate Change or in serious instances of non-compliance with the </w:t>
      </w:r>
      <w:r w:rsidR="006C008E" w:rsidRPr="006C008E">
        <w:rPr>
          <w:rFonts w:ascii="Times New Roman" w:hAnsi="Times New Roman"/>
          <w:szCs w:val="24"/>
        </w:rPr>
        <w:t xml:space="preserve">International Labour Organization </w:t>
      </w:r>
      <w:r w:rsidR="006C008E">
        <w:rPr>
          <w:rFonts w:ascii="Times New Roman" w:hAnsi="Times New Roman"/>
          <w:szCs w:val="24"/>
        </w:rPr>
        <w:t>(</w:t>
      </w:r>
      <w:r w:rsidRPr="000D492D">
        <w:rPr>
          <w:rFonts w:ascii="Times New Roman" w:hAnsi="Times New Roman"/>
          <w:szCs w:val="24"/>
        </w:rPr>
        <w:t>ILO</w:t>
      </w:r>
      <w:r w:rsidR="006C008E">
        <w:rPr>
          <w:rFonts w:ascii="Times New Roman" w:hAnsi="Times New Roman"/>
          <w:szCs w:val="24"/>
        </w:rPr>
        <w:t>)</w:t>
      </w:r>
      <w:r w:rsidRPr="000D492D">
        <w:rPr>
          <w:rFonts w:ascii="Times New Roman" w:hAnsi="Times New Roman"/>
          <w:szCs w:val="24"/>
        </w:rPr>
        <w:t xml:space="preserve"> fundamental principles and rights at work.</w:t>
      </w:r>
      <w:r w:rsidR="001D16F0">
        <w:rPr>
          <w:rFonts w:ascii="Times New Roman" w:hAnsi="Times New Roman"/>
          <w:szCs w:val="24"/>
        </w:rPr>
        <w:t xml:space="preserve"> Therefore, the Commission proposed the possibility of</w:t>
      </w:r>
      <w:r>
        <w:rPr>
          <w:rFonts w:ascii="Times New Roman" w:hAnsi="Times New Roman"/>
          <w:szCs w:val="24"/>
        </w:rPr>
        <w:t xml:space="preserve"> </w:t>
      </w:r>
      <w:r w:rsidR="001D16F0">
        <w:rPr>
          <w:rFonts w:ascii="Times New Roman" w:hAnsi="Times New Roman"/>
          <w:szCs w:val="24"/>
        </w:rPr>
        <w:t xml:space="preserve">trade sanctions as measure of </w:t>
      </w:r>
      <w:r w:rsidR="001D16F0" w:rsidRPr="000D492D">
        <w:rPr>
          <w:rFonts w:ascii="Times New Roman" w:hAnsi="Times New Roman"/>
          <w:szCs w:val="24"/>
        </w:rPr>
        <w:t>last resort</w:t>
      </w:r>
      <w:r w:rsidR="001D16F0">
        <w:rPr>
          <w:rFonts w:ascii="Times New Roman" w:hAnsi="Times New Roman"/>
          <w:szCs w:val="24"/>
        </w:rPr>
        <w:t xml:space="preserve"> for those </w:t>
      </w:r>
      <w:r w:rsidR="001D16F0" w:rsidRPr="001D16F0">
        <w:rPr>
          <w:rFonts w:ascii="Times New Roman" w:hAnsi="Times New Roman"/>
          <w:szCs w:val="24"/>
        </w:rPr>
        <w:t>serious violations of core TSD commitments</w:t>
      </w:r>
      <w:r w:rsidR="001D16F0">
        <w:rPr>
          <w:rFonts w:ascii="Times New Roman" w:hAnsi="Times New Roman"/>
          <w:szCs w:val="24"/>
        </w:rPr>
        <w:t>.</w:t>
      </w:r>
      <w:r w:rsidR="001D16F0" w:rsidRPr="000D492D">
        <w:rPr>
          <w:rFonts w:ascii="Times New Roman" w:hAnsi="Times New Roman"/>
          <w:szCs w:val="24"/>
        </w:rPr>
        <w:t xml:space="preserve"> </w:t>
      </w:r>
      <w:r>
        <w:rPr>
          <w:rFonts w:ascii="Times New Roman" w:hAnsi="Times New Roman"/>
          <w:szCs w:val="24"/>
        </w:rPr>
        <w:t xml:space="preserve">The Commission takes note of the </w:t>
      </w:r>
      <w:r w:rsidR="00ED4DD7">
        <w:rPr>
          <w:rFonts w:ascii="Times New Roman" w:hAnsi="Times New Roman"/>
          <w:szCs w:val="24"/>
        </w:rPr>
        <w:t xml:space="preserve">Parliament’s </w:t>
      </w:r>
      <w:r w:rsidR="002D23F8">
        <w:rPr>
          <w:rFonts w:ascii="Times New Roman" w:hAnsi="Times New Roman"/>
          <w:szCs w:val="24"/>
        </w:rPr>
        <w:t>expectations</w:t>
      </w:r>
      <w:r>
        <w:rPr>
          <w:rFonts w:ascii="Times New Roman" w:hAnsi="Times New Roman"/>
          <w:szCs w:val="24"/>
        </w:rPr>
        <w:t xml:space="preserve"> concerning the 1</w:t>
      </w:r>
      <w:r w:rsidRPr="000D492D">
        <w:rPr>
          <w:rFonts w:ascii="Times New Roman" w:hAnsi="Times New Roman"/>
          <w:szCs w:val="24"/>
        </w:rPr>
        <w:t>5th Conference of the Parties to the Convention on Biological Diversity</w:t>
      </w:r>
      <w:r>
        <w:rPr>
          <w:rFonts w:ascii="Times New Roman" w:hAnsi="Times New Roman"/>
          <w:szCs w:val="24"/>
        </w:rPr>
        <w:t xml:space="preserve"> in December 2022</w:t>
      </w:r>
      <w:r w:rsidR="001D16F0">
        <w:rPr>
          <w:rFonts w:ascii="Times New Roman" w:hAnsi="Times New Roman"/>
          <w:szCs w:val="24"/>
        </w:rPr>
        <w:t xml:space="preserve"> </w:t>
      </w:r>
      <w:r w:rsidRPr="00581821">
        <w:rPr>
          <w:rFonts w:ascii="Times New Roman" w:hAnsi="Times New Roman"/>
          <w:b/>
          <w:szCs w:val="24"/>
        </w:rPr>
        <w:t xml:space="preserve">(paragraph </w:t>
      </w:r>
      <w:r>
        <w:rPr>
          <w:rFonts w:ascii="Times New Roman" w:hAnsi="Times New Roman"/>
          <w:b/>
          <w:szCs w:val="24"/>
        </w:rPr>
        <w:t>10</w:t>
      </w:r>
      <w:r w:rsidRPr="00581821">
        <w:rPr>
          <w:rFonts w:ascii="Times New Roman" w:hAnsi="Times New Roman"/>
          <w:b/>
          <w:szCs w:val="24"/>
        </w:rPr>
        <w:t>)</w:t>
      </w:r>
      <w:r>
        <w:rPr>
          <w:rFonts w:ascii="Times New Roman" w:hAnsi="Times New Roman"/>
          <w:szCs w:val="24"/>
        </w:rPr>
        <w:t>.</w:t>
      </w:r>
    </w:p>
    <w:p w14:paraId="2C235104" w14:textId="70BDB5CE" w:rsidR="000D492D" w:rsidRDefault="000D492D" w:rsidP="006D36F6">
      <w:pPr>
        <w:widowControl w:val="0"/>
        <w:spacing w:after="120"/>
        <w:rPr>
          <w:rFonts w:ascii="Times New Roman" w:hAnsi="Times New Roman"/>
          <w:szCs w:val="24"/>
        </w:rPr>
      </w:pPr>
      <w:r>
        <w:rPr>
          <w:rFonts w:ascii="Times New Roman" w:hAnsi="Times New Roman"/>
          <w:szCs w:val="24"/>
        </w:rPr>
        <w:t>T</w:t>
      </w:r>
      <w:r w:rsidRPr="000D492D">
        <w:rPr>
          <w:rFonts w:ascii="Times New Roman" w:hAnsi="Times New Roman"/>
          <w:szCs w:val="24"/>
        </w:rPr>
        <w:t xml:space="preserve">he </w:t>
      </w:r>
      <w:r w:rsidR="00F95F12" w:rsidRPr="00F95F12">
        <w:rPr>
          <w:rFonts w:ascii="Times New Roman" w:hAnsi="Times New Roman"/>
          <w:szCs w:val="24"/>
        </w:rPr>
        <w:t xml:space="preserve">approach set out in the Communication based on the </w:t>
      </w:r>
      <w:r w:rsidRPr="000D492D">
        <w:rPr>
          <w:rFonts w:ascii="Times New Roman" w:hAnsi="Times New Roman"/>
          <w:szCs w:val="24"/>
        </w:rPr>
        <w:t xml:space="preserve">outcome of the TSD review </w:t>
      </w:r>
      <w:r w:rsidR="006D36F6">
        <w:rPr>
          <w:rFonts w:ascii="Times New Roman" w:hAnsi="Times New Roman"/>
          <w:szCs w:val="24"/>
        </w:rPr>
        <w:t xml:space="preserve">will be </w:t>
      </w:r>
      <w:r w:rsidRPr="000D492D">
        <w:rPr>
          <w:rFonts w:ascii="Times New Roman" w:hAnsi="Times New Roman"/>
          <w:szCs w:val="24"/>
        </w:rPr>
        <w:t xml:space="preserve">proposed for all future negotiations and </w:t>
      </w:r>
      <w:r w:rsidR="006D36F6">
        <w:rPr>
          <w:rFonts w:ascii="Times New Roman" w:hAnsi="Times New Roman"/>
          <w:szCs w:val="24"/>
        </w:rPr>
        <w:t xml:space="preserve">is being </w:t>
      </w:r>
      <w:r w:rsidRPr="000D492D">
        <w:rPr>
          <w:rFonts w:ascii="Times New Roman" w:hAnsi="Times New Roman"/>
          <w:szCs w:val="24"/>
        </w:rPr>
        <w:t>reflected in the ongoing negotiations as appropriate</w:t>
      </w:r>
      <w:r w:rsidR="006D36F6">
        <w:rPr>
          <w:rFonts w:ascii="Times New Roman" w:hAnsi="Times New Roman"/>
          <w:szCs w:val="24"/>
        </w:rPr>
        <w:t xml:space="preserve">, </w:t>
      </w:r>
      <w:r w:rsidR="006D36F6" w:rsidRPr="006D36F6">
        <w:rPr>
          <w:rFonts w:ascii="Times New Roman" w:hAnsi="Times New Roman"/>
          <w:szCs w:val="24"/>
        </w:rPr>
        <w:t>in a tailored-made fashion</w:t>
      </w:r>
      <w:r w:rsidR="00F95F12">
        <w:rPr>
          <w:rFonts w:ascii="Times New Roman" w:hAnsi="Times New Roman"/>
          <w:szCs w:val="24"/>
        </w:rPr>
        <w:t xml:space="preserve"> </w:t>
      </w:r>
      <w:r w:rsidR="00F95F12" w:rsidRPr="00F95F12">
        <w:rPr>
          <w:rFonts w:ascii="Times New Roman" w:hAnsi="Times New Roman"/>
          <w:szCs w:val="24"/>
        </w:rPr>
        <w:t>for each negotiation</w:t>
      </w:r>
      <w:r w:rsidR="006D36F6">
        <w:rPr>
          <w:rFonts w:ascii="Times New Roman" w:hAnsi="Times New Roman"/>
          <w:szCs w:val="24"/>
        </w:rPr>
        <w:t xml:space="preserve">. As regards </w:t>
      </w:r>
      <w:r w:rsidR="006D36F6" w:rsidRPr="006D36F6">
        <w:rPr>
          <w:rFonts w:ascii="Times New Roman" w:hAnsi="Times New Roman"/>
          <w:szCs w:val="24"/>
        </w:rPr>
        <w:t>tr</w:t>
      </w:r>
      <w:r w:rsidR="006D36F6">
        <w:rPr>
          <w:rFonts w:ascii="Times New Roman" w:hAnsi="Times New Roman"/>
          <w:szCs w:val="24"/>
        </w:rPr>
        <w:t>ade agreements already in force, s</w:t>
      </w:r>
      <w:r w:rsidR="006D36F6" w:rsidRPr="006D36F6">
        <w:rPr>
          <w:rFonts w:ascii="Times New Roman" w:hAnsi="Times New Roman"/>
          <w:szCs w:val="24"/>
        </w:rPr>
        <w:t>everal of the identified action points can be immediately deployed</w:t>
      </w:r>
      <w:r w:rsidR="00F95F12" w:rsidRPr="00F95F12">
        <w:t xml:space="preserve"> </w:t>
      </w:r>
      <w:r w:rsidR="00F95F12" w:rsidRPr="00F95F12">
        <w:rPr>
          <w:rFonts w:ascii="Times New Roman" w:hAnsi="Times New Roman"/>
          <w:szCs w:val="24"/>
        </w:rPr>
        <w:t>irrespective of the wording of the TSD chapters</w:t>
      </w:r>
      <w:r w:rsidR="006D36F6" w:rsidRPr="006D36F6">
        <w:rPr>
          <w:rFonts w:ascii="Times New Roman" w:hAnsi="Times New Roman"/>
          <w:szCs w:val="24"/>
        </w:rPr>
        <w:t>, notably the majority of those that relate to the implementation of TSD commitments and the reinforcement of the role of civil society</w:t>
      </w:r>
      <w:r w:rsidR="006D36F6">
        <w:rPr>
          <w:rFonts w:ascii="Times New Roman" w:hAnsi="Times New Roman"/>
          <w:szCs w:val="24"/>
        </w:rPr>
        <w:t>.</w:t>
      </w:r>
      <w:r w:rsidR="006D36F6" w:rsidRPr="006D36F6">
        <w:rPr>
          <w:rFonts w:ascii="Times New Roman" w:hAnsi="Times New Roman"/>
          <w:szCs w:val="24"/>
        </w:rPr>
        <w:t xml:space="preserve"> </w:t>
      </w:r>
      <w:r w:rsidR="006D36F6">
        <w:rPr>
          <w:rFonts w:ascii="Times New Roman" w:hAnsi="Times New Roman"/>
          <w:szCs w:val="24"/>
        </w:rPr>
        <w:t xml:space="preserve">The Commission is </w:t>
      </w:r>
      <w:r w:rsidR="006D36F6" w:rsidRPr="006D36F6">
        <w:rPr>
          <w:rFonts w:ascii="Times New Roman" w:hAnsi="Times New Roman"/>
          <w:szCs w:val="24"/>
        </w:rPr>
        <w:t>discussi</w:t>
      </w:r>
      <w:r w:rsidR="006D36F6">
        <w:rPr>
          <w:rFonts w:ascii="Times New Roman" w:hAnsi="Times New Roman"/>
          <w:szCs w:val="24"/>
        </w:rPr>
        <w:t xml:space="preserve">ng </w:t>
      </w:r>
      <w:r w:rsidR="006D36F6" w:rsidRPr="006D36F6">
        <w:rPr>
          <w:rFonts w:ascii="Times New Roman" w:hAnsi="Times New Roman"/>
          <w:szCs w:val="24"/>
        </w:rPr>
        <w:t xml:space="preserve">with </w:t>
      </w:r>
      <w:r w:rsidR="00F95F12">
        <w:rPr>
          <w:rFonts w:ascii="Times New Roman" w:hAnsi="Times New Roman"/>
          <w:szCs w:val="24"/>
        </w:rPr>
        <w:t xml:space="preserve">our </w:t>
      </w:r>
      <w:r w:rsidR="006D36F6" w:rsidRPr="006D36F6">
        <w:rPr>
          <w:rFonts w:ascii="Times New Roman" w:hAnsi="Times New Roman"/>
          <w:szCs w:val="24"/>
        </w:rPr>
        <w:t xml:space="preserve">partners </w:t>
      </w:r>
      <w:r w:rsidR="006D36F6">
        <w:rPr>
          <w:rFonts w:ascii="Times New Roman" w:hAnsi="Times New Roman"/>
          <w:szCs w:val="24"/>
        </w:rPr>
        <w:t xml:space="preserve">the </w:t>
      </w:r>
      <w:r w:rsidR="00167A06">
        <w:rPr>
          <w:rFonts w:ascii="Times New Roman" w:hAnsi="Times New Roman"/>
          <w:szCs w:val="24"/>
        </w:rPr>
        <w:t xml:space="preserve">practical </w:t>
      </w:r>
      <w:r w:rsidR="006D36F6">
        <w:rPr>
          <w:rFonts w:ascii="Times New Roman" w:hAnsi="Times New Roman"/>
          <w:szCs w:val="24"/>
        </w:rPr>
        <w:t xml:space="preserve">application </w:t>
      </w:r>
      <w:r w:rsidR="00F95F12" w:rsidRPr="00F95F12">
        <w:rPr>
          <w:rFonts w:ascii="Times New Roman" w:hAnsi="Times New Roman"/>
          <w:szCs w:val="24"/>
        </w:rPr>
        <w:t xml:space="preserve">and implementation </w:t>
      </w:r>
      <w:r w:rsidR="006D36F6">
        <w:rPr>
          <w:rFonts w:ascii="Times New Roman" w:hAnsi="Times New Roman"/>
          <w:szCs w:val="24"/>
        </w:rPr>
        <w:t xml:space="preserve">of the </w:t>
      </w:r>
      <w:r w:rsidR="00F95F12" w:rsidRPr="00F95F12">
        <w:rPr>
          <w:rFonts w:ascii="Times New Roman" w:hAnsi="Times New Roman"/>
          <w:szCs w:val="24"/>
        </w:rPr>
        <w:t xml:space="preserve">approach set out in the </w:t>
      </w:r>
      <w:r w:rsidR="006D36F6">
        <w:rPr>
          <w:rFonts w:ascii="Times New Roman" w:hAnsi="Times New Roman"/>
          <w:szCs w:val="24"/>
        </w:rPr>
        <w:t xml:space="preserve">TSD Communication </w:t>
      </w:r>
      <w:r w:rsidR="00ED4DD7">
        <w:rPr>
          <w:rFonts w:ascii="Times New Roman" w:hAnsi="Times New Roman"/>
          <w:szCs w:val="24"/>
        </w:rPr>
        <w:t>in that respect</w:t>
      </w:r>
      <w:r w:rsidR="006D36F6" w:rsidRPr="006D36F6">
        <w:rPr>
          <w:rFonts w:ascii="Times New Roman" w:hAnsi="Times New Roman"/>
          <w:szCs w:val="24"/>
        </w:rPr>
        <w:t xml:space="preserve"> </w:t>
      </w:r>
      <w:r w:rsidR="006D36F6" w:rsidRPr="00581821">
        <w:rPr>
          <w:rFonts w:ascii="Times New Roman" w:hAnsi="Times New Roman"/>
          <w:b/>
          <w:szCs w:val="24"/>
        </w:rPr>
        <w:t>(paragraph</w:t>
      </w:r>
      <w:r w:rsidR="006C008E">
        <w:rPr>
          <w:rFonts w:ascii="Times New Roman" w:hAnsi="Times New Roman"/>
          <w:b/>
          <w:szCs w:val="24"/>
        </w:rPr>
        <w:t>s</w:t>
      </w:r>
      <w:r w:rsidR="006D36F6" w:rsidRPr="00581821">
        <w:rPr>
          <w:rFonts w:ascii="Times New Roman" w:hAnsi="Times New Roman"/>
          <w:b/>
          <w:szCs w:val="24"/>
        </w:rPr>
        <w:t xml:space="preserve"> </w:t>
      </w:r>
      <w:r w:rsidR="006D36F6">
        <w:rPr>
          <w:rFonts w:ascii="Times New Roman" w:hAnsi="Times New Roman"/>
          <w:b/>
          <w:szCs w:val="24"/>
        </w:rPr>
        <w:t>11 and 12</w:t>
      </w:r>
      <w:r w:rsidR="006D36F6" w:rsidRPr="00581821">
        <w:rPr>
          <w:rFonts w:ascii="Times New Roman" w:hAnsi="Times New Roman"/>
          <w:b/>
          <w:szCs w:val="24"/>
        </w:rPr>
        <w:t>)</w:t>
      </w:r>
      <w:r w:rsidR="006D36F6">
        <w:rPr>
          <w:rFonts w:ascii="Times New Roman" w:hAnsi="Times New Roman"/>
          <w:szCs w:val="24"/>
        </w:rPr>
        <w:t>.</w:t>
      </w:r>
    </w:p>
    <w:p w14:paraId="61E7C025" w14:textId="564C1ED1" w:rsidR="000D492D" w:rsidRDefault="006D36F6" w:rsidP="006D36F6">
      <w:pPr>
        <w:widowControl w:val="0"/>
        <w:spacing w:after="120"/>
        <w:rPr>
          <w:rFonts w:ascii="Times New Roman" w:hAnsi="Times New Roman"/>
          <w:szCs w:val="24"/>
        </w:rPr>
      </w:pPr>
      <w:r>
        <w:rPr>
          <w:rFonts w:ascii="Times New Roman" w:hAnsi="Times New Roman"/>
          <w:szCs w:val="24"/>
        </w:rPr>
        <w:t>The Commission welcomes th</w:t>
      </w:r>
      <w:r w:rsidR="00425B7B">
        <w:rPr>
          <w:rFonts w:ascii="Times New Roman" w:hAnsi="Times New Roman"/>
          <w:szCs w:val="24"/>
        </w:rPr>
        <w:t>at the European Parliament</w:t>
      </w:r>
      <w:r>
        <w:rPr>
          <w:rFonts w:ascii="Times New Roman" w:hAnsi="Times New Roman"/>
          <w:szCs w:val="24"/>
        </w:rPr>
        <w:t xml:space="preserve"> consider</w:t>
      </w:r>
      <w:r w:rsidR="00425B7B">
        <w:rPr>
          <w:rFonts w:ascii="Times New Roman" w:hAnsi="Times New Roman"/>
          <w:szCs w:val="24"/>
        </w:rPr>
        <w:t>s</w:t>
      </w:r>
      <w:r>
        <w:rPr>
          <w:rFonts w:ascii="Times New Roman" w:hAnsi="Times New Roman"/>
          <w:szCs w:val="24"/>
        </w:rPr>
        <w:t xml:space="preserve"> the TSD Communication</w:t>
      </w:r>
      <w:r w:rsidR="00425B7B">
        <w:rPr>
          <w:rFonts w:ascii="Times New Roman" w:hAnsi="Times New Roman"/>
          <w:szCs w:val="24"/>
        </w:rPr>
        <w:t xml:space="preserve"> to be</w:t>
      </w:r>
      <w:r>
        <w:rPr>
          <w:rFonts w:ascii="Times New Roman" w:hAnsi="Times New Roman"/>
          <w:szCs w:val="24"/>
        </w:rPr>
        <w:t xml:space="preserve"> </w:t>
      </w:r>
      <w:r w:rsidRPr="006D36F6">
        <w:rPr>
          <w:rFonts w:ascii="Times New Roman" w:hAnsi="Times New Roman"/>
          <w:szCs w:val="24"/>
        </w:rPr>
        <w:t xml:space="preserve">an important step </w:t>
      </w:r>
      <w:r w:rsidR="00425B7B">
        <w:rPr>
          <w:rFonts w:ascii="Times New Roman" w:hAnsi="Times New Roman"/>
          <w:szCs w:val="24"/>
        </w:rPr>
        <w:t>to</w:t>
      </w:r>
      <w:r w:rsidR="00425B7B" w:rsidRPr="006D36F6">
        <w:rPr>
          <w:rFonts w:ascii="Times New Roman" w:hAnsi="Times New Roman"/>
          <w:szCs w:val="24"/>
        </w:rPr>
        <w:t xml:space="preserve"> </w:t>
      </w:r>
      <w:r w:rsidRPr="006D36F6">
        <w:rPr>
          <w:rFonts w:ascii="Times New Roman" w:hAnsi="Times New Roman"/>
          <w:szCs w:val="24"/>
        </w:rPr>
        <w:t>ensur</w:t>
      </w:r>
      <w:r w:rsidR="00425B7B">
        <w:rPr>
          <w:rFonts w:ascii="Times New Roman" w:hAnsi="Times New Roman"/>
          <w:szCs w:val="24"/>
        </w:rPr>
        <w:t>e</w:t>
      </w:r>
      <w:r w:rsidRPr="006D36F6">
        <w:rPr>
          <w:rFonts w:ascii="Times New Roman" w:hAnsi="Times New Roman"/>
          <w:szCs w:val="24"/>
        </w:rPr>
        <w:t xml:space="preserve"> that trade</w:t>
      </w:r>
      <w:r>
        <w:rPr>
          <w:rFonts w:ascii="Times New Roman" w:hAnsi="Times New Roman"/>
          <w:szCs w:val="24"/>
        </w:rPr>
        <w:t xml:space="preserve"> </w:t>
      </w:r>
      <w:r w:rsidRPr="006D36F6">
        <w:rPr>
          <w:rFonts w:ascii="Times New Roman" w:hAnsi="Times New Roman"/>
          <w:szCs w:val="24"/>
        </w:rPr>
        <w:t xml:space="preserve">agreements fulfil the long-standing demands of </w:t>
      </w:r>
      <w:r w:rsidR="00F95F12" w:rsidRPr="00F95F12">
        <w:rPr>
          <w:rFonts w:ascii="Times New Roman" w:hAnsi="Times New Roman"/>
          <w:szCs w:val="24"/>
        </w:rPr>
        <w:t xml:space="preserve">the European </w:t>
      </w:r>
      <w:r w:rsidRPr="006D36F6">
        <w:rPr>
          <w:rFonts w:ascii="Times New Roman" w:hAnsi="Times New Roman"/>
          <w:szCs w:val="24"/>
        </w:rPr>
        <w:t>Parliament and the expectations of civil</w:t>
      </w:r>
      <w:r>
        <w:rPr>
          <w:rFonts w:ascii="Times New Roman" w:hAnsi="Times New Roman"/>
          <w:szCs w:val="24"/>
        </w:rPr>
        <w:t xml:space="preserve"> </w:t>
      </w:r>
      <w:r w:rsidRPr="006D36F6">
        <w:rPr>
          <w:rFonts w:ascii="Times New Roman" w:hAnsi="Times New Roman"/>
          <w:szCs w:val="24"/>
        </w:rPr>
        <w:t>society and citizens</w:t>
      </w:r>
      <w:r w:rsidR="00A53FDE">
        <w:rPr>
          <w:rFonts w:ascii="Times New Roman" w:hAnsi="Times New Roman"/>
          <w:szCs w:val="24"/>
        </w:rPr>
        <w:t>. The Commission agrees on the importance</w:t>
      </w:r>
      <w:r w:rsidRPr="006D36F6">
        <w:rPr>
          <w:rFonts w:ascii="Times New Roman" w:hAnsi="Times New Roman"/>
          <w:szCs w:val="24"/>
        </w:rPr>
        <w:t xml:space="preserve"> </w:t>
      </w:r>
      <w:r w:rsidR="00CF2EE0">
        <w:rPr>
          <w:rFonts w:ascii="Times New Roman" w:hAnsi="Times New Roman"/>
          <w:szCs w:val="24"/>
        </w:rPr>
        <w:t>of</w:t>
      </w:r>
      <w:r w:rsidR="00CF2EE0" w:rsidRPr="006D36F6">
        <w:rPr>
          <w:rFonts w:ascii="Times New Roman" w:hAnsi="Times New Roman"/>
          <w:szCs w:val="24"/>
        </w:rPr>
        <w:t xml:space="preserve"> </w:t>
      </w:r>
      <w:r w:rsidRPr="006D36F6">
        <w:rPr>
          <w:rFonts w:ascii="Times New Roman" w:hAnsi="Times New Roman"/>
          <w:szCs w:val="24"/>
        </w:rPr>
        <w:t xml:space="preserve">guaranteeing that EU trade agreements </w:t>
      </w:r>
      <w:r w:rsidR="00E9116C">
        <w:rPr>
          <w:rFonts w:ascii="Times New Roman" w:hAnsi="Times New Roman"/>
          <w:szCs w:val="24"/>
        </w:rPr>
        <w:t>can be</w:t>
      </w:r>
      <w:r w:rsidR="00E9116C" w:rsidRPr="006D36F6">
        <w:rPr>
          <w:rFonts w:ascii="Times New Roman" w:hAnsi="Times New Roman"/>
          <w:szCs w:val="24"/>
        </w:rPr>
        <w:t xml:space="preserve"> </w:t>
      </w:r>
      <w:r w:rsidRPr="006D36F6">
        <w:rPr>
          <w:rFonts w:ascii="Times New Roman" w:hAnsi="Times New Roman"/>
          <w:szCs w:val="24"/>
        </w:rPr>
        <w:t>negotia</w:t>
      </w:r>
      <w:r w:rsidR="00E9116C">
        <w:rPr>
          <w:rFonts w:ascii="Times New Roman" w:hAnsi="Times New Roman"/>
          <w:szCs w:val="24"/>
        </w:rPr>
        <w:t>ted and concluded,</w:t>
      </w:r>
      <w:r w:rsidRPr="006D36F6">
        <w:rPr>
          <w:rFonts w:ascii="Times New Roman" w:hAnsi="Times New Roman"/>
          <w:szCs w:val="24"/>
        </w:rPr>
        <w:t xml:space="preserve"> and</w:t>
      </w:r>
      <w:r w:rsidR="00E9116C">
        <w:rPr>
          <w:rFonts w:ascii="Times New Roman" w:hAnsi="Times New Roman"/>
          <w:szCs w:val="24"/>
        </w:rPr>
        <w:t xml:space="preserve"> remain</w:t>
      </w:r>
      <w:r>
        <w:rPr>
          <w:rFonts w:ascii="Times New Roman" w:hAnsi="Times New Roman"/>
          <w:szCs w:val="24"/>
        </w:rPr>
        <w:t xml:space="preserve"> </w:t>
      </w:r>
      <w:r w:rsidRPr="006D36F6">
        <w:rPr>
          <w:rFonts w:ascii="Times New Roman" w:hAnsi="Times New Roman"/>
          <w:szCs w:val="24"/>
        </w:rPr>
        <w:t>attractive for partners</w:t>
      </w:r>
      <w:r>
        <w:rPr>
          <w:rFonts w:ascii="Times New Roman" w:hAnsi="Times New Roman"/>
          <w:szCs w:val="24"/>
        </w:rPr>
        <w:t xml:space="preserve"> </w:t>
      </w:r>
      <w:r w:rsidRPr="00581821">
        <w:rPr>
          <w:rFonts w:ascii="Times New Roman" w:hAnsi="Times New Roman"/>
          <w:b/>
          <w:szCs w:val="24"/>
        </w:rPr>
        <w:t>(paragraph</w:t>
      </w:r>
      <w:r w:rsidR="0023402B">
        <w:rPr>
          <w:rFonts w:ascii="Times New Roman" w:hAnsi="Times New Roman"/>
          <w:b/>
          <w:szCs w:val="24"/>
        </w:rPr>
        <w:t> </w:t>
      </w:r>
      <w:r>
        <w:rPr>
          <w:rFonts w:ascii="Times New Roman" w:hAnsi="Times New Roman"/>
          <w:b/>
          <w:szCs w:val="24"/>
        </w:rPr>
        <w:t>13</w:t>
      </w:r>
      <w:r w:rsidRPr="00581821">
        <w:rPr>
          <w:rFonts w:ascii="Times New Roman" w:hAnsi="Times New Roman"/>
          <w:b/>
          <w:szCs w:val="24"/>
        </w:rPr>
        <w:t>)</w:t>
      </w:r>
      <w:r>
        <w:rPr>
          <w:rFonts w:ascii="Times New Roman" w:hAnsi="Times New Roman"/>
          <w:szCs w:val="24"/>
        </w:rPr>
        <w:t>.</w:t>
      </w:r>
    </w:p>
    <w:p w14:paraId="12C34667" w14:textId="46CA44FC" w:rsidR="006D36F6" w:rsidRDefault="006D36F6" w:rsidP="006D36F6">
      <w:pPr>
        <w:widowControl w:val="0"/>
        <w:spacing w:after="120"/>
        <w:rPr>
          <w:rFonts w:ascii="Times New Roman" w:hAnsi="Times New Roman"/>
          <w:szCs w:val="24"/>
        </w:rPr>
      </w:pPr>
      <w:r>
        <w:rPr>
          <w:rFonts w:ascii="Times New Roman" w:hAnsi="Times New Roman"/>
          <w:szCs w:val="24"/>
        </w:rPr>
        <w:t xml:space="preserve">The Commission welcomes the role of the European Parliament in relation to </w:t>
      </w:r>
      <w:r w:rsidRPr="006D36F6">
        <w:rPr>
          <w:rFonts w:ascii="Times New Roman" w:hAnsi="Times New Roman"/>
          <w:szCs w:val="24"/>
        </w:rPr>
        <w:t>TSD commitments</w:t>
      </w:r>
      <w:r>
        <w:rPr>
          <w:rFonts w:ascii="Times New Roman" w:hAnsi="Times New Roman"/>
          <w:szCs w:val="24"/>
        </w:rPr>
        <w:t xml:space="preserve"> in trade agreements, and confirms its readiness to support that role as required, including by reporting </w:t>
      </w:r>
      <w:r w:rsidR="00167A06">
        <w:rPr>
          <w:rFonts w:ascii="Times New Roman" w:hAnsi="Times New Roman"/>
          <w:szCs w:val="24"/>
        </w:rPr>
        <w:t xml:space="preserve">to </w:t>
      </w:r>
      <w:r w:rsidR="00167A06" w:rsidRPr="00167A06">
        <w:rPr>
          <w:rFonts w:ascii="Times New Roman" w:hAnsi="Times New Roman"/>
          <w:szCs w:val="24"/>
        </w:rPr>
        <w:t xml:space="preserve">Parliament through the INTA Committee or </w:t>
      </w:r>
      <w:r w:rsidR="00167A06">
        <w:rPr>
          <w:rFonts w:ascii="Times New Roman" w:hAnsi="Times New Roman"/>
          <w:szCs w:val="24"/>
        </w:rPr>
        <w:t>the dedicated monitoring groups</w:t>
      </w:r>
      <w:r w:rsidR="00ED4DD7">
        <w:rPr>
          <w:rFonts w:ascii="Times New Roman" w:hAnsi="Times New Roman"/>
          <w:szCs w:val="24"/>
        </w:rPr>
        <w:t xml:space="preserve"> as required</w:t>
      </w:r>
      <w:r>
        <w:rPr>
          <w:rFonts w:ascii="Times New Roman" w:hAnsi="Times New Roman"/>
          <w:szCs w:val="24"/>
        </w:rPr>
        <w:t xml:space="preserve"> </w:t>
      </w:r>
      <w:r w:rsidRPr="00581821">
        <w:rPr>
          <w:rFonts w:ascii="Times New Roman" w:hAnsi="Times New Roman"/>
          <w:b/>
          <w:szCs w:val="24"/>
        </w:rPr>
        <w:t xml:space="preserve">(paragraph </w:t>
      </w:r>
      <w:r>
        <w:rPr>
          <w:rFonts w:ascii="Times New Roman" w:hAnsi="Times New Roman"/>
          <w:b/>
          <w:szCs w:val="24"/>
        </w:rPr>
        <w:t>14</w:t>
      </w:r>
      <w:r w:rsidRPr="00581821">
        <w:rPr>
          <w:rFonts w:ascii="Times New Roman" w:hAnsi="Times New Roman"/>
          <w:b/>
          <w:szCs w:val="24"/>
        </w:rPr>
        <w:t>)</w:t>
      </w:r>
      <w:r>
        <w:rPr>
          <w:rFonts w:ascii="Times New Roman" w:hAnsi="Times New Roman"/>
          <w:szCs w:val="24"/>
        </w:rPr>
        <w:t>.</w:t>
      </w:r>
    </w:p>
    <w:p w14:paraId="687093AA" w14:textId="4887CC61" w:rsidR="006D36F6" w:rsidRDefault="006D36F6" w:rsidP="006D36F6">
      <w:pPr>
        <w:widowControl w:val="0"/>
        <w:spacing w:after="120"/>
        <w:rPr>
          <w:rFonts w:ascii="Times New Roman" w:hAnsi="Times New Roman"/>
          <w:szCs w:val="24"/>
        </w:rPr>
      </w:pPr>
      <w:r>
        <w:rPr>
          <w:rFonts w:ascii="Times New Roman" w:hAnsi="Times New Roman"/>
          <w:szCs w:val="24"/>
        </w:rPr>
        <w:t xml:space="preserve">The Commission agrees with </w:t>
      </w:r>
      <w:r w:rsidR="00161987">
        <w:rPr>
          <w:rFonts w:ascii="Times New Roman" w:hAnsi="Times New Roman"/>
          <w:szCs w:val="24"/>
        </w:rPr>
        <w:t>mainstreaming a gender perspective in trade agreements</w:t>
      </w:r>
      <w:r w:rsidR="00167A06">
        <w:rPr>
          <w:rFonts w:ascii="Times New Roman" w:hAnsi="Times New Roman"/>
          <w:szCs w:val="24"/>
        </w:rPr>
        <w:t>,</w:t>
      </w:r>
      <w:r w:rsidR="00161987">
        <w:rPr>
          <w:rFonts w:ascii="Times New Roman" w:hAnsi="Times New Roman"/>
          <w:szCs w:val="24"/>
        </w:rPr>
        <w:t xml:space="preserve"> as well as having </w:t>
      </w:r>
      <w:r>
        <w:rPr>
          <w:rFonts w:ascii="Times New Roman" w:hAnsi="Times New Roman"/>
          <w:szCs w:val="24"/>
        </w:rPr>
        <w:t>dedicated gender prov</w:t>
      </w:r>
      <w:r w:rsidR="00161987">
        <w:rPr>
          <w:rFonts w:ascii="Times New Roman" w:hAnsi="Times New Roman"/>
          <w:szCs w:val="24"/>
        </w:rPr>
        <w:t xml:space="preserve">isions, and will ensure that these elements are duly taken into account throughout the life cycle of trade agreements, from impact assessment to implementation and enforcement </w:t>
      </w:r>
      <w:r w:rsidRPr="00581821">
        <w:rPr>
          <w:rFonts w:ascii="Times New Roman" w:hAnsi="Times New Roman"/>
          <w:b/>
          <w:szCs w:val="24"/>
        </w:rPr>
        <w:t xml:space="preserve">(paragraph </w:t>
      </w:r>
      <w:r>
        <w:rPr>
          <w:rFonts w:ascii="Times New Roman" w:hAnsi="Times New Roman"/>
          <w:b/>
          <w:szCs w:val="24"/>
        </w:rPr>
        <w:t>15</w:t>
      </w:r>
      <w:r w:rsidRPr="00581821">
        <w:rPr>
          <w:rFonts w:ascii="Times New Roman" w:hAnsi="Times New Roman"/>
          <w:b/>
          <w:szCs w:val="24"/>
        </w:rPr>
        <w:t>)</w:t>
      </w:r>
      <w:r>
        <w:rPr>
          <w:rFonts w:ascii="Times New Roman" w:hAnsi="Times New Roman"/>
          <w:szCs w:val="24"/>
        </w:rPr>
        <w:t>.</w:t>
      </w:r>
    </w:p>
    <w:p w14:paraId="41DDCE14" w14:textId="5A68D55B" w:rsidR="00161987" w:rsidRPr="00161987" w:rsidRDefault="00161987" w:rsidP="00BE6CAD">
      <w:pPr>
        <w:widowControl w:val="0"/>
        <w:spacing w:after="120"/>
        <w:rPr>
          <w:rFonts w:ascii="Times New Roman" w:hAnsi="Times New Roman"/>
          <w:szCs w:val="24"/>
        </w:rPr>
      </w:pPr>
      <w:r>
        <w:rPr>
          <w:rFonts w:ascii="Times New Roman" w:hAnsi="Times New Roman"/>
          <w:szCs w:val="24"/>
        </w:rPr>
        <w:t xml:space="preserve">Since the </w:t>
      </w:r>
      <w:r w:rsidRPr="00161987">
        <w:rPr>
          <w:rFonts w:ascii="Times New Roman" w:hAnsi="Times New Roman"/>
          <w:szCs w:val="24"/>
        </w:rPr>
        <w:t>2021 Trade Policy Review</w:t>
      </w:r>
      <w:r>
        <w:rPr>
          <w:rFonts w:ascii="Times New Roman" w:hAnsi="Times New Roman"/>
          <w:szCs w:val="24"/>
        </w:rPr>
        <w:t xml:space="preserve"> Communication</w:t>
      </w:r>
      <w:r w:rsidRPr="00161987">
        <w:rPr>
          <w:rFonts w:ascii="Times New Roman" w:hAnsi="Times New Roman"/>
          <w:szCs w:val="24"/>
        </w:rPr>
        <w:t xml:space="preserve">, the Commission </w:t>
      </w:r>
      <w:r>
        <w:rPr>
          <w:rFonts w:ascii="Times New Roman" w:hAnsi="Times New Roman"/>
          <w:szCs w:val="24"/>
        </w:rPr>
        <w:t xml:space="preserve">has been </w:t>
      </w:r>
      <w:r w:rsidRPr="00161987">
        <w:rPr>
          <w:rFonts w:ascii="Times New Roman" w:hAnsi="Times New Roman"/>
          <w:szCs w:val="24"/>
        </w:rPr>
        <w:t>propos</w:t>
      </w:r>
      <w:r>
        <w:rPr>
          <w:rFonts w:ascii="Times New Roman" w:hAnsi="Times New Roman"/>
          <w:szCs w:val="24"/>
        </w:rPr>
        <w:t xml:space="preserve">ing </w:t>
      </w:r>
      <w:r w:rsidRPr="00161987">
        <w:rPr>
          <w:rFonts w:ascii="Times New Roman" w:hAnsi="Times New Roman"/>
          <w:szCs w:val="24"/>
        </w:rPr>
        <w:t xml:space="preserve">chapters on sustainable food systems </w:t>
      </w:r>
      <w:r>
        <w:rPr>
          <w:rFonts w:ascii="Times New Roman" w:hAnsi="Times New Roman"/>
          <w:szCs w:val="24"/>
        </w:rPr>
        <w:t xml:space="preserve">in </w:t>
      </w:r>
      <w:r w:rsidRPr="00161987">
        <w:rPr>
          <w:rFonts w:ascii="Times New Roman" w:hAnsi="Times New Roman"/>
          <w:szCs w:val="24"/>
        </w:rPr>
        <w:t xml:space="preserve">all </w:t>
      </w:r>
      <w:r w:rsidR="00F95F12">
        <w:rPr>
          <w:rFonts w:ascii="Times New Roman" w:hAnsi="Times New Roman"/>
          <w:szCs w:val="24"/>
        </w:rPr>
        <w:t xml:space="preserve">new </w:t>
      </w:r>
      <w:r w:rsidRPr="00161987">
        <w:rPr>
          <w:rFonts w:ascii="Times New Roman" w:hAnsi="Times New Roman"/>
          <w:szCs w:val="24"/>
        </w:rPr>
        <w:t xml:space="preserve">trade </w:t>
      </w:r>
      <w:r w:rsidR="00D24096">
        <w:rPr>
          <w:rFonts w:ascii="Times New Roman" w:hAnsi="Times New Roman"/>
          <w:szCs w:val="24"/>
        </w:rPr>
        <w:t>negotiations</w:t>
      </w:r>
      <w:r w:rsidRPr="00161987">
        <w:rPr>
          <w:rFonts w:ascii="Times New Roman" w:hAnsi="Times New Roman"/>
          <w:szCs w:val="24"/>
        </w:rPr>
        <w:t>.</w:t>
      </w:r>
      <w:r>
        <w:rPr>
          <w:rFonts w:ascii="Times New Roman" w:hAnsi="Times New Roman"/>
          <w:szCs w:val="24"/>
        </w:rPr>
        <w:t xml:space="preserve"> </w:t>
      </w:r>
      <w:r w:rsidRPr="00161987">
        <w:rPr>
          <w:rFonts w:ascii="Times New Roman" w:hAnsi="Times New Roman"/>
          <w:szCs w:val="24"/>
        </w:rPr>
        <w:t xml:space="preserve">The agreement with New Zealand was the first </w:t>
      </w:r>
      <w:r w:rsidR="00DB24FD">
        <w:rPr>
          <w:rFonts w:ascii="Times New Roman" w:hAnsi="Times New Roman"/>
          <w:szCs w:val="24"/>
        </w:rPr>
        <w:t xml:space="preserve">for which negotiations were </w:t>
      </w:r>
      <w:r w:rsidRPr="00161987">
        <w:rPr>
          <w:rFonts w:ascii="Times New Roman" w:hAnsi="Times New Roman"/>
          <w:szCs w:val="24"/>
        </w:rPr>
        <w:t>concluded (on 30 June 2022) with an agreed chapt</w:t>
      </w:r>
      <w:r>
        <w:rPr>
          <w:rFonts w:ascii="Times New Roman" w:hAnsi="Times New Roman"/>
          <w:szCs w:val="24"/>
        </w:rPr>
        <w:t xml:space="preserve">er on sustainable food systems. </w:t>
      </w:r>
      <w:r w:rsidR="00215AAB">
        <w:rPr>
          <w:rFonts w:ascii="Times New Roman" w:hAnsi="Times New Roman"/>
          <w:szCs w:val="24"/>
        </w:rPr>
        <w:t xml:space="preserve">Also the modernised agreement with Chile (concluded on 9 December 2022) includes such chapter. </w:t>
      </w:r>
      <w:r w:rsidR="00BE6CAD">
        <w:rPr>
          <w:rFonts w:ascii="Times New Roman" w:hAnsi="Times New Roman"/>
          <w:szCs w:val="24"/>
        </w:rPr>
        <w:t>These chapters contain</w:t>
      </w:r>
      <w:r w:rsidRPr="00161987">
        <w:rPr>
          <w:rFonts w:ascii="Times New Roman" w:hAnsi="Times New Roman"/>
          <w:szCs w:val="24"/>
        </w:rPr>
        <w:t xml:space="preserve"> commitments in areas such as animal welfare, food production methods to improve </w:t>
      </w:r>
      <w:r w:rsidRPr="00161987">
        <w:rPr>
          <w:rFonts w:ascii="Times New Roman" w:hAnsi="Times New Roman"/>
          <w:szCs w:val="24"/>
        </w:rPr>
        <w:lastRenderedPageBreak/>
        <w:t>sustainability, reducing the use of chemical pesticides and fertilizers, reducing the environmental and climate impact of food production, o</w:t>
      </w:r>
      <w:r>
        <w:rPr>
          <w:rFonts w:ascii="Times New Roman" w:hAnsi="Times New Roman"/>
          <w:szCs w:val="24"/>
        </w:rPr>
        <w:t xml:space="preserve">r reducing food loss and waste. </w:t>
      </w:r>
      <w:r w:rsidRPr="00161987">
        <w:rPr>
          <w:rFonts w:ascii="Times New Roman" w:hAnsi="Times New Roman"/>
          <w:szCs w:val="24"/>
        </w:rPr>
        <w:t xml:space="preserve">The Parties also </w:t>
      </w:r>
      <w:r w:rsidR="00F95F12" w:rsidRPr="00F95F12">
        <w:rPr>
          <w:rFonts w:ascii="Times New Roman" w:hAnsi="Times New Roman"/>
          <w:szCs w:val="24"/>
        </w:rPr>
        <w:t>commit</w:t>
      </w:r>
      <w:r w:rsidR="00BE6CAD">
        <w:rPr>
          <w:rFonts w:ascii="Times New Roman" w:hAnsi="Times New Roman"/>
          <w:szCs w:val="24"/>
        </w:rPr>
        <w:t xml:space="preserve"> </w:t>
      </w:r>
      <w:r w:rsidRPr="00161987">
        <w:rPr>
          <w:rFonts w:ascii="Times New Roman" w:hAnsi="Times New Roman"/>
          <w:szCs w:val="24"/>
        </w:rPr>
        <w:t>to cooperate in multilateral fora to foster the global transition t</w:t>
      </w:r>
      <w:r>
        <w:rPr>
          <w:rFonts w:ascii="Times New Roman" w:hAnsi="Times New Roman"/>
          <w:szCs w:val="24"/>
        </w:rPr>
        <w:t>owards sustainable food systems. Those commitment</w:t>
      </w:r>
      <w:r w:rsidR="00167A06">
        <w:rPr>
          <w:rFonts w:ascii="Times New Roman" w:hAnsi="Times New Roman"/>
          <w:szCs w:val="24"/>
        </w:rPr>
        <w:t>s</w:t>
      </w:r>
      <w:r>
        <w:rPr>
          <w:rFonts w:ascii="Times New Roman" w:hAnsi="Times New Roman"/>
          <w:szCs w:val="24"/>
        </w:rPr>
        <w:t xml:space="preserve"> are </w:t>
      </w:r>
      <w:r w:rsidR="00167A06">
        <w:rPr>
          <w:rFonts w:ascii="Times New Roman" w:hAnsi="Times New Roman"/>
          <w:szCs w:val="24"/>
        </w:rPr>
        <w:t xml:space="preserve">mutually </w:t>
      </w:r>
      <w:r>
        <w:rPr>
          <w:rFonts w:ascii="Times New Roman" w:hAnsi="Times New Roman"/>
          <w:szCs w:val="24"/>
        </w:rPr>
        <w:t xml:space="preserve">complementary </w:t>
      </w:r>
      <w:r w:rsidR="00167A06">
        <w:rPr>
          <w:rFonts w:ascii="Times New Roman" w:hAnsi="Times New Roman"/>
          <w:szCs w:val="24"/>
        </w:rPr>
        <w:t xml:space="preserve">with TSD provisions, </w:t>
      </w:r>
      <w:r>
        <w:rPr>
          <w:rFonts w:ascii="Times New Roman" w:hAnsi="Times New Roman"/>
          <w:szCs w:val="24"/>
        </w:rPr>
        <w:t xml:space="preserve">and both are guided by common rules, including institutional, implementation and enforcement ones </w:t>
      </w:r>
      <w:r w:rsidRPr="00581821">
        <w:rPr>
          <w:rFonts w:ascii="Times New Roman" w:hAnsi="Times New Roman"/>
          <w:b/>
          <w:szCs w:val="24"/>
        </w:rPr>
        <w:t xml:space="preserve">(paragraph </w:t>
      </w:r>
      <w:r>
        <w:rPr>
          <w:rFonts w:ascii="Times New Roman" w:hAnsi="Times New Roman"/>
          <w:b/>
          <w:szCs w:val="24"/>
        </w:rPr>
        <w:t>16</w:t>
      </w:r>
      <w:r w:rsidRPr="00581821">
        <w:rPr>
          <w:rFonts w:ascii="Times New Roman" w:hAnsi="Times New Roman"/>
          <w:b/>
          <w:szCs w:val="24"/>
        </w:rPr>
        <w:t>)</w:t>
      </w:r>
      <w:r>
        <w:rPr>
          <w:rFonts w:ascii="Times New Roman" w:hAnsi="Times New Roman"/>
          <w:szCs w:val="24"/>
        </w:rPr>
        <w:t>.</w:t>
      </w:r>
    </w:p>
    <w:p w14:paraId="7537AFA0" w14:textId="574C79CB" w:rsidR="00161987" w:rsidRPr="00161987" w:rsidRDefault="00CA5A85" w:rsidP="00161987">
      <w:pPr>
        <w:widowControl w:val="0"/>
        <w:spacing w:after="120"/>
        <w:rPr>
          <w:rFonts w:ascii="Times New Roman" w:hAnsi="Times New Roman"/>
          <w:szCs w:val="24"/>
        </w:rPr>
      </w:pPr>
      <w:r>
        <w:rPr>
          <w:rFonts w:ascii="Times New Roman" w:hAnsi="Times New Roman"/>
          <w:szCs w:val="24"/>
        </w:rPr>
        <w:t>The Commission agrees that the EU should remain ambitious in the consideration of autonomous instruments to tackle global labour and environmental challenges</w:t>
      </w:r>
      <w:r w:rsidR="00167A06">
        <w:rPr>
          <w:rFonts w:ascii="Times New Roman" w:hAnsi="Times New Roman"/>
          <w:szCs w:val="24"/>
        </w:rPr>
        <w:t xml:space="preserve">, and </w:t>
      </w:r>
      <w:r>
        <w:rPr>
          <w:rFonts w:ascii="Times New Roman" w:hAnsi="Times New Roman"/>
          <w:szCs w:val="24"/>
        </w:rPr>
        <w:t>is acting accordingly</w:t>
      </w:r>
      <w:r w:rsidR="00167A06">
        <w:rPr>
          <w:rFonts w:ascii="Times New Roman" w:hAnsi="Times New Roman"/>
          <w:szCs w:val="24"/>
        </w:rPr>
        <w:t xml:space="preserve">, including </w:t>
      </w:r>
      <w:r>
        <w:rPr>
          <w:rFonts w:ascii="Times New Roman" w:hAnsi="Times New Roman"/>
          <w:szCs w:val="24"/>
        </w:rPr>
        <w:t>with W</w:t>
      </w:r>
      <w:r w:rsidR="0023402B">
        <w:rPr>
          <w:rFonts w:ascii="Times New Roman" w:hAnsi="Times New Roman"/>
          <w:szCs w:val="24"/>
        </w:rPr>
        <w:t xml:space="preserve">orld </w:t>
      </w:r>
      <w:r>
        <w:rPr>
          <w:rFonts w:ascii="Times New Roman" w:hAnsi="Times New Roman"/>
          <w:szCs w:val="24"/>
        </w:rPr>
        <w:t>T</w:t>
      </w:r>
      <w:r w:rsidR="0023402B">
        <w:rPr>
          <w:rFonts w:ascii="Times New Roman" w:hAnsi="Times New Roman"/>
          <w:szCs w:val="24"/>
        </w:rPr>
        <w:t xml:space="preserve">rade </w:t>
      </w:r>
      <w:r>
        <w:rPr>
          <w:rFonts w:ascii="Times New Roman" w:hAnsi="Times New Roman"/>
          <w:szCs w:val="24"/>
        </w:rPr>
        <w:t>O</w:t>
      </w:r>
      <w:r w:rsidR="0023402B">
        <w:rPr>
          <w:rFonts w:ascii="Times New Roman" w:hAnsi="Times New Roman"/>
          <w:szCs w:val="24"/>
        </w:rPr>
        <w:t>rganisation</w:t>
      </w:r>
      <w:r>
        <w:rPr>
          <w:rFonts w:ascii="Times New Roman" w:hAnsi="Times New Roman"/>
          <w:szCs w:val="24"/>
        </w:rPr>
        <w:t xml:space="preserve">-compatible measures in areas such as those indicated in the resolution. In that respect, TSD chapters of EU trade agreements </w:t>
      </w:r>
      <w:r w:rsidR="00443C8C">
        <w:rPr>
          <w:rFonts w:ascii="Times New Roman" w:hAnsi="Times New Roman"/>
          <w:szCs w:val="24"/>
        </w:rPr>
        <w:t xml:space="preserve">provide </w:t>
      </w:r>
      <w:r>
        <w:rPr>
          <w:rFonts w:ascii="Times New Roman" w:hAnsi="Times New Roman"/>
          <w:szCs w:val="24"/>
        </w:rPr>
        <w:t xml:space="preserve">bilateral platforms for </w:t>
      </w:r>
      <w:r w:rsidR="002D23F8">
        <w:rPr>
          <w:rFonts w:ascii="Times New Roman" w:hAnsi="Times New Roman"/>
          <w:szCs w:val="24"/>
        </w:rPr>
        <w:t>cooperation</w:t>
      </w:r>
      <w:r>
        <w:rPr>
          <w:rFonts w:ascii="Times New Roman" w:hAnsi="Times New Roman"/>
          <w:szCs w:val="24"/>
        </w:rPr>
        <w:t xml:space="preserve"> which, combined with technical </w:t>
      </w:r>
      <w:r w:rsidRPr="006A194D">
        <w:rPr>
          <w:rFonts w:ascii="Times New Roman" w:hAnsi="Times New Roman"/>
          <w:szCs w:val="24"/>
        </w:rPr>
        <w:t xml:space="preserve">and financial </w:t>
      </w:r>
      <w:r>
        <w:rPr>
          <w:rFonts w:ascii="Times New Roman" w:hAnsi="Times New Roman"/>
          <w:szCs w:val="24"/>
        </w:rPr>
        <w:t>assistance, regulatory dialogues as well as implementation</w:t>
      </w:r>
      <w:r w:rsidR="00167A06">
        <w:rPr>
          <w:rFonts w:ascii="Times New Roman" w:hAnsi="Times New Roman"/>
          <w:szCs w:val="24"/>
        </w:rPr>
        <w:t xml:space="preserve"> and </w:t>
      </w:r>
      <w:r>
        <w:rPr>
          <w:rFonts w:ascii="Times New Roman" w:hAnsi="Times New Roman"/>
          <w:szCs w:val="24"/>
        </w:rPr>
        <w:t xml:space="preserve">enforcement mechanisms, </w:t>
      </w:r>
      <w:r w:rsidR="00C47A0C">
        <w:rPr>
          <w:rFonts w:ascii="Times New Roman" w:hAnsi="Times New Roman"/>
          <w:szCs w:val="24"/>
        </w:rPr>
        <w:t xml:space="preserve">should </w:t>
      </w:r>
      <w:r>
        <w:rPr>
          <w:rFonts w:ascii="Times New Roman" w:hAnsi="Times New Roman"/>
          <w:szCs w:val="24"/>
        </w:rPr>
        <w:t>significantly contr</w:t>
      </w:r>
      <w:r w:rsidR="00215B1F">
        <w:rPr>
          <w:rFonts w:ascii="Times New Roman" w:hAnsi="Times New Roman"/>
          <w:szCs w:val="24"/>
        </w:rPr>
        <w:t xml:space="preserve">ibute </w:t>
      </w:r>
      <w:r w:rsidR="00167A06">
        <w:rPr>
          <w:rFonts w:ascii="Times New Roman" w:hAnsi="Times New Roman"/>
          <w:szCs w:val="24"/>
        </w:rPr>
        <w:t xml:space="preserve">to </w:t>
      </w:r>
      <w:r w:rsidR="00F95F12" w:rsidRPr="00F95F12">
        <w:rPr>
          <w:rFonts w:ascii="Times New Roman" w:hAnsi="Times New Roman"/>
          <w:szCs w:val="24"/>
        </w:rPr>
        <w:t xml:space="preserve">helping </w:t>
      </w:r>
      <w:r>
        <w:rPr>
          <w:rFonts w:ascii="Times New Roman" w:hAnsi="Times New Roman"/>
          <w:szCs w:val="24"/>
        </w:rPr>
        <w:t>EU partners abid</w:t>
      </w:r>
      <w:r w:rsidR="00167A06">
        <w:rPr>
          <w:rFonts w:ascii="Times New Roman" w:hAnsi="Times New Roman"/>
          <w:szCs w:val="24"/>
        </w:rPr>
        <w:t>ing</w:t>
      </w:r>
      <w:r>
        <w:rPr>
          <w:rFonts w:ascii="Times New Roman" w:hAnsi="Times New Roman"/>
          <w:szCs w:val="24"/>
        </w:rPr>
        <w:t xml:space="preserve"> by </w:t>
      </w:r>
      <w:r w:rsidR="00F95F12" w:rsidRPr="00F95F12">
        <w:rPr>
          <w:rFonts w:ascii="Times New Roman" w:hAnsi="Times New Roman"/>
          <w:szCs w:val="24"/>
        </w:rPr>
        <w:t xml:space="preserve">or complying with </w:t>
      </w:r>
      <w:r>
        <w:rPr>
          <w:rFonts w:ascii="Times New Roman" w:hAnsi="Times New Roman"/>
          <w:szCs w:val="24"/>
        </w:rPr>
        <w:t xml:space="preserve">those </w:t>
      </w:r>
      <w:r w:rsidR="00167A06">
        <w:rPr>
          <w:rFonts w:ascii="Times New Roman" w:hAnsi="Times New Roman"/>
          <w:szCs w:val="24"/>
        </w:rPr>
        <w:t xml:space="preserve">autonomous </w:t>
      </w:r>
      <w:r>
        <w:rPr>
          <w:rFonts w:ascii="Times New Roman" w:hAnsi="Times New Roman"/>
          <w:szCs w:val="24"/>
        </w:rPr>
        <w:t>rules</w:t>
      </w:r>
      <w:r w:rsidR="00F95F12" w:rsidRPr="00F95F12">
        <w:t xml:space="preserve"> </w:t>
      </w:r>
      <w:r w:rsidR="00F95F12" w:rsidRPr="00F95F12">
        <w:rPr>
          <w:rFonts w:ascii="Times New Roman" w:hAnsi="Times New Roman"/>
          <w:szCs w:val="24"/>
        </w:rPr>
        <w:t>so as to further support and facilitate a strong relationship through trade</w:t>
      </w:r>
      <w:r w:rsidR="00215B1F">
        <w:rPr>
          <w:rFonts w:ascii="Times New Roman" w:hAnsi="Times New Roman"/>
          <w:szCs w:val="24"/>
        </w:rPr>
        <w:t>.</w:t>
      </w:r>
      <w:r>
        <w:rPr>
          <w:rFonts w:ascii="Times New Roman" w:hAnsi="Times New Roman"/>
          <w:szCs w:val="24"/>
        </w:rPr>
        <w:t xml:space="preserve"> </w:t>
      </w:r>
      <w:r w:rsidR="00215B1F" w:rsidRPr="002D23F8">
        <w:rPr>
          <w:rFonts w:ascii="Times New Roman" w:hAnsi="Times New Roman"/>
          <w:szCs w:val="24"/>
        </w:rPr>
        <w:t xml:space="preserve">The </w:t>
      </w:r>
      <w:r w:rsidR="00215B1F">
        <w:rPr>
          <w:rFonts w:ascii="Times New Roman" w:hAnsi="Times New Roman"/>
          <w:szCs w:val="24"/>
        </w:rPr>
        <w:t xml:space="preserve">EU </w:t>
      </w:r>
      <w:r w:rsidR="00227AFE">
        <w:rPr>
          <w:rFonts w:ascii="Times New Roman" w:hAnsi="Times New Roman"/>
          <w:szCs w:val="24"/>
        </w:rPr>
        <w:t xml:space="preserve">TSD chapters </w:t>
      </w:r>
      <w:r w:rsidR="00215B1F">
        <w:rPr>
          <w:rFonts w:ascii="Times New Roman" w:hAnsi="Times New Roman"/>
          <w:szCs w:val="24"/>
        </w:rPr>
        <w:t xml:space="preserve">also </w:t>
      </w:r>
      <w:r w:rsidR="00215B1F" w:rsidRPr="002D23F8">
        <w:rPr>
          <w:rFonts w:ascii="Times New Roman" w:hAnsi="Times New Roman"/>
          <w:szCs w:val="24"/>
        </w:rPr>
        <w:t>require</w:t>
      </w:r>
      <w:r w:rsidR="00215B1F">
        <w:rPr>
          <w:rFonts w:ascii="Times New Roman" w:hAnsi="Times New Roman"/>
          <w:szCs w:val="24"/>
        </w:rPr>
        <w:t xml:space="preserve"> its trading partners to make </w:t>
      </w:r>
      <w:r w:rsidR="00215B1F" w:rsidRPr="002D23F8">
        <w:rPr>
          <w:rFonts w:ascii="Times New Roman" w:hAnsi="Times New Roman"/>
          <w:szCs w:val="24"/>
        </w:rPr>
        <w:t>continuous effort</w:t>
      </w:r>
      <w:r w:rsidR="00215B1F">
        <w:rPr>
          <w:rFonts w:ascii="Times New Roman" w:hAnsi="Times New Roman"/>
          <w:szCs w:val="24"/>
        </w:rPr>
        <w:t>s</w:t>
      </w:r>
      <w:r w:rsidR="00215B1F" w:rsidRPr="002D23F8">
        <w:rPr>
          <w:rFonts w:ascii="Times New Roman" w:hAnsi="Times New Roman"/>
          <w:szCs w:val="24"/>
        </w:rPr>
        <w:t xml:space="preserve"> to ratify fundamental </w:t>
      </w:r>
      <w:r w:rsidR="001051A2">
        <w:rPr>
          <w:rFonts w:ascii="Times New Roman" w:hAnsi="Times New Roman"/>
          <w:szCs w:val="24"/>
        </w:rPr>
        <w:t xml:space="preserve">ILO </w:t>
      </w:r>
      <w:r w:rsidR="00215B1F">
        <w:rPr>
          <w:rFonts w:ascii="Times New Roman" w:hAnsi="Times New Roman"/>
          <w:szCs w:val="24"/>
        </w:rPr>
        <w:t>C</w:t>
      </w:r>
      <w:r w:rsidR="00215B1F" w:rsidRPr="002D23F8">
        <w:rPr>
          <w:rFonts w:ascii="Times New Roman" w:hAnsi="Times New Roman"/>
          <w:szCs w:val="24"/>
        </w:rPr>
        <w:t>onventions</w:t>
      </w:r>
      <w:r w:rsidR="00215B1F">
        <w:rPr>
          <w:rFonts w:ascii="Times New Roman" w:hAnsi="Times New Roman"/>
          <w:szCs w:val="24"/>
        </w:rPr>
        <w:t>,</w:t>
      </w:r>
      <w:r w:rsidR="00215B1F" w:rsidRPr="002D23F8">
        <w:rPr>
          <w:rFonts w:ascii="Times New Roman" w:hAnsi="Times New Roman"/>
          <w:szCs w:val="24"/>
        </w:rPr>
        <w:t xml:space="preserve"> and </w:t>
      </w:r>
      <w:r w:rsidR="00215B1F">
        <w:rPr>
          <w:rFonts w:ascii="Times New Roman" w:hAnsi="Times New Roman"/>
          <w:szCs w:val="24"/>
        </w:rPr>
        <w:t xml:space="preserve">promote the ratification of other ILO Conventions and Protocols, </w:t>
      </w:r>
      <w:r w:rsidR="00DB24FD" w:rsidRPr="00DB24FD">
        <w:rPr>
          <w:rFonts w:ascii="Times New Roman" w:hAnsi="Times New Roman"/>
          <w:szCs w:val="24"/>
        </w:rPr>
        <w:t>including those in the tripartite Declaration of Principles concerning Multinational Enterprises and Soci</w:t>
      </w:r>
      <w:r w:rsidR="00DB24FD">
        <w:rPr>
          <w:rFonts w:ascii="Times New Roman" w:hAnsi="Times New Roman"/>
          <w:szCs w:val="24"/>
        </w:rPr>
        <w:t>al Policy (ILO MNE Declaration)</w:t>
      </w:r>
      <w:r w:rsidR="00215B1F">
        <w:rPr>
          <w:rFonts w:ascii="Times New Roman" w:hAnsi="Times New Roman"/>
          <w:szCs w:val="24"/>
        </w:rPr>
        <w:t>, by regularly exchanging information with them</w:t>
      </w:r>
      <w:r w:rsidR="00215B1F" w:rsidRPr="00581821">
        <w:rPr>
          <w:rFonts w:ascii="Times New Roman" w:hAnsi="Times New Roman"/>
          <w:b/>
          <w:szCs w:val="24"/>
        </w:rPr>
        <w:t xml:space="preserve"> </w:t>
      </w:r>
      <w:r w:rsidRPr="00581821">
        <w:rPr>
          <w:rFonts w:ascii="Times New Roman" w:hAnsi="Times New Roman"/>
          <w:b/>
          <w:szCs w:val="24"/>
        </w:rPr>
        <w:t xml:space="preserve">(paragraph </w:t>
      </w:r>
      <w:r>
        <w:rPr>
          <w:rFonts w:ascii="Times New Roman" w:hAnsi="Times New Roman"/>
          <w:b/>
          <w:szCs w:val="24"/>
        </w:rPr>
        <w:t>17</w:t>
      </w:r>
      <w:r w:rsidRPr="00581821">
        <w:rPr>
          <w:rFonts w:ascii="Times New Roman" w:hAnsi="Times New Roman"/>
          <w:b/>
          <w:szCs w:val="24"/>
        </w:rPr>
        <w:t>)</w:t>
      </w:r>
      <w:r>
        <w:rPr>
          <w:rFonts w:ascii="Times New Roman" w:hAnsi="Times New Roman"/>
          <w:szCs w:val="24"/>
        </w:rPr>
        <w:t>.</w:t>
      </w:r>
    </w:p>
    <w:p w14:paraId="74598F93" w14:textId="6FE86F04" w:rsidR="00215B1F" w:rsidRDefault="00CA5A85" w:rsidP="00CA5A85">
      <w:pPr>
        <w:widowControl w:val="0"/>
        <w:spacing w:after="120"/>
        <w:rPr>
          <w:rFonts w:ascii="Times New Roman" w:hAnsi="Times New Roman"/>
          <w:szCs w:val="24"/>
        </w:rPr>
      </w:pPr>
      <w:r>
        <w:rPr>
          <w:rFonts w:ascii="Times New Roman" w:hAnsi="Times New Roman"/>
          <w:szCs w:val="24"/>
        </w:rPr>
        <w:t>The EU is actively participating</w:t>
      </w:r>
      <w:r w:rsidR="00591F3F">
        <w:rPr>
          <w:rFonts w:ascii="Times New Roman" w:hAnsi="Times New Roman"/>
          <w:szCs w:val="24"/>
        </w:rPr>
        <w:t xml:space="preserve"> in</w:t>
      </w:r>
      <w:r>
        <w:rPr>
          <w:rFonts w:ascii="Times New Roman" w:hAnsi="Times New Roman"/>
          <w:szCs w:val="24"/>
        </w:rPr>
        <w:t xml:space="preserve">, and </w:t>
      </w:r>
      <w:r w:rsidR="00E9447A">
        <w:rPr>
          <w:rFonts w:ascii="Times New Roman" w:hAnsi="Times New Roman"/>
          <w:szCs w:val="24"/>
        </w:rPr>
        <w:t xml:space="preserve">very </w:t>
      </w:r>
      <w:r>
        <w:rPr>
          <w:rFonts w:ascii="Times New Roman" w:hAnsi="Times New Roman"/>
          <w:szCs w:val="24"/>
        </w:rPr>
        <w:t xml:space="preserve">often leading, multilateral processes to support </w:t>
      </w:r>
      <w:r w:rsidRPr="00CA5A85">
        <w:rPr>
          <w:rFonts w:ascii="Times New Roman" w:hAnsi="Times New Roman"/>
          <w:szCs w:val="24"/>
        </w:rPr>
        <w:t>the global transition to a</w:t>
      </w:r>
      <w:r>
        <w:rPr>
          <w:rFonts w:ascii="Times New Roman" w:hAnsi="Times New Roman"/>
          <w:szCs w:val="24"/>
        </w:rPr>
        <w:t xml:space="preserve"> </w:t>
      </w:r>
      <w:r w:rsidR="00AA32F1">
        <w:rPr>
          <w:rFonts w:ascii="Times New Roman" w:hAnsi="Times New Roman"/>
          <w:szCs w:val="24"/>
        </w:rPr>
        <w:t>climate</w:t>
      </w:r>
      <w:r w:rsidRPr="00CA5A85">
        <w:rPr>
          <w:rFonts w:ascii="Times New Roman" w:hAnsi="Times New Roman"/>
          <w:szCs w:val="24"/>
        </w:rPr>
        <w:t>-neutral, inclusive and sustainable economy</w:t>
      </w:r>
      <w:r>
        <w:rPr>
          <w:rFonts w:ascii="Times New Roman" w:hAnsi="Times New Roman"/>
          <w:szCs w:val="24"/>
        </w:rPr>
        <w:t>. The Commission will continue to support th</w:t>
      </w:r>
      <w:r w:rsidR="00167A06">
        <w:rPr>
          <w:rFonts w:ascii="Times New Roman" w:hAnsi="Times New Roman"/>
          <w:szCs w:val="24"/>
        </w:rPr>
        <w:t>o</w:t>
      </w:r>
      <w:r>
        <w:rPr>
          <w:rFonts w:ascii="Times New Roman" w:hAnsi="Times New Roman"/>
          <w:szCs w:val="24"/>
        </w:rPr>
        <w:t xml:space="preserve">se processes together with other EU stakeholders. </w:t>
      </w:r>
      <w:r w:rsidR="00167A06">
        <w:rPr>
          <w:rFonts w:ascii="Times New Roman" w:hAnsi="Times New Roman"/>
          <w:szCs w:val="24"/>
        </w:rPr>
        <w:t xml:space="preserve">As above, </w:t>
      </w:r>
      <w:r>
        <w:rPr>
          <w:rFonts w:ascii="Times New Roman" w:hAnsi="Times New Roman"/>
          <w:szCs w:val="24"/>
        </w:rPr>
        <w:t xml:space="preserve">TSD chapters of EU trade agreements create unique opportunities for alliance-building with trade partners that may subsequently </w:t>
      </w:r>
      <w:r w:rsidR="00227AFE">
        <w:rPr>
          <w:rFonts w:ascii="Times New Roman" w:hAnsi="Times New Roman"/>
          <w:szCs w:val="24"/>
        </w:rPr>
        <w:t xml:space="preserve">develop </w:t>
      </w:r>
      <w:r>
        <w:rPr>
          <w:rFonts w:ascii="Times New Roman" w:hAnsi="Times New Roman"/>
          <w:szCs w:val="24"/>
        </w:rPr>
        <w:t>in multilateral fora</w:t>
      </w:r>
      <w:r w:rsidR="002D23F8">
        <w:rPr>
          <w:rFonts w:ascii="Times New Roman" w:hAnsi="Times New Roman"/>
          <w:szCs w:val="24"/>
        </w:rPr>
        <w:t xml:space="preserve"> </w:t>
      </w:r>
      <w:r w:rsidRPr="00581821">
        <w:rPr>
          <w:rFonts w:ascii="Times New Roman" w:hAnsi="Times New Roman"/>
          <w:b/>
          <w:szCs w:val="24"/>
        </w:rPr>
        <w:t>(paragraph</w:t>
      </w:r>
      <w:r w:rsidR="0023402B">
        <w:rPr>
          <w:rFonts w:ascii="Times New Roman" w:hAnsi="Times New Roman"/>
          <w:b/>
          <w:szCs w:val="24"/>
        </w:rPr>
        <w:t> </w:t>
      </w:r>
      <w:bookmarkStart w:id="0" w:name="_GoBack"/>
      <w:bookmarkEnd w:id="0"/>
      <w:r>
        <w:rPr>
          <w:rFonts w:ascii="Times New Roman" w:hAnsi="Times New Roman"/>
          <w:b/>
          <w:szCs w:val="24"/>
        </w:rPr>
        <w:t>18</w:t>
      </w:r>
      <w:r w:rsidRPr="00581821">
        <w:rPr>
          <w:rFonts w:ascii="Times New Roman" w:hAnsi="Times New Roman"/>
          <w:b/>
          <w:szCs w:val="24"/>
        </w:rPr>
        <w:t>)</w:t>
      </w:r>
      <w:r>
        <w:rPr>
          <w:rFonts w:ascii="Times New Roman" w:hAnsi="Times New Roman"/>
          <w:szCs w:val="24"/>
        </w:rPr>
        <w:t>.</w:t>
      </w:r>
    </w:p>
    <w:sectPr w:rsidR="00215B1F" w:rsidSect="008022B3">
      <w:headerReference w:type="default" r:id="rId8"/>
      <w:footerReference w:type="even" r:id="rId9"/>
      <w:footerReference w:type="default" r:id="rId10"/>
      <w:footerReference w:type="first" r:id="rId11"/>
      <w:footnotePr>
        <w:pos w:val="beneathText"/>
        <w:numRestart w:val="eachSect"/>
      </w:footnotePr>
      <w:pgSz w:w="11906" w:h="16838" w:code="9"/>
      <w:pgMar w:top="1021" w:right="1416" w:bottom="1021" w:left="1588" w:header="601" w:footer="68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AFFF2" w16cex:dateUtc="2022-12-19T14:21:00Z"/>
  <w16cex:commentExtensible w16cex:durableId="274B05E1" w16cex:dateUtc="2022-12-19T14:46:00Z"/>
  <w16cex:commentExtensible w16cex:durableId="274B081E" w16cex:dateUtc="2022-12-19T14:56:00Z"/>
  <w16cex:commentExtensible w16cex:durableId="274B0855" w16cex:dateUtc="2022-12-19T14:57:00Z"/>
  <w16cex:commentExtensible w16cex:durableId="274B0872" w16cex:dateUtc="2022-12-19T14:57:00Z"/>
  <w16cex:commentExtensible w16cex:durableId="274B0A8D" w16cex:dateUtc="2022-12-19T15:06:00Z"/>
  <w16cex:commentExtensible w16cex:durableId="274AFB3C" w16cex:dateUtc="2022-12-19T14:01:00Z"/>
  <w16cex:commentExtensible w16cex:durableId="274C69B5" w16cex:dateUtc="2022-12-20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1B0E3B" w16cid:durableId="274AFFF2"/>
  <w16cid:commentId w16cid:paraId="7641B0A5" w16cid:durableId="274B05E1"/>
  <w16cid:commentId w16cid:paraId="36288A11" w16cid:durableId="274B081E"/>
  <w16cid:commentId w16cid:paraId="02044E9C" w16cid:durableId="274B0855"/>
  <w16cid:commentId w16cid:paraId="14F67544" w16cid:durableId="274B0872"/>
  <w16cid:commentId w16cid:paraId="3A83DE5F" w16cid:durableId="274B0A8D"/>
  <w16cid:commentId w16cid:paraId="230EF29A" w16cid:durableId="274AFB3C"/>
  <w16cid:commentId w16cid:paraId="04DCE97C" w16cid:durableId="274C69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5A675" w14:textId="77777777" w:rsidR="00252F26" w:rsidRDefault="00252F26" w:rsidP="00E5337B">
      <w:pPr>
        <w:spacing w:after="0"/>
      </w:pPr>
      <w:r>
        <w:separator/>
      </w:r>
    </w:p>
  </w:endnote>
  <w:endnote w:type="continuationSeparator" w:id="0">
    <w:p w14:paraId="7E49C0E6" w14:textId="77777777" w:rsidR="00252F26" w:rsidRDefault="00252F26" w:rsidP="00E533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A00002B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DF32B" w14:textId="77777777" w:rsidR="00CA5A85" w:rsidRDefault="00CA5A85" w:rsidP="000D49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15D6A74B" w14:textId="77777777" w:rsidR="00CA5A85" w:rsidRDefault="00CA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286FF" w14:textId="4F98D227" w:rsidR="00CA5A85" w:rsidRDefault="00CA5A85" w:rsidP="000D49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2F06">
      <w:rPr>
        <w:rStyle w:val="PageNumber"/>
        <w:noProof/>
      </w:rPr>
      <w:t>4</w:t>
    </w:r>
    <w:r>
      <w:rPr>
        <w:rStyle w:val="PageNumber"/>
      </w:rPr>
      <w:fldChar w:fldCharType="end"/>
    </w:r>
  </w:p>
  <w:p w14:paraId="2831CA2B" w14:textId="77777777" w:rsidR="00CA5A85" w:rsidRPr="008A6623" w:rsidRDefault="00CA5A85" w:rsidP="000D492D">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1B39B" w14:textId="14A16FB3" w:rsidR="00CA5A85" w:rsidRDefault="00CA5A85" w:rsidP="000D49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2F06">
      <w:rPr>
        <w:rStyle w:val="PageNumber"/>
        <w:noProof/>
      </w:rPr>
      <w:t>1</w:t>
    </w:r>
    <w:r>
      <w:rPr>
        <w:rStyle w:val="PageNumber"/>
      </w:rPr>
      <w:fldChar w:fldCharType="end"/>
    </w:r>
  </w:p>
  <w:p w14:paraId="3504239E" w14:textId="77777777" w:rsidR="00CA5A85" w:rsidRDefault="00CA5A85" w:rsidP="000D492D">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A8FCB" w14:textId="77777777" w:rsidR="00252F26" w:rsidRDefault="00252F26" w:rsidP="00E5337B">
      <w:pPr>
        <w:spacing w:after="0"/>
      </w:pPr>
      <w:r>
        <w:separator/>
      </w:r>
    </w:p>
  </w:footnote>
  <w:footnote w:type="continuationSeparator" w:id="0">
    <w:p w14:paraId="323FE584" w14:textId="77777777" w:rsidR="00252F26" w:rsidRDefault="00252F26" w:rsidP="00E5337B">
      <w:pPr>
        <w:spacing w:after="0"/>
      </w:pPr>
      <w:r>
        <w:continuationSeparator/>
      </w:r>
    </w:p>
  </w:footnote>
  <w:footnote w:id="1">
    <w:p w14:paraId="510263FA" w14:textId="07643720" w:rsidR="00DB24FD" w:rsidRPr="00DB24FD" w:rsidRDefault="00DB24FD" w:rsidP="006C008E">
      <w:pPr>
        <w:pStyle w:val="FootnoteText"/>
        <w:spacing w:after="0"/>
        <w:rPr>
          <w:rFonts w:ascii="Times New Roman" w:hAnsi="Times New Roman"/>
          <w:lang w:val="es-ES"/>
        </w:rPr>
      </w:pPr>
      <w:r w:rsidRPr="00DB24FD">
        <w:rPr>
          <w:rStyle w:val="FootnoteReference"/>
          <w:rFonts w:ascii="Times New Roman" w:hAnsi="Times New Roman"/>
        </w:rPr>
        <w:footnoteRef/>
      </w:r>
      <w:r w:rsidRPr="00DB24FD">
        <w:rPr>
          <w:rFonts w:ascii="Times New Roman" w:hAnsi="Times New Roman"/>
          <w:lang w:val="es-ES"/>
        </w:rPr>
        <w:t xml:space="preserve"> </w:t>
      </w:r>
      <w:r>
        <w:rPr>
          <w:rFonts w:ascii="Times New Roman" w:hAnsi="Times New Roman"/>
          <w:lang w:val="es-ES"/>
        </w:rPr>
        <w:tab/>
      </w:r>
      <w:hyperlink r:id="rId1" w:history="1">
        <w:r w:rsidRPr="00914793">
          <w:rPr>
            <w:rStyle w:val="Hyperlink"/>
            <w:rFonts w:ascii="Times New Roman" w:hAnsi="Times New Roman"/>
            <w:lang w:val="es-ES"/>
          </w:rPr>
          <w:t>https://ec.europa.eu/commission/presscorner/d</w:t>
        </w:r>
        <w:r w:rsidRPr="00914793">
          <w:rPr>
            <w:rStyle w:val="Hyperlink"/>
            <w:rFonts w:ascii="Times New Roman" w:hAnsi="Times New Roman"/>
            <w:lang w:val="es-ES"/>
          </w:rPr>
          <w:t>e</w:t>
        </w:r>
        <w:r w:rsidRPr="00914793">
          <w:rPr>
            <w:rStyle w:val="Hyperlink"/>
            <w:rFonts w:ascii="Times New Roman" w:hAnsi="Times New Roman"/>
            <w:lang w:val="es-ES"/>
          </w:rPr>
          <w:t>tail/en/ip_21_644</w:t>
        </w:r>
      </w:hyperlink>
    </w:p>
  </w:footnote>
  <w:footnote w:id="2">
    <w:p w14:paraId="6B945734" w14:textId="77777777" w:rsidR="00472E8D" w:rsidRPr="00001648" w:rsidRDefault="00472E8D" w:rsidP="00472E8D">
      <w:pPr>
        <w:pStyle w:val="FootnoteText"/>
        <w:spacing w:after="0"/>
        <w:rPr>
          <w:rFonts w:ascii="Times New Roman" w:hAnsi="Times New Roman"/>
          <w:lang w:val="es-ES"/>
        </w:rPr>
      </w:pPr>
      <w:r w:rsidRPr="00001648">
        <w:rPr>
          <w:rStyle w:val="FootnoteReference"/>
          <w:rFonts w:ascii="Times New Roman" w:hAnsi="Times New Roman"/>
        </w:rPr>
        <w:footnoteRef/>
      </w:r>
      <w:r w:rsidRPr="00472E8D">
        <w:rPr>
          <w:rFonts w:ascii="Times New Roman" w:hAnsi="Times New Roman"/>
          <w:lang w:val="es-ES"/>
        </w:rPr>
        <w:tab/>
      </w:r>
      <w:hyperlink r:id="rId2" w:history="1">
        <w:r w:rsidRPr="00472E8D">
          <w:rPr>
            <w:rStyle w:val="Hyperlink"/>
            <w:rFonts w:ascii="Times New Roman" w:hAnsi="Times New Roman"/>
            <w:lang w:val="es-ES"/>
          </w:rPr>
          <w:t>https://ec.europa.eu/commission/presscorner/detail/en/ip_22_3921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EC270" w14:textId="77777777" w:rsidR="00CA5A85" w:rsidRDefault="00CA5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1" w15:restartNumberingAfterBreak="0">
    <w:nsid w:val="05537286"/>
    <w:multiLevelType w:val="hybridMultilevel"/>
    <w:tmpl w:val="EB2EFA04"/>
    <w:lvl w:ilvl="0" w:tplc="29923364">
      <w:start w:val="1"/>
      <w:numFmt w:val="decimal"/>
      <w:lvlText w:val="%1."/>
      <w:lvlJc w:val="left"/>
      <w:pPr>
        <w:ind w:left="720" w:hanging="720"/>
      </w:pPr>
      <w:rPr>
        <w:b/>
        <w:i w:val="0"/>
        <w:sz w:val="24"/>
        <w:szCs w:val="24"/>
      </w:rPr>
    </w:lvl>
    <w:lvl w:ilvl="1" w:tplc="08090019">
      <w:start w:val="1"/>
      <w:numFmt w:val="lowerLetter"/>
      <w:lvlText w:val="%2."/>
      <w:lvlJc w:val="left"/>
      <w:pPr>
        <w:ind w:left="1298" w:hanging="360"/>
      </w:pPr>
    </w:lvl>
    <w:lvl w:ilvl="2" w:tplc="0809001B">
      <w:start w:val="1"/>
      <w:numFmt w:val="lowerRoman"/>
      <w:lvlText w:val="%3."/>
      <w:lvlJc w:val="right"/>
      <w:pPr>
        <w:ind w:left="2018" w:hanging="180"/>
      </w:pPr>
    </w:lvl>
    <w:lvl w:ilvl="3" w:tplc="0809000F">
      <w:start w:val="1"/>
      <w:numFmt w:val="decimal"/>
      <w:lvlText w:val="%4."/>
      <w:lvlJc w:val="left"/>
      <w:pPr>
        <w:ind w:left="2738" w:hanging="360"/>
      </w:pPr>
    </w:lvl>
    <w:lvl w:ilvl="4" w:tplc="08090019">
      <w:start w:val="1"/>
      <w:numFmt w:val="lowerLetter"/>
      <w:lvlText w:val="%5."/>
      <w:lvlJc w:val="left"/>
      <w:pPr>
        <w:ind w:left="3458" w:hanging="360"/>
      </w:pPr>
    </w:lvl>
    <w:lvl w:ilvl="5" w:tplc="0809001B">
      <w:start w:val="1"/>
      <w:numFmt w:val="lowerRoman"/>
      <w:lvlText w:val="%6."/>
      <w:lvlJc w:val="right"/>
      <w:pPr>
        <w:ind w:left="4178" w:hanging="180"/>
      </w:pPr>
    </w:lvl>
    <w:lvl w:ilvl="6" w:tplc="0809000F">
      <w:start w:val="1"/>
      <w:numFmt w:val="decimal"/>
      <w:lvlText w:val="%7."/>
      <w:lvlJc w:val="left"/>
      <w:pPr>
        <w:ind w:left="4898" w:hanging="360"/>
      </w:pPr>
    </w:lvl>
    <w:lvl w:ilvl="7" w:tplc="08090019">
      <w:start w:val="1"/>
      <w:numFmt w:val="lowerLetter"/>
      <w:lvlText w:val="%8."/>
      <w:lvlJc w:val="left"/>
      <w:pPr>
        <w:ind w:left="5618" w:hanging="360"/>
      </w:pPr>
    </w:lvl>
    <w:lvl w:ilvl="8" w:tplc="0809001B">
      <w:start w:val="1"/>
      <w:numFmt w:val="lowerRoman"/>
      <w:lvlText w:val="%9."/>
      <w:lvlJc w:val="right"/>
      <w:pPr>
        <w:ind w:left="6338" w:hanging="180"/>
      </w:pPr>
    </w:lvl>
  </w:abstractNum>
  <w:abstractNum w:abstractNumId="2" w15:restartNumberingAfterBreak="0">
    <w:nsid w:val="0BE61FDC"/>
    <w:multiLevelType w:val="hybridMultilevel"/>
    <w:tmpl w:val="CF348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41829"/>
    <w:multiLevelType w:val="hybridMultilevel"/>
    <w:tmpl w:val="3956F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55B4B"/>
    <w:multiLevelType w:val="hybridMultilevel"/>
    <w:tmpl w:val="4A586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4507A7"/>
    <w:multiLevelType w:val="hybridMultilevel"/>
    <w:tmpl w:val="8F4CF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70544"/>
    <w:multiLevelType w:val="hybridMultilevel"/>
    <w:tmpl w:val="7E449A58"/>
    <w:lvl w:ilvl="0" w:tplc="010A331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92973D2"/>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28042BC"/>
    <w:multiLevelType w:val="hybridMultilevel"/>
    <w:tmpl w:val="F1389AF8"/>
    <w:lvl w:ilvl="0" w:tplc="7F96FC64">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2B5315B"/>
    <w:multiLevelType w:val="hybridMultilevel"/>
    <w:tmpl w:val="7608AEE0"/>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67B72B5"/>
    <w:multiLevelType w:val="hybridMultilevel"/>
    <w:tmpl w:val="296A4B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7203DF0"/>
    <w:multiLevelType w:val="hybridMultilevel"/>
    <w:tmpl w:val="7608AEE0"/>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CEF0D18"/>
    <w:multiLevelType w:val="hybridMultilevel"/>
    <w:tmpl w:val="E6B4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BB36CD"/>
    <w:multiLevelType w:val="hybridMultilevel"/>
    <w:tmpl w:val="CC1615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3AA3E36"/>
    <w:multiLevelType w:val="hybridMultilevel"/>
    <w:tmpl w:val="186C6B1C"/>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B49164A"/>
    <w:multiLevelType w:val="hybridMultilevel"/>
    <w:tmpl w:val="75D0359E"/>
    <w:lvl w:ilvl="0" w:tplc="3228B35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E14A0F"/>
    <w:multiLevelType w:val="hybridMultilevel"/>
    <w:tmpl w:val="E2E0550A"/>
    <w:lvl w:ilvl="0" w:tplc="C908CC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9F1483"/>
    <w:multiLevelType w:val="hybridMultilevel"/>
    <w:tmpl w:val="5606BF78"/>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311267D"/>
    <w:multiLevelType w:val="hybridMultilevel"/>
    <w:tmpl w:val="97E49C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44424DA6"/>
    <w:multiLevelType w:val="hybridMultilevel"/>
    <w:tmpl w:val="7608AEE0"/>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1" w15:restartNumberingAfterBreak="0">
    <w:nsid w:val="51852415"/>
    <w:multiLevelType w:val="hybridMultilevel"/>
    <w:tmpl w:val="CDAE29B0"/>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216537"/>
    <w:multiLevelType w:val="hybridMultilevel"/>
    <w:tmpl w:val="929CF750"/>
    <w:lvl w:ilvl="0" w:tplc="FDA6578A">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561228D"/>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5907331B"/>
    <w:multiLevelType w:val="hybridMultilevel"/>
    <w:tmpl w:val="A55A0EB4"/>
    <w:lvl w:ilvl="0" w:tplc="D7626F20">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C3073F9"/>
    <w:multiLevelType w:val="hybridMultilevel"/>
    <w:tmpl w:val="DA8A5DBE"/>
    <w:lvl w:ilvl="0" w:tplc="010A3310">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C6379BA"/>
    <w:multiLevelType w:val="hybridMultilevel"/>
    <w:tmpl w:val="6C3463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EAF265C"/>
    <w:multiLevelType w:val="hybridMultilevel"/>
    <w:tmpl w:val="CF64E904"/>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2103B19"/>
    <w:multiLevelType w:val="hybridMultilevel"/>
    <w:tmpl w:val="EDDCB614"/>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6A63291B"/>
    <w:multiLevelType w:val="hybridMultilevel"/>
    <w:tmpl w:val="7608AEE0"/>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C525E28"/>
    <w:multiLevelType w:val="hybridMultilevel"/>
    <w:tmpl w:val="690AF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E8353D9"/>
    <w:multiLevelType w:val="hybridMultilevel"/>
    <w:tmpl w:val="4FA4BD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9452E6E"/>
    <w:multiLevelType w:val="hybridMultilevel"/>
    <w:tmpl w:val="51720378"/>
    <w:lvl w:ilvl="0" w:tplc="F59E6F30">
      <w:start w:val="1"/>
      <w:numFmt w:val="decimal"/>
      <w:lvlText w:val="%1."/>
      <w:lvlJc w:val="left"/>
      <w:pPr>
        <w:ind w:left="862"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9147F8"/>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4" w15:restartNumberingAfterBreak="0">
    <w:nsid w:val="7CF351B6"/>
    <w:multiLevelType w:val="hybridMultilevel"/>
    <w:tmpl w:val="AC4C60EA"/>
    <w:lvl w:ilvl="0" w:tplc="884C6A0E">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4"/>
  </w:num>
  <w:num w:numId="3">
    <w:abstractNumId w:val="22"/>
  </w:num>
  <w:num w:numId="4">
    <w:abstractNumId w:val="3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0"/>
  </w:num>
  <w:num w:numId="8">
    <w:abstractNumId w:val="25"/>
  </w:num>
  <w:num w:numId="9">
    <w:abstractNumId w:val="7"/>
  </w:num>
  <w:num w:numId="10">
    <w:abstractNumId w:val="6"/>
  </w:num>
  <w:num w:numId="11">
    <w:abstractNumId w:val="32"/>
  </w:num>
  <w:num w:numId="12">
    <w:abstractNumId w:val="13"/>
  </w:num>
  <w:num w:numId="13">
    <w:abstractNumId w:val="10"/>
  </w:num>
  <w:num w:numId="14">
    <w:abstractNumId w:val="2"/>
  </w:num>
  <w:num w:numId="15">
    <w:abstractNumId w:val="3"/>
  </w:num>
  <w:num w:numId="16">
    <w:abstractNumId w:val="17"/>
  </w:num>
  <w:num w:numId="17">
    <w:abstractNumId w:val="14"/>
  </w:num>
  <w:num w:numId="18">
    <w:abstractNumId w:val="29"/>
  </w:num>
  <w:num w:numId="19">
    <w:abstractNumId w:val="11"/>
  </w:num>
  <w:num w:numId="20">
    <w:abstractNumId w:val="27"/>
  </w:num>
  <w:num w:numId="21">
    <w:abstractNumId w:val="19"/>
  </w:num>
  <w:num w:numId="22">
    <w:abstractNumId w:val="9"/>
  </w:num>
  <w:num w:numId="23">
    <w:abstractNumId w:val="26"/>
  </w:num>
  <w:num w:numId="24">
    <w:abstractNumId w:val="4"/>
  </w:num>
  <w:num w:numId="25">
    <w:abstractNumId w:val="1"/>
  </w:num>
  <w:num w:numId="26">
    <w:abstractNumId w:val="28"/>
  </w:num>
  <w:num w:numId="27">
    <w:abstractNumId w:val="30"/>
  </w:num>
  <w:num w:numId="28">
    <w:abstractNumId w:val="12"/>
  </w:num>
  <w:num w:numId="29">
    <w:abstractNumId w:val="15"/>
  </w:num>
  <w:num w:numId="30">
    <w:abstractNumId w:val="33"/>
  </w:num>
  <w:num w:numId="31">
    <w:abstractNumId w:val="23"/>
  </w:num>
  <w:num w:numId="32">
    <w:abstractNumId w:val="18"/>
  </w:num>
  <w:num w:numId="33">
    <w:abstractNumId w:val="5"/>
  </w:num>
  <w:num w:numId="34">
    <w:abstractNumId w:val="21"/>
  </w:num>
  <w:num w:numId="35">
    <w:abstractNumId w:val="20"/>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s-ES" w:vendorID="64" w:dllVersion="131078" w:nlCheck="1" w:checkStyle="0"/>
  <w:defaultTabStop w:val="720"/>
  <w:hyphenationZone w:val="425"/>
  <w:characterSpacingControl w:val="doNotCompress"/>
  <w:hdrShapeDefaults>
    <o:shapedefaults v:ext="edit" spidmax="2050"/>
  </w:hdrShapeDefaults>
  <w:footnotePr>
    <w:pos w:val="beneathText"/>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81A72"/>
    <w:rsid w:val="00001648"/>
    <w:rsid w:val="00004657"/>
    <w:rsid w:val="00012925"/>
    <w:rsid w:val="00013C39"/>
    <w:rsid w:val="0002618B"/>
    <w:rsid w:val="00027079"/>
    <w:rsid w:val="000A5C63"/>
    <w:rsid w:val="000B1BD0"/>
    <w:rsid w:val="000D492D"/>
    <w:rsid w:val="000D4DF4"/>
    <w:rsid w:val="000E1ECC"/>
    <w:rsid w:val="000E7824"/>
    <w:rsid w:val="000F156A"/>
    <w:rsid w:val="001051A2"/>
    <w:rsid w:val="00105C85"/>
    <w:rsid w:val="00112492"/>
    <w:rsid w:val="00117544"/>
    <w:rsid w:val="001462A0"/>
    <w:rsid w:val="00151DDD"/>
    <w:rsid w:val="00161987"/>
    <w:rsid w:val="00167A06"/>
    <w:rsid w:val="00171167"/>
    <w:rsid w:val="00195D43"/>
    <w:rsid w:val="001B314B"/>
    <w:rsid w:val="001C268C"/>
    <w:rsid w:val="001D16F0"/>
    <w:rsid w:val="001D7866"/>
    <w:rsid w:val="001E7D21"/>
    <w:rsid w:val="001F4C08"/>
    <w:rsid w:val="002020CD"/>
    <w:rsid w:val="002073A0"/>
    <w:rsid w:val="00215AAB"/>
    <w:rsid w:val="00215B1F"/>
    <w:rsid w:val="00227AFE"/>
    <w:rsid w:val="0023402B"/>
    <w:rsid w:val="00234D47"/>
    <w:rsid w:val="002358C4"/>
    <w:rsid w:val="00242C66"/>
    <w:rsid w:val="00252F26"/>
    <w:rsid w:val="00267797"/>
    <w:rsid w:val="0027220A"/>
    <w:rsid w:val="00273ED5"/>
    <w:rsid w:val="002903BD"/>
    <w:rsid w:val="00295501"/>
    <w:rsid w:val="00296B73"/>
    <w:rsid w:val="002D1783"/>
    <w:rsid w:val="002D23F8"/>
    <w:rsid w:val="002E4148"/>
    <w:rsid w:val="002E68E9"/>
    <w:rsid w:val="002E6BED"/>
    <w:rsid w:val="002F1D09"/>
    <w:rsid w:val="002F298F"/>
    <w:rsid w:val="002F5E9D"/>
    <w:rsid w:val="00306EC9"/>
    <w:rsid w:val="003146CD"/>
    <w:rsid w:val="00325C83"/>
    <w:rsid w:val="003461C2"/>
    <w:rsid w:val="00346FB9"/>
    <w:rsid w:val="00351FD9"/>
    <w:rsid w:val="00377D9C"/>
    <w:rsid w:val="00392320"/>
    <w:rsid w:val="0039252C"/>
    <w:rsid w:val="003937D4"/>
    <w:rsid w:val="003B3F3D"/>
    <w:rsid w:val="003B6AAA"/>
    <w:rsid w:val="003C6E78"/>
    <w:rsid w:val="003D014B"/>
    <w:rsid w:val="003E2F3A"/>
    <w:rsid w:val="003E33A9"/>
    <w:rsid w:val="003E68E6"/>
    <w:rsid w:val="003F3F39"/>
    <w:rsid w:val="00404E13"/>
    <w:rsid w:val="00405DCF"/>
    <w:rsid w:val="004245C1"/>
    <w:rsid w:val="00425B7B"/>
    <w:rsid w:val="00431451"/>
    <w:rsid w:val="00443C8C"/>
    <w:rsid w:val="0045389C"/>
    <w:rsid w:val="00467201"/>
    <w:rsid w:val="00467C10"/>
    <w:rsid w:val="00472E8D"/>
    <w:rsid w:val="00495226"/>
    <w:rsid w:val="004B0F78"/>
    <w:rsid w:val="004C18A9"/>
    <w:rsid w:val="004C3BCB"/>
    <w:rsid w:val="004C475E"/>
    <w:rsid w:val="004D2C96"/>
    <w:rsid w:val="00506B10"/>
    <w:rsid w:val="00513141"/>
    <w:rsid w:val="00513E96"/>
    <w:rsid w:val="0051558E"/>
    <w:rsid w:val="00523D9C"/>
    <w:rsid w:val="00531B75"/>
    <w:rsid w:val="00545CF6"/>
    <w:rsid w:val="00562B92"/>
    <w:rsid w:val="00581821"/>
    <w:rsid w:val="00591F3F"/>
    <w:rsid w:val="005A15A0"/>
    <w:rsid w:val="005B6018"/>
    <w:rsid w:val="005B6F40"/>
    <w:rsid w:val="005C02B7"/>
    <w:rsid w:val="005D352F"/>
    <w:rsid w:val="005D48D2"/>
    <w:rsid w:val="005E6BB5"/>
    <w:rsid w:val="005F6F65"/>
    <w:rsid w:val="00604EB4"/>
    <w:rsid w:val="00612DEA"/>
    <w:rsid w:val="0061693B"/>
    <w:rsid w:val="0062336A"/>
    <w:rsid w:val="0062705E"/>
    <w:rsid w:val="0065049B"/>
    <w:rsid w:val="00651DE5"/>
    <w:rsid w:val="00662111"/>
    <w:rsid w:val="006642E5"/>
    <w:rsid w:val="00673C24"/>
    <w:rsid w:val="006762B5"/>
    <w:rsid w:val="00677485"/>
    <w:rsid w:val="00681A07"/>
    <w:rsid w:val="00684FB9"/>
    <w:rsid w:val="00686088"/>
    <w:rsid w:val="00693C4C"/>
    <w:rsid w:val="00694A12"/>
    <w:rsid w:val="006A194D"/>
    <w:rsid w:val="006A1AAA"/>
    <w:rsid w:val="006B0722"/>
    <w:rsid w:val="006B5CD4"/>
    <w:rsid w:val="006C008E"/>
    <w:rsid w:val="006C123C"/>
    <w:rsid w:val="006C779B"/>
    <w:rsid w:val="006D1DE3"/>
    <w:rsid w:val="006D2011"/>
    <w:rsid w:val="006D36F6"/>
    <w:rsid w:val="006E0B2E"/>
    <w:rsid w:val="006E35DD"/>
    <w:rsid w:val="006E531A"/>
    <w:rsid w:val="006E6742"/>
    <w:rsid w:val="006E68FA"/>
    <w:rsid w:val="006E7A53"/>
    <w:rsid w:val="00710BDE"/>
    <w:rsid w:val="00711B1C"/>
    <w:rsid w:val="00714FC4"/>
    <w:rsid w:val="007200D4"/>
    <w:rsid w:val="00723091"/>
    <w:rsid w:val="0072318A"/>
    <w:rsid w:val="00731ABA"/>
    <w:rsid w:val="007378D8"/>
    <w:rsid w:val="007552A6"/>
    <w:rsid w:val="0076016D"/>
    <w:rsid w:val="00773E4C"/>
    <w:rsid w:val="00775133"/>
    <w:rsid w:val="00775247"/>
    <w:rsid w:val="00781A72"/>
    <w:rsid w:val="007906E6"/>
    <w:rsid w:val="00795AF7"/>
    <w:rsid w:val="00795CEE"/>
    <w:rsid w:val="007A4F5B"/>
    <w:rsid w:val="007B4FE9"/>
    <w:rsid w:val="007B7941"/>
    <w:rsid w:val="007C0B43"/>
    <w:rsid w:val="007C5B49"/>
    <w:rsid w:val="007F5EF8"/>
    <w:rsid w:val="008022B3"/>
    <w:rsid w:val="00824CB8"/>
    <w:rsid w:val="00836884"/>
    <w:rsid w:val="008405AB"/>
    <w:rsid w:val="008511E0"/>
    <w:rsid w:val="00865B95"/>
    <w:rsid w:val="008722A2"/>
    <w:rsid w:val="00896317"/>
    <w:rsid w:val="008A411C"/>
    <w:rsid w:val="008C74DD"/>
    <w:rsid w:val="008D0021"/>
    <w:rsid w:val="008D68F3"/>
    <w:rsid w:val="008F3947"/>
    <w:rsid w:val="008F7ADC"/>
    <w:rsid w:val="00900924"/>
    <w:rsid w:val="00902931"/>
    <w:rsid w:val="0090330B"/>
    <w:rsid w:val="00904041"/>
    <w:rsid w:val="00914768"/>
    <w:rsid w:val="00917059"/>
    <w:rsid w:val="00925AE6"/>
    <w:rsid w:val="009278B6"/>
    <w:rsid w:val="00936432"/>
    <w:rsid w:val="00936E06"/>
    <w:rsid w:val="00961A39"/>
    <w:rsid w:val="00974F08"/>
    <w:rsid w:val="00982937"/>
    <w:rsid w:val="00984EC9"/>
    <w:rsid w:val="009A4F14"/>
    <w:rsid w:val="009C1DD1"/>
    <w:rsid w:val="009C604A"/>
    <w:rsid w:val="009E2C40"/>
    <w:rsid w:val="009E4648"/>
    <w:rsid w:val="009E7F21"/>
    <w:rsid w:val="009F7BE6"/>
    <w:rsid w:val="009F7F09"/>
    <w:rsid w:val="00A01117"/>
    <w:rsid w:val="00A02369"/>
    <w:rsid w:val="00A1588D"/>
    <w:rsid w:val="00A32EC0"/>
    <w:rsid w:val="00A4272F"/>
    <w:rsid w:val="00A45836"/>
    <w:rsid w:val="00A53FDE"/>
    <w:rsid w:val="00A62B81"/>
    <w:rsid w:val="00A654B3"/>
    <w:rsid w:val="00A75813"/>
    <w:rsid w:val="00A944BB"/>
    <w:rsid w:val="00A96147"/>
    <w:rsid w:val="00AA32F1"/>
    <w:rsid w:val="00AA6E88"/>
    <w:rsid w:val="00AB32EC"/>
    <w:rsid w:val="00AC1160"/>
    <w:rsid w:val="00AD5E99"/>
    <w:rsid w:val="00AE3DE2"/>
    <w:rsid w:val="00AE605C"/>
    <w:rsid w:val="00B47E77"/>
    <w:rsid w:val="00B50BAE"/>
    <w:rsid w:val="00BB0437"/>
    <w:rsid w:val="00BB1328"/>
    <w:rsid w:val="00BB7B4A"/>
    <w:rsid w:val="00BC0F81"/>
    <w:rsid w:val="00BE6CAD"/>
    <w:rsid w:val="00C177F3"/>
    <w:rsid w:val="00C25DA3"/>
    <w:rsid w:val="00C27095"/>
    <w:rsid w:val="00C33F9B"/>
    <w:rsid w:val="00C35640"/>
    <w:rsid w:val="00C35E7E"/>
    <w:rsid w:val="00C439F4"/>
    <w:rsid w:val="00C460CA"/>
    <w:rsid w:val="00C47A0C"/>
    <w:rsid w:val="00C533D4"/>
    <w:rsid w:val="00C55BB1"/>
    <w:rsid w:val="00C737D1"/>
    <w:rsid w:val="00C7687F"/>
    <w:rsid w:val="00CA5A85"/>
    <w:rsid w:val="00CB1B47"/>
    <w:rsid w:val="00CC127E"/>
    <w:rsid w:val="00CC2DC6"/>
    <w:rsid w:val="00CE3707"/>
    <w:rsid w:val="00CE5F71"/>
    <w:rsid w:val="00CF1EC0"/>
    <w:rsid w:val="00CF2EE0"/>
    <w:rsid w:val="00CF5817"/>
    <w:rsid w:val="00CF66A7"/>
    <w:rsid w:val="00D01DE0"/>
    <w:rsid w:val="00D24096"/>
    <w:rsid w:val="00D27F0D"/>
    <w:rsid w:val="00D61D4B"/>
    <w:rsid w:val="00D8112F"/>
    <w:rsid w:val="00D85A0D"/>
    <w:rsid w:val="00D94818"/>
    <w:rsid w:val="00DA2F06"/>
    <w:rsid w:val="00DB24FD"/>
    <w:rsid w:val="00DC07EC"/>
    <w:rsid w:val="00DD03A2"/>
    <w:rsid w:val="00DF12D8"/>
    <w:rsid w:val="00DF3B48"/>
    <w:rsid w:val="00E05DD0"/>
    <w:rsid w:val="00E07965"/>
    <w:rsid w:val="00E52176"/>
    <w:rsid w:val="00E5337B"/>
    <w:rsid w:val="00E86BBB"/>
    <w:rsid w:val="00E9116C"/>
    <w:rsid w:val="00E9447A"/>
    <w:rsid w:val="00EA06F8"/>
    <w:rsid w:val="00EA3A35"/>
    <w:rsid w:val="00EA51AA"/>
    <w:rsid w:val="00EB3388"/>
    <w:rsid w:val="00EB3C3C"/>
    <w:rsid w:val="00EB775C"/>
    <w:rsid w:val="00ED115E"/>
    <w:rsid w:val="00ED4DD7"/>
    <w:rsid w:val="00EE214F"/>
    <w:rsid w:val="00EE43AC"/>
    <w:rsid w:val="00F0041A"/>
    <w:rsid w:val="00F00A73"/>
    <w:rsid w:val="00F00B24"/>
    <w:rsid w:val="00F00BA5"/>
    <w:rsid w:val="00F02029"/>
    <w:rsid w:val="00F30777"/>
    <w:rsid w:val="00F312FD"/>
    <w:rsid w:val="00F36D6D"/>
    <w:rsid w:val="00F40D73"/>
    <w:rsid w:val="00F413A4"/>
    <w:rsid w:val="00F57C59"/>
    <w:rsid w:val="00F63BEA"/>
    <w:rsid w:val="00F6621C"/>
    <w:rsid w:val="00F83D5E"/>
    <w:rsid w:val="00F95F12"/>
    <w:rsid w:val="00FB0DCA"/>
    <w:rsid w:val="00FB7A5A"/>
    <w:rsid w:val="00FC33CC"/>
    <w:rsid w:val="00FC5C8B"/>
    <w:rsid w:val="00FD1E2C"/>
    <w:rsid w:val="00FE7D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550AF"/>
  <w15:chartTrackingRefBased/>
  <w15:docId w15:val="{861FCE37-8570-4DDB-A501-44FE9AC9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A72"/>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semiHidden/>
    <w:unhideWhenUsed/>
    <w:rsid w:val="00781A72"/>
    <w:pPr>
      <w:spacing w:after="0"/>
      <w:ind w:left="5103" w:right="-567"/>
      <w:jc w:val="left"/>
    </w:pPr>
  </w:style>
  <w:style w:type="character" w:customStyle="1" w:styleId="DateChar">
    <w:name w:val="Date Char"/>
    <w:basedOn w:val="DefaultParagraphFont"/>
    <w:link w:val="Date"/>
    <w:semiHidden/>
    <w:rsid w:val="00781A72"/>
    <w:rPr>
      <w:rFonts w:ascii="Courier New" w:eastAsia="Times New Roman" w:hAnsi="Courier New" w:cs="Times New Roman"/>
      <w:sz w:val="24"/>
      <w:szCs w:val="20"/>
      <w:lang w:eastAsia="en-GB"/>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L,2"/>
    <w:basedOn w:val="Normal"/>
    <w:link w:val="ListParagraphChar"/>
    <w:qFormat/>
    <w:rsid w:val="00781A72"/>
    <w:pPr>
      <w:spacing w:after="200" w:line="276" w:lineRule="auto"/>
      <w:ind w:left="720"/>
      <w:contextualSpacing/>
      <w:jc w:val="left"/>
    </w:pPr>
    <w:rPr>
      <w:rFonts w:ascii="Calibri" w:eastAsia="Calibri" w:hAnsi="Calibri"/>
      <w:sz w:val="22"/>
      <w:szCs w:val="22"/>
      <w:lang w:eastAsia="en-US"/>
    </w:rPr>
  </w:style>
  <w:style w:type="paragraph" w:customStyle="1" w:styleId="Subject">
    <w:name w:val="Subject"/>
    <w:basedOn w:val="Normal"/>
    <w:next w:val="Normal"/>
    <w:rsid w:val="00781A72"/>
    <w:pPr>
      <w:spacing w:after="480"/>
      <w:ind w:left="1191" w:hanging="1191"/>
      <w:jc w:val="left"/>
    </w:pPr>
    <w:rPr>
      <w:b/>
    </w:rPr>
  </w:style>
  <w:style w:type="paragraph" w:customStyle="1" w:styleId="ZDGName">
    <w:name w:val="Z_DGName"/>
    <w:basedOn w:val="Normal"/>
    <w:uiPriority w:val="99"/>
    <w:rsid w:val="00781A72"/>
    <w:pPr>
      <w:spacing w:after="0"/>
      <w:ind w:right="85"/>
    </w:pPr>
    <w:rPr>
      <w:rFonts w:ascii="Arial" w:hAnsi="Arial"/>
      <w:sz w:val="16"/>
    </w:rPr>
  </w:style>
  <w:style w:type="paragraph" w:customStyle="1" w:styleId="ZCom">
    <w:name w:val="Z_Com"/>
    <w:basedOn w:val="Normal"/>
    <w:next w:val="ZDGName"/>
    <w:uiPriority w:val="99"/>
    <w:rsid w:val="00781A72"/>
    <w:pPr>
      <w:spacing w:after="0"/>
      <w:ind w:right="85"/>
    </w:pPr>
    <w:rPr>
      <w:rFonts w:ascii="Arial" w:hAnsi="Arial"/>
    </w:rPr>
  </w:style>
  <w:style w:type="paragraph" w:customStyle="1" w:styleId="ZFlag">
    <w:name w:val="Z_Flag"/>
    <w:basedOn w:val="Normal"/>
    <w:next w:val="Normal"/>
    <w:uiPriority w:val="99"/>
    <w:semiHidden/>
    <w:rsid w:val="00781A72"/>
    <w:pPr>
      <w:widowControl w:val="0"/>
      <w:spacing w:after="0"/>
      <w:ind w:right="85"/>
    </w:pPr>
    <w:rPr>
      <w:rFonts w:ascii="Times New Roman" w:hAnsi="Times New Roman"/>
      <w:lang w:eastAsia="fr-BE"/>
    </w:rPr>
  </w:style>
  <w:style w:type="table" w:customStyle="1" w:styleId="TableLetterhead">
    <w:name w:val="Table Letterhead"/>
    <w:basedOn w:val="TableNormal"/>
    <w:uiPriority w:val="99"/>
    <w:rsid w:val="00781A72"/>
    <w:pPr>
      <w:spacing w:after="0" w:line="240" w:lineRule="auto"/>
    </w:pPr>
    <w:rPr>
      <w:rFonts w:ascii="Times New Roman" w:eastAsia="Times New Roman" w:hAnsi="Times New Roman" w:cs="Times New Roman"/>
      <w:sz w:val="24"/>
      <w:szCs w:val="20"/>
      <w:lang w:eastAsia="fr-BE"/>
    </w:rPr>
    <w:tblPr>
      <w:tblInd w:w="0" w:type="nil"/>
      <w:tblCellMar>
        <w:left w:w="0" w:type="dxa"/>
        <w:bottom w:w="340" w:type="dxa"/>
        <w:right w:w="0" w:type="dxa"/>
      </w:tblCellMar>
    </w:tbl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2"/>
    <w:uiPriority w:val="99"/>
    <w:qFormat/>
    <w:rsid w:val="00E5337B"/>
    <w:pPr>
      <w:ind w:left="357" w:hanging="357"/>
    </w:pPr>
    <w:rPr>
      <w:sz w:val="20"/>
    </w:rPr>
  </w:style>
  <w:style w:type="character" w:customStyle="1" w:styleId="FootnoteTextChar">
    <w:name w:val="Footnote Text Char"/>
    <w:basedOn w:val="DefaultParagraphFont"/>
    <w:uiPriority w:val="99"/>
    <w:semiHidden/>
    <w:rsid w:val="00E5337B"/>
    <w:rPr>
      <w:rFonts w:ascii="Courier New" w:eastAsia="Times New Roman" w:hAnsi="Courier New" w:cs="Times New Roman"/>
      <w:sz w:val="20"/>
      <w:szCs w:val="20"/>
      <w:lang w:eastAsia="en-GB"/>
    </w:rPr>
  </w:style>
  <w:style w:type="paragraph" w:styleId="ListBullet">
    <w:name w:val="List Bullet"/>
    <w:basedOn w:val="Normal"/>
    <w:link w:val="ListBulletChar"/>
    <w:uiPriority w:val="99"/>
    <w:rsid w:val="00E5337B"/>
    <w:pPr>
      <w:numPr>
        <w:numId w:val="7"/>
      </w:numPr>
    </w:p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E5337B"/>
    <w:rPr>
      <w:vertAlign w:val="superscript"/>
    </w:rPr>
  </w:style>
  <w:style w:type="character" w:styleId="Hyperlink">
    <w:name w:val="Hyperlink"/>
    <w:aliases w:val="Char1"/>
    <w:rsid w:val="00E5337B"/>
    <w:rPr>
      <w:color w:val="0000FF"/>
      <w:u w:val="single"/>
    </w:rPr>
  </w:style>
  <w:style w:type="character" w:customStyle="1" w:styleId="ListBulletChar">
    <w:name w:val="List Bullet Char"/>
    <w:link w:val="ListBullet"/>
    <w:uiPriority w:val="99"/>
    <w:rsid w:val="00E5337B"/>
    <w:rPr>
      <w:rFonts w:ascii="Courier New" w:eastAsia="Times New Roman" w:hAnsi="Courier New" w:cs="Times New Roman"/>
      <w:sz w:val="24"/>
      <w:szCs w:val="20"/>
      <w:lang w:eastAsia="en-GB"/>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rsid w:val="00E5337B"/>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E5337B"/>
    <w:pPr>
      <w:spacing w:after="160" w:line="240" w:lineRule="exact"/>
      <w:jc w:val="left"/>
    </w:pPr>
    <w:rPr>
      <w:rFonts w:asciiTheme="minorHAnsi" w:eastAsiaTheme="minorHAnsi" w:hAnsiTheme="minorHAnsi" w:cstheme="minorBidi"/>
      <w:sz w:val="22"/>
      <w:szCs w:val="22"/>
      <w:vertAlign w:val="superscript"/>
      <w:lang w:eastAsia="en-US"/>
    </w:rPr>
  </w:style>
  <w:style w:type="paragraph" w:customStyle="1" w:styleId="ZnakZnak">
    <w:name w:val="Znak Znak"/>
    <w:basedOn w:val="Normal"/>
    <w:rsid w:val="00E5337B"/>
    <w:pPr>
      <w:spacing w:after="0" w:line="360" w:lineRule="auto"/>
    </w:pPr>
    <w:rPr>
      <w:rFonts w:ascii="Verdana" w:hAnsi="Verdana"/>
      <w:sz w:val="20"/>
      <w:lang w:eastAsia="pl-PL"/>
    </w:rPr>
  </w:style>
  <w:style w:type="paragraph" w:styleId="BalloonText">
    <w:name w:val="Balloon Text"/>
    <w:basedOn w:val="Normal"/>
    <w:link w:val="BalloonTextChar"/>
    <w:uiPriority w:val="99"/>
    <w:semiHidden/>
    <w:unhideWhenUsed/>
    <w:rsid w:val="00467C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C10"/>
    <w:rPr>
      <w:rFonts w:ascii="Segoe UI" w:eastAsia="Times New Roman" w:hAnsi="Segoe UI" w:cs="Segoe UI"/>
      <w:sz w:val="18"/>
      <w:szCs w:val="18"/>
      <w:lang w:eastAsia="en-GB"/>
    </w:rPr>
  </w:style>
  <w:style w:type="character" w:customStyle="1" w:styleId="st">
    <w:name w:val="st"/>
    <w:basedOn w:val="DefaultParagraphFont"/>
    <w:rsid w:val="00EA06F8"/>
  </w:style>
  <w:style w:type="paragraph" w:styleId="NormalWeb">
    <w:name w:val="Normal (Web)"/>
    <w:aliases w:val=" webb,webb"/>
    <w:basedOn w:val="Normal"/>
    <w:link w:val="NormalWebChar"/>
    <w:uiPriority w:val="99"/>
    <w:rsid w:val="00392320"/>
    <w:pPr>
      <w:spacing w:before="100" w:beforeAutospacing="1" w:after="100" w:afterAutospacing="1"/>
      <w:jc w:val="left"/>
    </w:pPr>
    <w:rPr>
      <w:rFonts w:ascii="Times New Roman" w:hAnsi="Times New Roman"/>
      <w:szCs w:val="24"/>
    </w:rPr>
  </w:style>
  <w:style w:type="character" w:customStyle="1" w:styleId="NormalWebChar">
    <w:name w:val="Normal (Web) Char"/>
    <w:aliases w:val=" webb Char,webb Char"/>
    <w:link w:val="NormalWeb"/>
    <w:uiPriority w:val="99"/>
    <w:rsid w:val="00392320"/>
    <w:rPr>
      <w:rFonts w:ascii="Times New Roman" w:eastAsia="Times New Roman" w:hAnsi="Times New Roman" w:cs="Times New Roman"/>
      <w:sz w:val="24"/>
      <w:szCs w:val="24"/>
      <w:lang w:eastAsia="en-GB"/>
    </w:rPr>
  </w:style>
  <w:style w:type="paragraph" w:customStyle="1" w:styleId="Body">
    <w:name w:val="Body"/>
    <w:basedOn w:val="Normal"/>
    <w:link w:val="BodyChar"/>
    <w:qFormat/>
    <w:rsid w:val="00392320"/>
    <w:pPr>
      <w:spacing w:before="120" w:after="120"/>
    </w:pPr>
    <w:rPr>
      <w:rFonts w:ascii="EC Square Sans Pro" w:hAnsi="EC Square Sans Pro"/>
      <w:szCs w:val="24"/>
      <w:lang w:eastAsia="en-US"/>
    </w:rPr>
  </w:style>
  <w:style w:type="character" w:customStyle="1" w:styleId="BodyChar">
    <w:name w:val="Body Char"/>
    <w:link w:val="Body"/>
    <w:rsid w:val="00392320"/>
    <w:rPr>
      <w:rFonts w:ascii="EC Square Sans Pro" w:eastAsia="Times New Roman" w:hAnsi="EC Square Sans Pro" w:cs="Times New Roman"/>
      <w:sz w:val="24"/>
      <w:szCs w:val="24"/>
    </w:rPr>
  </w:style>
  <w:style w:type="paragraph" w:customStyle="1" w:styleId="Text1">
    <w:name w:val="Text 1"/>
    <w:basedOn w:val="Normal"/>
    <w:link w:val="Text1Char"/>
    <w:rsid w:val="00711B1C"/>
    <w:pPr>
      <w:ind w:left="482"/>
    </w:pPr>
  </w:style>
  <w:style w:type="character" w:customStyle="1" w:styleId="Text1Char">
    <w:name w:val="Text 1 Char"/>
    <w:link w:val="Text1"/>
    <w:rsid w:val="00711B1C"/>
    <w:rPr>
      <w:rFonts w:ascii="Courier New" w:eastAsia="Times New Roman" w:hAnsi="Courier New" w:cs="Times New Roman"/>
      <w:sz w:val="24"/>
      <w:szCs w:val="20"/>
      <w:lang w:eastAsia="en-GB"/>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qFormat/>
    <w:locked/>
    <w:rsid w:val="00711B1C"/>
    <w:rPr>
      <w:rFonts w:ascii="Calibri" w:eastAsia="Calibri" w:hAnsi="Calibri" w:cs="Times New Roman"/>
      <w:lang w:val="en-GB"/>
    </w:rPr>
  </w:style>
  <w:style w:type="character" w:styleId="Emphasis">
    <w:name w:val="Emphasis"/>
    <w:basedOn w:val="DefaultParagraphFont"/>
    <w:uiPriority w:val="20"/>
    <w:qFormat/>
    <w:rsid w:val="00273ED5"/>
    <w:rPr>
      <w:i/>
      <w:iCs/>
    </w:rPr>
  </w:style>
  <w:style w:type="paragraph" w:styleId="Header">
    <w:name w:val="header"/>
    <w:basedOn w:val="Normal"/>
    <w:link w:val="HeaderChar"/>
    <w:unhideWhenUsed/>
    <w:rsid w:val="00CF66A7"/>
    <w:pPr>
      <w:tabs>
        <w:tab w:val="center" w:pos="4680"/>
        <w:tab w:val="right" w:pos="9360"/>
      </w:tabs>
      <w:spacing w:after="0"/>
    </w:pPr>
  </w:style>
  <w:style w:type="character" w:customStyle="1" w:styleId="HeaderChar">
    <w:name w:val="Header Char"/>
    <w:basedOn w:val="DefaultParagraphFont"/>
    <w:link w:val="Header"/>
    <w:uiPriority w:val="99"/>
    <w:rsid w:val="00CF66A7"/>
    <w:rPr>
      <w:rFonts w:ascii="Courier New" w:eastAsia="Times New Roman" w:hAnsi="Courier New" w:cs="Times New Roman"/>
      <w:sz w:val="24"/>
      <w:szCs w:val="20"/>
      <w:lang w:eastAsia="en-GB"/>
    </w:rPr>
  </w:style>
  <w:style w:type="paragraph" w:styleId="Footer">
    <w:name w:val="footer"/>
    <w:basedOn w:val="Normal"/>
    <w:link w:val="FooterChar"/>
    <w:unhideWhenUsed/>
    <w:rsid w:val="00CF66A7"/>
    <w:pPr>
      <w:tabs>
        <w:tab w:val="center" w:pos="4680"/>
        <w:tab w:val="right" w:pos="9360"/>
      </w:tabs>
      <w:spacing w:after="0"/>
    </w:pPr>
  </w:style>
  <w:style w:type="character" w:customStyle="1" w:styleId="FooterChar">
    <w:name w:val="Footer Char"/>
    <w:basedOn w:val="DefaultParagraphFont"/>
    <w:link w:val="Footer"/>
    <w:rsid w:val="00CF66A7"/>
    <w:rPr>
      <w:rFonts w:ascii="Courier New" w:eastAsia="Times New Roman" w:hAnsi="Courier New" w:cs="Times New Roman"/>
      <w:sz w:val="24"/>
      <w:szCs w:val="20"/>
      <w:lang w:eastAsia="en-GB"/>
    </w:rPr>
  </w:style>
  <w:style w:type="character" w:styleId="PageNumber">
    <w:name w:val="page number"/>
    <w:basedOn w:val="DefaultParagraphFont"/>
    <w:rsid w:val="008022B3"/>
  </w:style>
  <w:style w:type="paragraph" w:customStyle="1" w:styleId="Default">
    <w:name w:val="Default"/>
    <w:rsid w:val="008022B3"/>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character" w:styleId="FollowedHyperlink">
    <w:name w:val="FollowedHyperlink"/>
    <w:basedOn w:val="DefaultParagraphFont"/>
    <w:uiPriority w:val="99"/>
    <w:semiHidden/>
    <w:unhideWhenUsed/>
    <w:rsid w:val="005D48D2"/>
    <w:rPr>
      <w:color w:val="800080" w:themeColor="followedHyperlink"/>
      <w:u w:val="single"/>
    </w:rPr>
  </w:style>
  <w:style w:type="character" w:styleId="CommentReference">
    <w:name w:val="annotation reference"/>
    <w:basedOn w:val="DefaultParagraphFont"/>
    <w:uiPriority w:val="99"/>
    <w:semiHidden/>
    <w:unhideWhenUsed/>
    <w:rsid w:val="00167A06"/>
    <w:rPr>
      <w:sz w:val="16"/>
      <w:szCs w:val="16"/>
    </w:rPr>
  </w:style>
  <w:style w:type="paragraph" w:styleId="CommentText">
    <w:name w:val="annotation text"/>
    <w:basedOn w:val="Normal"/>
    <w:link w:val="CommentTextChar"/>
    <w:uiPriority w:val="99"/>
    <w:semiHidden/>
    <w:unhideWhenUsed/>
    <w:rsid w:val="00167A06"/>
    <w:rPr>
      <w:sz w:val="20"/>
    </w:rPr>
  </w:style>
  <w:style w:type="character" w:customStyle="1" w:styleId="CommentTextChar">
    <w:name w:val="Comment Text Char"/>
    <w:basedOn w:val="DefaultParagraphFont"/>
    <w:link w:val="CommentText"/>
    <w:uiPriority w:val="99"/>
    <w:semiHidden/>
    <w:rsid w:val="00167A06"/>
    <w:rPr>
      <w:rFonts w:ascii="Courier New" w:eastAsia="Times New Roman" w:hAnsi="Courier New"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67A06"/>
    <w:rPr>
      <w:b/>
      <w:bCs/>
    </w:rPr>
  </w:style>
  <w:style w:type="character" w:customStyle="1" w:styleId="CommentSubjectChar">
    <w:name w:val="Comment Subject Char"/>
    <w:basedOn w:val="CommentTextChar"/>
    <w:link w:val="CommentSubject"/>
    <w:uiPriority w:val="99"/>
    <w:semiHidden/>
    <w:rsid w:val="00167A06"/>
    <w:rPr>
      <w:rFonts w:ascii="Courier New" w:eastAsia="Times New Roman" w:hAnsi="Courier New" w:cs="Times New Roman"/>
      <w:b/>
      <w:bCs/>
      <w:sz w:val="20"/>
      <w:szCs w:val="20"/>
      <w:lang w:eastAsia="en-GB"/>
    </w:rPr>
  </w:style>
  <w:style w:type="paragraph" w:styleId="Revision">
    <w:name w:val="Revision"/>
    <w:hidden/>
    <w:uiPriority w:val="99"/>
    <w:semiHidden/>
    <w:rsid w:val="00167A06"/>
    <w:pPr>
      <w:spacing w:after="0" w:line="240" w:lineRule="auto"/>
    </w:pPr>
    <w:rPr>
      <w:rFonts w:ascii="Courier New" w:eastAsia="Times New Roman" w:hAnsi="Courier New"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201296">
      <w:bodyDiv w:val="1"/>
      <w:marLeft w:val="0"/>
      <w:marRight w:val="0"/>
      <w:marTop w:val="0"/>
      <w:marBottom w:val="0"/>
      <w:divBdr>
        <w:top w:val="none" w:sz="0" w:space="0" w:color="auto"/>
        <w:left w:val="none" w:sz="0" w:space="0" w:color="auto"/>
        <w:bottom w:val="none" w:sz="0" w:space="0" w:color="auto"/>
        <w:right w:val="none" w:sz="0" w:space="0" w:color="auto"/>
      </w:divBdr>
    </w:div>
    <w:div w:id="209624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ommission/presscorner/detail/en/ip_22_3921" TargetMode="External"/><Relationship Id="rId1" Type="http://schemas.openxmlformats.org/officeDocument/2006/relationships/hyperlink" Target="https://ec.europa.eu/commission/presscorner/detail/en/ip_21_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3C0317-4FB4-417F-83D6-9081936F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1686</Words>
  <Characters>11739</Characters>
  <Application>Microsoft Office Word</Application>
  <DocSecurity>0</DocSecurity>
  <Lines>1304</Lines>
  <Paragraphs>894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maria-jose.almeida@ec.europa.eu;Raffaella.BIANCHIN@ec.europa.eu</dc:creator>
  <cp:keywords/>
  <dc:description/>
  <cp:lastModifiedBy>ALMEIDA Maria Jose (SG)</cp:lastModifiedBy>
  <cp:revision>2</cp:revision>
  <cp:lastPrinted>2022-11-24T15:29:00Z</cp:lastPrinted>
  <dcterms:created xsi:type="dcterms:W3CDTF">2023-01-03T15:31:00Z</dcterms:created>
  <dcterms:modified xsi:type="dcterms:W3CDTF">2023-01-03T15:31:00Z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2022-12-05T11:41:42Z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869d6b01-6781-4672-af44-af6178b12647</vt:lpwstr>
  </property>
  <property fmtid="{D5CDD505-2E9C-101B-9397-08002B2CF9AE}" pid="8" name="MSIP_Label_6bd9ddd1-4d20-43f6-abfa-fc3c07406f94_ContentBits">
    <vt:lpwstr>0</vt:lpwstr>
  </property>
</Properties>
</file>