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87B03" w14:textId="1570F020" w:rsidR="008022B3" w:rsidRPr="00C33439" w:rsidRDefault="008022B3" w:rsidP="008022B3">
      <w:pPr>
        <w:spacing w:after="600"/>
        <w:jc w:val="center"/>
        <w:rPr>
          <w:b/>
          <w:bCs/>
          <w:szCs w:val="24"/>
          <w:rFonts w:ascii="Times New Roman" w:hAnsi="Times New Roman"/>
        </w:rPr>
      </w:pPr>
      <w:r>
        <w:rPr>
          <w:b/>
          <w:rFonts w:ascii="Times New Roman" w:hAnsi="Times New Roman"/>
        </w:rPr>
        <w:t xml:space="preserve">Suite donnée à la résolution non législative du Parlement européen sur le résultat du réexamen par la Commission du plan d’action en 15 points sur le commerce et le développement durable</w:t>
      </w:r>
    </w:p>
    <w:p w14:paraId="2943E96C" w14:textId="4FB16FF3" w:rsidR="008022B3" w:rsidRPr="00D11033" w:rsidRDefault="008022B3" w:rsidP="008022B3">
      <w:pPr>
        <w:numPr>
          <w:ilvl w:val="0"/>
          <w:numId w:val="35"/>
        </w:numPr>
        <w:ind w:left="567" w:hanging="567"/>
        <w:rPr>
          <w:i/>
          <w:szCs w:val="24"/>
          <w:rFonts w:ascii="Times New Roman" w:hAnsi="Times New Roman"/>
        </w:rPr>
      </w:pPr>
      <w:r>
        <w:rPr>
          <w:b/>
          <w:rFonts w:ascii="Times New Roman" w:hAnsi="Times New Roman"/>
        </w:rPr>
        <w:t xml:space="preserve">Résolution présentée conformément à l’article 136, paragraphe 5, du règlement intérieur du Parlement européen</w:t>
      </w:r>
    </w:p>
    <w:p w14:paraId="2D5EAB14" w14:textId="77777777" w:rsidR="008022B3" w:rsidRPr="007200D4" w:rsidRDefault="008022B3" w:rsidP="008022B3">
      <w:pPr>
        <w:pStyle w:val="Default"/>
        <w:numPr>
          <w:ilvl w:val="0"/>
          <w:numId w:val="35"/>
        </w:numPr>
        <w:spacing w:after="240"/>
        <w:ind w:left="567" w:hanging="567"/>
        <w:jc w:val="both"/>
        <w:rPr>
          <w:color w:val="auto"/>
        </w:rPr>
      </w:pPr>
      <w:r>
        <w:rPr>
          <w:b/>
          <w:color w:val="auto"/>
        </w:rPr>
        <w:t xml:space="preserve">Numéro de référence:</w:t>
      </w:r>
      <w:r>
        <w:rPr>
          <w:b/>
          <w:color w:val="auto"/>
        </w:rPr>
        <w:t xml:space="preserve"> </w:t>
      </w:r>
      <w:r>
        <w:t xml:space="preserve">2022/2692 (RSP) / B9-0415/2022 / P9_TA(2022)0354</w:t>
      </w:r>
    </w:p>
    <w:p w14:paraId="23D5E5C0" w14:textId="77777777" w:rsidR="008022B3" w:rsidRDefault="008022B3" w:rsidP="008022B3">
      <w:pPr>
        <w:numPr>
          <w:ilvl w:val="0"/>
          <w:numId w:val="35"/>
        </w:numPr>
        <w:ind w:left="567" w:hanging="567"/>
        <w:rPr>
          <w:szCs w:val="24"/>
          <w:rFonts w:ascii="Times New Roman" w:hAnsi="Times New Roman"/>
        </w:rPr>
      </w:pPr>
      <w:r>
        <w:rPr>
          <w:b/>
          <w:rFonts w:ascii="Times New Roman" w:hAnsi="Times New Roman"/>
        </w:rPr>
        <w:t xml:space="preserve">Date d'adoption de la résolution:</w:t>
      </w:r>
      <w:r>
        <w:rPr>
          <w:rFonts w:ascii="Times New Roman" w:hAnsi="Times New Roman"/>
        </w:rPr>
        <w:t xml:space="preserve"> </w:t>
      </w:r>
      <w:r>
        <w:rPr>
          <w:rFonts w:ascii="Times New Roman" w:hAnsi="Times New Roman"/>
        </w:rPr>
        <w:t xml:space="preserve">6 octobre 2022</w:t>
      </w:r>
    </w:p>
    <w:p w14:paraId="5FDBB52A" w14:textId="77777777" w:rsidR="008022B3" w:rsidRPr="00A8302F" w:rsidRDefault="008022B3" w:rsidP="008022B3">
      <w:pPr>
        <w:numPr>
          <w:ilvl w:val="0"/>
          <w:numId w:val="35"/>
        </w:numPr>
        <w:ind w:left="567" w:hanging="567"/>
        <w:rPr>
          <w:i/>
          <w:szCs w:val="24"/>
          <w:rFonts w:ascii="Times New Roman" w:hAnsi="Times New Roman"/>
        </w:rPr>
      </w:pPr>
      <w:r>
        <w:rPr>
          <w:b/>
          <w:rFonts w:ascii="Times New Roman" w:hAnsi="Times New Roman"/>
        </w:rPr>
        <w:t xml:space="preserve">Commission parlementaire compétente:</w:t>
      </w:r>
      <w:r>
        <w:rPr>
          <w:b/>
          <w:rFonts w:ascii="Times New Roman" w:hAnsi="Times New Roman"/>
        </w:rPr>
        <w:t xml:space="preserve"> </w:t>
      </w:r>
      <w:r>
        <w:rPr>
          <w:rFonts w:ascii="Times New Roman" w:hAnsi="Times New Roman"/>
        </w:rPr>
        <w:t xml:space="preserve">commission du commerce international (INTA)</w:t>
      </w:r>
    </w:p>
    <w:p w14:paraId="0AC1F1DD" w14:textId="77777777" w:rsidR="008022B3" w:rsidRPr="00A8302F" w:rsidRDefault="008022B3" w:rsidP="008022B3">
      <w:pPr>
        <w:widowControl w:val="0"/>
        <w:numPr>
          <w:ilvl w:val="0"/>
          <w:numId w:val="35"/>
        </w:numPr>
        <w:ind w:left="567" w:hanging="567"/>
        <w:rPr>
          <w:b/>
          <w:szCs w:val="24"/>
          <w:rFonts w:ascii="Times New Roman" w:hAnsi="Times New Roman"/>
        </w:rPr>
      </w:pPr>
      <w:r>
        <w:rPr>
          <w:b/>
          <w:rFonts w:ascii="Times New Roman" w:hAnsi="Times New Roman"/>
        </w:rPr>
        <w:t xml:space="preserve">Analyse/évaluation succincte de la résolution et des demandes qu’elle contient</w:t>
      </w:r>
      <w:r>
        <w:rPr>
          <w:b/>
          <w:rFonts w:ascii="Times New Roman" w:hAnsi="Times New Roman"/>
        </w:rPr>
        <w:t xml:space="preserve"> </w:t>
      </w:r>
    </w:p>
    <w:p w14:paraId="39C89C56" w14:textId="04B1D368" w:rsidR="0045389C" w:rsidRDefault="008022B3" w:rsidP="006C008E">
      <w:pPr>
        <w:widowControl w:val="0"/>
        <w:spacing w:after="120"/>
        <w:rPr>
          <w:szCs w:val="24"/>
          <w:rFonts w:ascii="Times New Roman" w:hAnsi="Times New Roman"/>
        </w:rPr>
      </w:pPr>
      <w:r>
        <w:rPr>
          <w:rFonts w:ascii="Times New Roman" w:hAnsi="Times New Roman"/>
        </w:rPr>
        <w:t xml:space="preserve">La commission du commerce international (INTA) du Parlement européen a voté, le 14 juillet 2022, sur la question orale O-29/2022 et sur une proposition de résolution intitulée «Résultats du réexamen par la Commission du plan d’action en 15 points sur le commerce et le développement durable».</w:t>
      </w:r>
      <w:r>
        <w:rPr>
          <w:rFonts w:ascii="Times New Roman" w:hAnsi="Times New Roman"/>
        </w:rPr>
        <w:t xml:space="preserve"> </w:t>
      </w:r>
      <w:r>
        <w:rPr>
          <w:rFonts w:ascii="Times New Roman" w:hAnsi="Times New Roman"/>
        </w:rPr>
        <w:t xml:space="preserve">La question orale a été débattue en séance plénière du Parlement européen le 5 octobre 2022 et le projet de résolution a été adopté le lendemain à main levée.</w:t>
      </w:r>
    </w:p>
    <w:p w14:paraId="602271EC" w14:textId="145A11E6" w:rsidR="0045389C" w:rsidRPr="0045389C" w:rsidRDefault="008022B3" w:rsidP="006C008E">
      <w:pPr>
        <w:widowControl w:val="0"/>
        <w:spacing w:after="120"/>
        <w:rPr>
          <w:szCs w:val="24"/>
          <w:rFonts w:ascii="Times New Roman" w:hAnsi="Times New Roman"/>
        </w:rPr>
      </w:pPr>
      <w:r>
        <w:rPr>
          <w:rFonts w:ascii="Times New Roman" w:hAnsi="Times New Roman"/>
        </w:rPr>
        <w:t xml:space="preserve">La résolution souligne que les accords commerciaux de l’Union doivent contribuer à la durabilité et à une économie neutre pour le climat en donnant la priorité au commerce des biens produits et des services fournis au moyen de pratiques durables.</w:t>
      </w:r>
      <w:r>
        <w:rPr>
          <w:rFonts w:ascii="Times New Roman" w:hAnsi="Times New Roman"/>
        </w:rPr>
        <w:t xml:space="preserve"> </w:t>
      </w:r>
      <w:r>
        <w:rPr>
          <w:rFonts w:ascii="Times New Roman" w:hAnsi="Times New Roman"/>
        </w:rPr>
        <w:t xml:space="preserve">Elle salue la communication de la Commission et prend note avec satisfaction de l’intention de la Commission de renforcer les chapitres sur le commerce et le développement durable des accords commerciaux de l’UE.</w:t>
      </w:r>
      <w:r>
        <w:rPr>
          <w:rFonts w:ascii="Times New Roman" w:hAnsi="Times New Roman"/>
        </w:rPr>
        <w:t xml:space="preserve"> </w:t>
      </w:r>
      <w:r>
        <w:rPr>
          <w:rFonts w:ascii="Times New Roman" w:hAnsi="Times New Roman"/>
        </w:rPr>
        <w:t xml:space="preserve">La résolution souligne qu’il importe de progresser dans tous les domaines d’action et points d’action recensés dans cette communication, à savoir parvenir à un dialogue axé sur les résultats et les priorités avec les pays partenaires, accroître la participation et le soutien de la société civile et mettre davantage l’accent sur la mise en œuvre et le contrôle de l’application des engagements en matière de durabilité dans les accords commerciaux.</w:t>
      </w:r>
    </w:p>
    <w:p w14:paraId="24794D0B" w14:textId="2229DC07" w:rsidR="000D4DF4" w:rsidRDefault="006A194D" w:rsidP="006C008E">
      <w:pPr>
        <w:widowControl w:val="0"/>
        <w:spacing w:after="120"/>
        <w:rPr>
          <w:szCs w:val="24"/>
          <w:rFonts w:ascii="Times New Roman" w:hAnsi="Times New Roman"/>
        </w:rPr>
      </w:pPr>
      <w:r>
        <w:rPr>
          <w:rFonts w:ascii="Times New Roman" w:hAnsi="Times New Roman"/>
        </w:rPr>
        <w:t xml:space="preserve">En particulier, elle demande que des mesures soient prises dans certains de ces domaines, telles que les priorités et feuilles de route de mise en œuvre par pays, les exercices de cadrage et les évaluations de l’impact sur le développement durable, le rôle des différents acteurs dans le suivi de la mise en œuvre du commerce et du développement durable [commission INTA du Parlement, États membres, services de la Commission, délégations de l’Union, groupes consultatifs internes (GCI), organisations de la société civile], le rôle du règlement des différends dans le contrôle de l’application en matière de commerce et de développement durable ainsi que la nouvelle phase de conformité et les sanctions, la pertinence des engagements en matière de commerce et de développement durable dans un certain nombre de domaines (travail, changement climatique, biodiversité, genre), l’importance de l’action multilatérale (parallèlement aux accords commerciaux bilatéraux) ainsi que des instruments autonomes de l’UE (action pour le climat, déforestation, durabilité et devoir de diligence des entreprises, travail forcé, économie circulaire et transition vers une énergie verte) et l’application des principes de la communication de la Commission à tous les accords commerciaux de l’UE en cours de négociation et à tous les futurs accords commerciaux.</w:t>
      </w:r>
    </w:p>
    <w:p w14:paraId="42CB8068" w14:textId="77777777" w:rsidR="008022B3" w:rsidRPr="00942AA5" w:rsidRDefault="008022B3" w:rsidP="008022B3">
      <w:pPr>
        <w:widowControl w:val="0"/>
        <w:numPr>
          <w:ilvl w:val="0"/>
          <w:numId w:val="35"/>
        </w:numPr>
        <w:ind w:left="567" w:hanging="567"/>
        <w:rPr>
          <w:b/>
          <w:szCs w:val="24"/>
          <w:rFonts w:ascii="Times New Roman" w:hAnsi="Times New Roman"/>
        </w:rPr>
      </w:pPr>
      <w:r>
        <w:rPr>
          <w:b/>
          <w:rFonts w:ascii="Times New Roman" w:hAnsi="Times New Roman"/>
        </w:rPr>
        <w:t xml:space="preserve">Réponse à ces demandes et aperçu des mesures que la Commission a prises ou envisage de prendre</w:t>
      </w:r>
      <w:r>
        <w:rPr>
          <w:b/>
          <w:rFonts w:ascii="Times New Roman" w:hAnsi="Times New Roman"/>
        </w:rPr>
        <w:t xml:space="preserve"> </w:t>
      </w:r>
    </w:p>
    <w:p w14:paraId="1D605534" w14:textId="6B5E98C6" w:rsidR="00DB24FD" w:rsidRDefault="00027079" w:rsidP="00027079">
      <w:pPr>
        <w:widowControl w:val="0"/>
        <w:spacing w:after="120"/>
        <w:rPr>
          <w:szCs w:val="24"/>
          <w:rFonts w:ascii="Times New Roman" w:hAnsi="Times New Roman"/>
        </w:rPr>
      </w:pPr>
      <w:r>
        <w:rPr>
          <w:rFonts w:ascii="Times New Roman" w:hAnsi="Times New Roman"/>
        </w:rPr>
        <w:t xml:space="preserve">Dans sa communication intitulée «Réexamen de la politique commerciale — Une politique commerciale ouverte, durable et ferme»</w:t>
      </w:r>
      <w:r>
        <w:rPr>
          <w:rStyle w:val="FootnoteReference"/>
          <w:rFonts w:ascii="Times New Roman" w:hAnsi="Times New Roman"/>
          <w:i/>
          <w:szCs w:val="24"/>
        </w:rPr>
        <w:footnoteReference w:id="1"/>
      </w:r>
      <w:r>
        <w:rPr>
          <w:rFonts w:ascii="Times New Roman" w:hAnsi="Times New Roman"/>
        </w:rPr>
        <w:t xml:space="preserve">, publiée le 18 février 2021, la Commission a placé le développement durable au cœur de la politique commerciale de l’UE, dans le but de rendre les échanges commerciaux de l’UE plus écologiques, plus équitables et plus durables.</w:t>
      </w:r>
      <w:r>
        <w:rPr>
          <w:rFonts w:ascii="Times New Roman" w:hAnsi="Times New Roman"/>
        </w:rPr>
        <w:t xml:space="preserve"> </w:t>
      </w:r>
      <w:r>
        <w:rPr>
          <w:rFonts w:ascii="Times New Roman" w:hAnsi="Times New Roman"/>
        </w:rPr>
        <w:t xml:space="preserve">Outre les mesures autonomes et l’engagement multilatéral de l’Union, la Commission partage l’avis du Parlement européen selon lequel le rôle des accords commerciaux bilatéraux dans la promotion de la durabilité devrait être renforcé.</w:t>
      </w:r>
    </w:p>
    <w:p w14:paraId="1409ED86" w14:textId="4C677679" w:rsidR="00027079" w:rsidRDefault="00677485" w:rsidP="00027079">
      <w:pPr>
        <w:widowControl w:val="0"/>
        <w:spacing w:after="120"/>
        <w:rPr>
          <w:szCs w:val="24"/>
          <w:rFonts w:ascii="Times New Roman" w:hAnsi="Times New Roman"/>
        </w:rPr>
      </w:pPr>
      <w:r>
        <w:rPr>
          <w:rFonts w:ascii="Times New Roman" w:hAnsi="Times New Roman"/>
        </w:rPr>
        <w:t xml:space="preserve">À l’issue d’un processus de consultation des parties prenantes d’une durée d’un an, la Commission a adopté, le 22 juin 2022, la communication intitulée «Le pouvoir des partenariats commerciaux:</w:t>
      </w:r>
      <w:r>
        <w:rPr>
          <w:i/>
          <w:rFonts w:ascii="Times New Roman" w:hAnsi="Times New Roman"/>
        </w:rPr>
        <w:t xml:space="preserve"> </w:t>
      </w:r>
      <w:r>
        <w:rPr>
          <w:rFonts w:ascii="Times New Roman" w:hAnsi="Times New Roman"/>
        </w:rPr>
        <w:t xml:space="preserve">ensemble pour une croissance économique verte et juste»</w:t>
      </w:r>
      <w:r>
        <w:rPr>
          <w:rStyle w:val="FootnoteReference"/>
          <w:rFonts w:ascii="Times New Roman" w:hAnsi="Times New Roman"/>
          <w:i/>
          <w:szCs w:val="24"/>
          <w:lang w:eastAsia="en-US"/>
        </w:rPr>
        <w:footnoteReference w:id="2"/>
      </w:r>
      <w:r>
        <w:rPr>
          <w:rFonts w:ascii="Times New Roman" w:hAnsi="Times New Roman"/>
        </w:rPr>
        <w:t xml:space="preserve"> afin de renforcer la contribution des accords commerciaux de l’UE à la durabilité, notamment en renforçant la mise en œuvre et le contrôle de l’application de leurs chapitres sur le commerce et le développement durable.</w:t>
      </w:r>
      <w:r>
        <w:rPr>
          <w:rFonts w:ascii="Times New Roman" w:hAnsi="Times New Roman"/>
        </w:rPr>
        <w:t xml:space="preserve"> </w:t>
      </w:r>
      <w:r>
        <w:rPr>
          <w:rFonts w:ascii="Times New Roman" w:hAnsi="Times New Roman"/>
        </w:rPr>
        <w:t xml:space="preserve">Elle recense un certain nombre de priorités politiques et de points d’action clés à cet égard, qui rendront encore plus efficace l’approche actuelle fondée sur les engagements en matière de commerce et de développement durable (</w:t>
      </w:r>
      <w:r>
        <w:rPr>
          <w:b/>
          <w:bCs/>
          <w:rFonts w:ascii="Times New Roman" w:hAnsi="Times New Roman"/>
        </w:rPr>
        <w:t xml:space="preserve">paragraphe 1</w:t>
      </w:r>
      <w:r>
        <w:rPr>
          <w:rFonts w:ascii="Times New Roman" w:hAnsi="Times New Roman"/>
        </w:rPr>
        <w:t xml:space="preserve">).</w:t>
      </w:r>
    </w:p>
    <w:p w14:paraId="5BE9FC0E" w14:textId="598B5034" w:rsidR="00027079" w:rsidRPr="00684FB9" w:rsidRDefault="00027079" w:rsidP="00027079">
      <w:pPr>
        <w:widowControl w:val="0"/>
        <w:spacing w:after="120"/>
        <w:rPr>
          <w:szCs w:val="24"/>
          <w:rFonts w:ascii="Times New Roman" w:hAnsi="Times New Roman"/>
        </w:rPr>
      </w:pPr>
      <w:r>
        <w:rPr>
          <w:rFonts w:ascii="Times New Roman" w:hAnsi="Times New Roman"/>
        </w:rPr>
        <w:t xml:space="preserve">En particulier, la Commission définira des priorités de mise en œuvre par pays avec la participation de la société civile, en consultation avec les entités et les organisations internationales pertinentes, tout en envisageant, le cas échéant, des feuilles de route pour la mise en œuvre afin d’obtenir les résultats souhaités (</w:t>
      </w:r>
      <w:r>
        <w:rPr>
          <w:b/>
          <w:bCs/>
          <w:rFonts w:ascii="Times New Roman" w:hAnsi="Times New Roman"/>
        </w:rPr>
        <w:t xml:space="preserve">paragraphe 2</w:t>
      </w:r>
      <w:r>
        <w:rPr>
          <w:rFonts w:ascii="Times New Roman" w:hAnsi="Times New Roman"/>
        </w:rPr>
        <w:t xml:space="preserve">).</w:t>
      </w:r>
    </w:p>
    <w:p w14:paraId="3A777EC7" w14:textId="7983BA0D" w:rsidR="00C177F3" w:rsidRDefault="00C177F3" w:rsidP="00C177F3">
      <w:pPr>
        <w:widowControl w:val="0"/>
        <w:spacing w:after="120"/>
        <w:rPr>
          <w:szCs w:val="24"/>
          <w:rFonts w:ascii="Times New Roman" w:hAnsi="Times New Roman"/>
        </w:rPr>
      </w:pPr>
      <w:r>
        <w:rPr>
          <w:rFonts w:ascii="Times New Roman" w:hAnsi="Times New Roman"/>
        </w:rPr>
        <w:t xml:space="preserve">La Commission est également d’accord avec la résolution du Parlement européen sur la nécessité de procéder à des exercices de cadrage avec des contenus relatifs au commerce et au développement durable avant le lancement de nouvelles négociations sur les accords de libre-échange (ALE), sur la nécessité de procéder à des évaluations ex ante afin de recenser également les dispositions pertinentes susceptibles d’harmoniser la durabilité et le travail décent à l’échelle mondiale, au-delà des chapitres sur le commerce et le développement durable, ainsi que sur la nécessité de procéder à des analyses d’impact ex post (</w:t>
      </w:r>
      <w:r>
        <w:rPr>
          <w:b/>
          <w:bCs/>
          <w:b/>
          <w:bCs/>
          <w:rFonts w:ascii="Times New Roman" w:hAnsi="Times New Roman"/>
        </w:rPr>
        <w:t xml:space="preserve">paragraphes</w:t>
      </w:r>
      <w:r>
        <w:rPr>
          <w:b/>
          <w:bCs/>
          <w:rFonts w:ascii="Times New Roman" w:hAnsi="Times New Roman"/>
        </w:rPr>
        <w:t xml:space="preserve"> 3, 4 et 9</w:t>
      </w:r>
      <w:r>
        <w:rPr>
          <w:rFonts w:ascii="Times New Roman" w:hAnsi="Times New Roman"/>
        </w:rPr>
        <w:t xml:space="preserve">).</w:t>
      </w:r>
    </w:p>
    <w:p w14:paraId="15475C08" w14:textId="4F7024D9" w:rsidR="00C177F3" w:rsidRDefault="00C177F3" w:rsidP="00693C4C">
      <w:pPr>
        <w:widowControl w:val="0"/>
        <w:spacing w:after="120"/>
        <w:rPr>
          <w:szCs w:val="24"/>
          <w:rFonts w:ascii="Times New Roman" w:hAnsi="Times New Roman"/>
        </w:rPr>
      </w:pPr>
      <w:r>
        <w:rPr>
          <w:rFonts w:ascii="Times New Roman" w:hAnsi="Times New Roman"/>
        </w:rPr>
        <w:t xml:space="preserve">Le point d’action 9 de la communication de la Commission souligne le rôle des délégations de l’UE dans le suivi de la mise en œuvre des engagements en matière de commerce et de développement durable, y compris en assurant la liaison avec les GCI locaux.</w:t>
      </w:r>
      <w:r>
        <w:rPr>
          <w:rFonts w:ascii="Times New Roman" w:hAnsi="Times New Roman"/>
        </w:rPr>
        <w:t xml:space="preserve"> </w:t>
      </w:r>
      <w:r>
        <w:rPr>
          <w:rFonts w:ascii="Times New Roman" w:hAnsi="Times New Roman"/>
        </w:rPr>
        <w:t xml:space="preserve">La Commission convient qu’un tel rôle pourrait être renforcé et prend acte de la demande du Parlement visant à ce que des ressources financières et humaines suffisantes soient allouées à cet égard.</w:t>
      </w:r>
      <w:r>
        <w:rPr>
          <w:rFonts w:ascii="Times New Roman" w:hAnsi="Times New Roman"/>
        </w:rPr>
        <w:t xml:space="preserve"> </w:t>
      </w:r>
      <w:r>
        <w:rPr>
          <w:rFonts w:ascii="Times New Roman" w:hAnsi="Times New Roman"/>
        </w:rPr>
        <w:t xml:space="preserve">La Commission convient également de l’importance de rationaliser les travaux dans l’ensemble de ses services, y compris en ce qui concerne la coordination des programmes de renforcement des capacités, et de tirer le meilleur parti de l’approche de l’équipe Europe lors du dialogue mené avec les pays partenaires sur le commerce et le développement durable (</w:t>
      </w:r>
      <w:r>
        <w:rPr>
          <w:b/>
          <w:bCs/>
          <w:rFonts w:ascii="Times New Roman" w:hAnsi="Times New Roman"/>
        </w:rPr>
        <w:t xml:space="preserve">paragraphe 5</w:t>
      </w:r>
      <w:r>
        <w:rPr>
          <w:rFonts w:ascii="Times New Roman" w:hAnsi="Times New Roman"/>
        </w:rPr>
        <w:t xml:space="preserve">).</w:t>
      </w:r>
    </w:p>
    <w:p w14:paraId="6DA25A2C" w14:textId="316D10C2" w:rsidR="00693C4C" w:rsidRDefault="00693C4C" w:rsidP="00693C4C">
      <w:pPr>
        <w:widowControl w:val="0"/>
        <w:spacing w:after="120"/>
        <w:rPr>
          <w:szCs w:val="24"/>
          <w:rFonts w:ascii="Times New Roman" w:hAnsi="Times New Roman"/>
        </w:rPr>
      </w:pPr>
      <w:r>
        <w:rPr>
          <w:rFonts w:ascii="Times New Roman" w:hAnsi="Times New Roman"/>
        </w:rPr>
        <w:t xml:space="preserve">La Commission se félicite que le Parlement accueille favorablement la création de la fonction de responsable européen du respect des règles du commerce et la création du guichet unique, et confirme son engagement à ne pas accorder moins d’importance aux violations alléguées des engagements en matière de commerce et de développement durable qu’à d’autres violations alléguées, telles que celles liées à l’accès aux marchés.</w:t>
      </w:r>
      <w:r>
        <w:rPr>
          <w:rFonts w:ascii="Times New Roman" w:hAnsi="Times New Roman"/>
        </w:rPr>
        <w:t xml:space="preserve"> </w:t>
      </w:r>
      <w:r>
        <w:rPr>
          <w:rFonts w:ascii="Times New Roman" w:hAnsi="Times New Roman"/>
        </w:rPr>
        <w:t xml:space="preserve">Dans le prolongement immédiat de la communication sur le commerce et le développement durable, la Commission a décidé d’appliquer des délais indicatifs pour le traitement des plaintes relatives au commerce et au développement durable, comme indiqué dans les lignes directrices opérationnelles actualisées relatives au guichet unique.</w:t>
      </w:r>
      <w:r>
        <w:rPr>
          <w:rFonts w:ascii="Times New Roman" w:hAnsi="Times New Roman"/>
        </w:rPr>
        <w:t xml:space="preserve"> </w:t>
      </w:r>
      <w:r>
        <w:rPr>
          <w:rFonts w:ascii="Times New Roman" w:hAnsi="Times New Roman"/>
        </w:rPr>
        <w:t xml:space="preserve">La Commission continuera également à s’efforcer d’établir des engagements clairs et précis en matière de commerce et de développement durable, étant donné qu’elle partage l’avis du Parlement selon lequel cela est important pour faciliter la mise en œuvre et le contrôle de l’application (</w:t>
      </w:r>
      <w:r>
        <w:rPr>
          <w:b/>
          <w:bCs/>
          <w:b/>
          <w:bCs/>
          <w:rFonts w:ascii="Times New Roman" w:hAnsi="Times New Roman"/>
        </w:rPr>
        <w:t xml:space="preserve">paragraphe</w:t>
      </w:r>
      <w:r>
        <w:rPr>
          <w:b/>
          <w:bCs/>
          <w:rFonts w:ascii="Times New Roman" w:hAnsi="Times New Roman"/>
        </w:rPr>
        <w:t xml:space="preserve"> 6</w:t>
      </w:r>
      <w:r>
        <w:rPr>
          <w:rFonts w:ascii="Times New Roman" w:hAnsi="Times New Roman"/>
        </w:rPr>
        <w:t xml:space="preserve">).</w:t>
      </w:r>
    </w:p>
    <w:p w14:paraId="086A3DD4" w14:textId="674EFF19" w:rsidR="004D2C96" w:rsidRDefault="00693C4C" w:rsidP="00215AAB">
      <w:pPr>
        <w:widowControl w:val="0"/>
        <w:spacing w:after="120"/>
        <w:rPr>
          <w:szCs w:val="24"/>
          <w:rFonts w:ascii="Times New Roman" w:hAnsi="Times New Roman"/>
        </w:rPr>
      </w:pPr>
      <w:r>
        <w:rPr>
          <w:rFonts w:ascii="Times New Roman" w:hAnsi="Times New Roman"/>
        </w:rPr>
        <w:t xml:space="preserve">Le renforcement du rôle structuré des GCI, y compris au moyen de ressources financières et d’une assistance technique, constitue l’une des principales priorités énoncées dans la communication de la Commission, qui comprend sept points d’action pour cette priorité.</w:t>
      </w:r>
      <w:r>
        <w:rPr>
          <w:rFonts w:ascii="Times New Roman" w:hAnsi="Times New Roman"/>
        </w:rPr>
        <w:t xml:space="preserve"> </w:t>
      </w:r>
      <w:r>
        <w:rPr>
          <w:rFonts w:ascii="Times New Roman" w:hAnsi="Times New Roman"/>
        </w:rPr>
        <w:t xml:space="preserve">Dans le cadre de la mise en œuvre de cette communication, la Commission a récemment amélioré les lignes directrices relatives à l’accès des GCI de l’UE et des organisations de la société civile de l’UE au guichet unique.</w:t>
      </w:r>
      <w:r>
        <w:rPr>
          <w:rFonts w:ascii="Times New Roman" w:hAnsi="Times New Roman"/>
        </w:rPr>
        <w:t xml:space="preserve"> </w:t>
      </w:r>
      <w:r>
        <w:rPr>
          <w:rFonts w:ascii="Times New Roman" w:hAnsi="Times New Roman"/>
        </w:rPr>
        <w:t xml:space="preserve">En particulier, la Commission confirme que les GCI de l’UE et les organisations de la société civile de l’UE peuvent déposer des plaintes collectives, y compris pour représenter les intérêts d’entités similaires dans des pays partenaires en dehors de l’UE.</w:t>
      </w:r>
      <w:r>
        <w:rPr>
          <w:rFonts w:ascii="Times New Roman" w:hAnsi="Times New Roman"/>
        </w:rPr>
        <w:t xml:space="preserve"> </w:t>
      </w:r>
      <w:r>
        <w:rPr>
          <w:rFonts w:ascii="Times New Roman" w:hAnsi="Times New Roman"/>
        </w:rPr>
        <w:t xml:space="preserve">La Commission confirme avoir reçu, le 17 mai 2022, une plainte sur le commerce et le développement durable déposée par une association syndicale de l’UE au nom d’organisations dans les pays partenaires.</w:t>
      </w:r>
      <w:r>
        <w:rPr>
          <w:rFonts w:ascii="Times New Roman" w:hAnsi="Times New Roman"/>
        </w:rPr>
        <w:t xml:space="preserve"> </w:t>
      </w:r>
      <w:r>
        <w:rPr>
          <w:rFonts w:ascii="Times New Roman" w:hAnsi="Times New Roman"/>
        </w:rPr>
        <w:t xml:space="preserve">La Commission se félicite de l’intention de la commission INTA d’organiser un débat annuel avec les représentants des GCI et convient qu’il est utile d’établir des échanges plus étroits entre les GCI, d’une part, et les groupes de suivi et les rapporteurs permanents du Parlement, d’autre part.</w:t>
      </w:r>
      <w:r>
        <w:rPr>
          <w:rFonts w:ascii="Times New Roman" w:hAnsi="Times New Roman"/>
        </w:rPr>
        <w:t xml:space="preserve"> </w:t>
      </w:r>
      <w:r>
        <w:rPr>
          <w:rFonts w:ascii="Times New Roman" w:hAnsi="Times New Roman"/>
        </w:rPr>
        <w:t xml:space="preserve">La Commission reste pleinement déterminée à soutenir le fonctionnement des GCI dans les pays et régions partenaires.</w:t>
      </w:r>
      <w:r>
        <w:rPr>
          <w:rFonts w:ascii="Times New Roman" w:hAnsi="Times New Roman"/>
        </w:rPr>
        <w:t xml:space="preserve"> </w:t>
      </w:r>
      <w:r>
        <w:rPr>
          <w:rFonts w:ascii="Times New Roman" w:hAnsi="Times New Roman"/>
        </w:rPr>
        <w:t xml:space="preserve">L’interaction avec les GCI de l’UE, qui peut être facilitée par la Commission le cas échéant, est un élément clé à cet égard (</w:t>
      </w:r>
      <w:r>
        <w:rPr>
          <w:b/>
          <w:bCs/>
          <w:rFonts w:ascii="Times New Roman" w:hAnsi="Times New Roman"/>
        </w:rPr>
        <w:t xml:space="preserve">paragraphe 7</w:t>
      </w:r>
      <w:r>
        <w:rPr>
          <w:rFonts w:ascii="Times New Roman" w:hAnsi="Times New Roman"/>
        </w:rPr>
        <w:t xml:space="preserve">).</w:t>
      </w:r>
    </w:p>
    <w:p w14:paraId="6ED29A98" w14:textId="1D984D1A" w:rsidR="000D492D" w:rsidRDefault="004D2C96" w:rsidP="000D492D">
      <w:pPr>
        <w:widowControl w:val="0"/>
        <w:spacing w:after="120"/>
        <w:rPr>
          <w:szCs w:val="24"/>
          <w:rFonts w:ascii="Times New Roman" w:hAnsi="Times New Roman"/>
        </w:rPr>
      </w:pPr>
      <w:r>
        <w:rPr>
          <w:rFonts w:ascii="Times New Roman" w:hAnsi="Times New Roman"/>
        </w:rPr>
        <w:t xml:space="preserve">La communication de la Commission vise à aligner davantage le contrôle de l’application en matière de commerce et de développement durable sur le processus général de règlement des différends dans le cadre des accords commerciaux de l’UE et à inclure aussi dans la phase de conformité les différends relatifs aux violations des chapitres sur le commerce et le développement durable.</w:t>
      </w:r>
      <w:r>
        <w:rPr>
          <w:rFonts w:ascii="Times New Roman" w:hAnsi="Times New Roman"/>
        </w:rPr>
        <w:t xml:space="preserve"> </w:t>
      </w:r>
      <w:r>
        <w:rPr>
          <w:rFonts w:ascii="Times New Roman" w:hAnsi="Times New Roman"/>
        </w:rPr>
        <w:t xml:space="preserve">Cette approche signifie que si le groupe spécial constate qu’une partie a violé l’un quelconque des engagements en matière de commerce et de développement durable, celle-ci devra communiquer rapidement le moyen par lequel elle entend appliquer le rapport du groupe spécial et se mettre en conformité dans un délai déterminé.</w:t>
      </w:r>
      <w:r>
        <w:rPr>
          <w:rFonts w:ascii="Times New Roman" w:hAnsi="Times New Roman"/>
        </w:rPr>
        <w:t xml:space="preserve"> </w:t>
      </w:r>
      <w:r>
        <w:rPr>
          <w:rFonts w:ascii="Times New Roman" w:hAnsi="Times New Roman"/>
        </w:rPr>
        <w:t xml:space="preserve">La Commission prend note du point de vue exprimé dans la résolution sur le rôle des contributions définies au niveau national dans l’évaluation d’éventuelles violations des engagements de l’accord de Paris.</w:t>
      </w:r>
      <w:r>
        <w:rPr>
          <w:rFonts w:ascii="Times New Roman" w:hAnsi="Times New Roman"/>
        </w:rPr>
        <w:t xml:space="preserve"> </w:t>
      </w:r>
      <w:r>
        <w:rPr>
          <w:rFonts w:ascii="Times New Roman" w:hAnsi="Times New Roman"/>
        </w:rPr>
        <w:t xml:space="preserve">Conformément aux dispositions du chapitre sur le commerce et le développement durable, les arbitres sélectionnés pour participer à des groupes spéciaux indépendants concernant les différends en matière de commerce et de développement durable auront des connaissances spécialisées ou une expertise en matière de droit du travail ou de droit de l’environnement, sur d’autres questions abordées dans le chapitre sur le commerce et le développement durable, ou en matière de règlement des différends découlant d’accords internationaux (</w:t>
      </w:r>
      <w:r>
        <w:rPr>
          <w:b/>
          <w:bCs/>
          <w:rFonts w:ascii="Times New Roman" w:hAnsi="Times New Roman"/>
        </w:rPr>
        <w:t xml:space="preserve">paragraphe 8</w:t>
      </w:r>
      <w:r>
        <w:rPr>
          <w:rFonts w:ascii="Times New Roman" w:hAnsi="Times New Roman"/>
        </w:rPr>
        <w:t xml:space="preserve">).</w:t>
      </w:r>
    </w:p>
    <w:p w14:paraId="2081BC58" w14:textId="08EA5381" w:rsidR="000D492D" w:rsidRDefault="000D492D" w:rsidP="001D16F0">
      <w:pPr>
        <w:widowControl w:val="0"/>
        <w:spacing w:after="120"/>
        <w:rPr>
          <w:szCs w:val="24"/>
          <w:rFonts w:ascii="Times New Roman" w:hAnsi="Times New Roman"/>
        </w:rPr>
      </w:pPr>
      <w:r>
        <w:rPr>
          <w:rFonts w:ascii="Times New Roman" w:hAnsi="Times New Roman"/>
        </w:rPr>
        <w:t xml:space="preserve">La Commission estime que l’approche coopérative de l’UE fondée sur le renforcement des capacités et le dialogue en matière de réglementation devrait rester le mot d’ordre pour la mise en œuvre et le contrôle de l’application en matière de commerce et de développement durable, étant donné qu’il s’agit du moyen le plus efficace d’obtenir des effets durables sur le terrain.</w:t>
      </w:r>
      <w:r>
        <w:rPr>
          <w:rFonts w:ascii="Times New Roman" w:hAnsi="Times New Roman"/>
        </w:rPr>
        <w:t xml:space="preserve"> </w:t>
      </w:r>
      <w:r>
        <w:rPr>
          <w:rFonts w:ascii="Times New Roman" w:hAnsi="Times New Roman"/>
        </w:rPr>
        <w:t xml:space="preserve">Néanmoins, la communication de la Commission reconnaît que des sanctions commerciales seraient appropriées pour favoriser le respect des obligations en cas de non-respect des obligations qui vont à l’encontre de l’objet et de la finalité de l’accord de Paris sur le changement climatique ou en cas de violation grave des principes et droits fondamentaux de l’Organisation internationale du travail (OIT) au travail.</w:t>
      </w:r>
      <w:r>
        <w:rPr>
          <w:rFonts w:ascii="Times New Roman" w:hAnsi="Times New Roman"/>
        </w:rPr>
        <w:t xml:space="preserve"> </w:t>
      </w:r>
      <w:r>
        <w:rPr>
          <w:rFonts w:ascii="Times New Roman" w:hAnsi="Times New Roman"/>
        </w:rPr>
        <w:t xml:space="preserve">Par conséquent, la Commission a proposé la possibilité de sanctions commerciales en tant que mesure de dernier recours pour ces violations graves des engagements fondamentaux en matière de commerce et de développement durable.</w:t>
      </w:r>
      <w:r>
        <w:rPr>
          <w:rFonts w:ascii="Times New Roman" w:hAnsi="Times New Roman"/>
        </w:rPr>
        <w:t xml:space="preserve"> </w:t>
      </w:r>
      <w:r>
        <w:rPr>
          <w:rFonts w:ascii="Times New Roman" w:hAnsi="Times New Roman"/>
        </w:rPr>
        <w:t xml:space="preserve">La Commission prend acte des attentes du Parlement concernant la 15</w:t>
      </w:r>
      <w:r>
        <w:rPr>
          <w:vertAlign w:val="superscript"/>
          <w:rFonts w:ascii="Times New Roman" w:hAnsi="Times New Roman"/>
        </w:rPr>
        <w:t xml:space="preserve">e</w:t>
      </w:r>
      <w:r>
        <w:rPr>
          <w:rFonts w:ascii="Times New Roman" w:hAnsi="Times New Roman"/>
        </w:rPr>
        <w:t xml:space="preserve"> conférence des parties à la convention sur la diversité biologique, qui se tiendra en décembre 2022 (</w:t>
      </w:r>
      <w:r>
        <w:rPr>
          <w:b/>
          <w:bCs/>
          <w:rFonts w:ascii="Times New Roman" w:hAnsi="Times New Roman"/>
        </w:rPr>
        <w:t xml:space="preserve">paragraphe 10</w:t>
      </w:r>
      <w:r>
        <w:rPr>
          <w:rFonts w:ascii="Times New Roman" w:hAnsi="Times New Roman"/>
        </w:rPr>
        <w:t xml:space="preserve">).</w:t>
      </w:r>
    </w:p>
    <w:p w14:paraId="2C235104" w14:textId="70BDB5CE" w:rsidR="000D492D" w:rsidRDefault="000D492D" w:rsidP="006D36F6">
      <w:pPr>
        <w:widowControl w:val="0"/>
        <w:spacing w:after="120"/>
        <w:rPr>
          <w:szCs w:val="24"/>
          <w:rFonts w:ascii="Times New Roman" w:hAnsi="Times New Roman"/>
        </w:rPr>
      </w:pPr>
      <w:r>
        <w:rPr>
          <w:rFonts w:ascii="Times New Roman" w:hAnsi="Times New Roman"/>
        </w:rPr>
        <w:t xml:space="preserve">L’approche exposée dans la communication de la Commission, fondée sur les résultats du réexamen du commerce et du développement durable, sera proposée pour toutes les négociations futures et est transposée, le cas échéant, dans les négociations en cours, d’une manière adaptée à chaque négociation.</w:t>
      </w:r>
      <w:r>
        <w:rPr>
          <w:rFonts w:ascii="Times New Roman" w:hAnsi="Times New Roman"/>
        </w:rPr>
        <w:t xml:space="preserve"> </w:t>
      </w:r>
      <w:r>
        <w:rPr>
          <w:rFonts w:ascii="Times New Roman" w:hAnsi="Times New Roman"/>
        </w:rPr>
        <w:t xml:space="preserve">En ce qui concerne les accords commerciaux déjà en vigueur, certains des points d’action recensés peuvent être immédiatement mis en œuvre indépendamment de la teneur des chapitres sur le commerce et le développement durable, notamment la plupart de ceux qui concernent la mise en œuvre des engagements en matière de commerce et de développement durable et le renforcement du rôle de la société civile.</w:t>
      </w:r>
      <w:r>
        <w:rPr>
          <w:rFonts w:ascii="Times New Roman" w:hAnsi="Times New Roman"/>
        </w:rPr>
        <w:t xml:space="preserve"> </w:t>
      </w:r>
      <w:r>
        <w:rPr>
          <w:rFonts w:ascii="Times New Roman" w:hAnsi="Times New Roman"/>
        </w:rPr>
        <w:t xml:space="preserve">La Commission examine avec nos partenaires l’application pratique et la mise en œuvre de l’approche exposée dans la communication sur le commerce et le développement durable à cet égard (</w:t>
      </w:r>
      <w:r>
        <w:rPr>
          <w:b/>
          <w:bCs/>
          <w:rFonts w:ascii="Times New Roman" w:hAnsi="Times New Roman"/>
        </w:rPr>
        <w:t xml:space="preserve">paragraphes 11 et 12</w:t>
      </w:r>
      <w:r>
        <w:rPr>
          <w:rFonts w:ascii="Times New Roman" w:hAnsi="Times New Roman"/>
        </w:rPr>
        <w:t xml:space="preserve">).</w:t>
      </w:r>
    </w:p>
    <w:p w14:paraId="61E7C025" w14:textId="564C1ED1" w:rsidR="000D492D" w:rsidRDefault="006D36F6" w:rsidP="006D36F6">
      <w:pPr>
        <w:widowControl w:val="0"/>
        <w:spacing w:after="120"/>
        <w:rPr>
          <w:szCs w:val="24"/>
          <w:rFonts w:ascii="Times New Roman" w:hAnsi="Times New Roman"/>
        </w:rPr>
      </w:pPr>
      <w:r>
        <w:rPr>
          <w:rFonts w:ascii="Times New Roman" w:hAnsi="Times New Roman"/>
        </w:rPr>
        <w:t xml:space="preserve">La Commission se félicite que le Parlement européen considère la communication sur le commerce et le développement durable comme une étape importante pour faire en sorte que les accords commerciaux répondent aux demandes de longue date du Parlement européen et aux attentes de la société civile et des citoyens.</w:t>
      </w:r>
      <w:r>
        <w:rPr>
          <w:rFonts w:ascii="Times New Roman" w:hAnsi="Times New Roman"/>
        </w:rPr>
        <w:t xml:space="preserve"> </w:t>
      </w:r>
      <w:r>
        <w:rPr>
          <w:rFonts w:ascii="Times New Roman" w:hAnsi="Times New Roman"/>
        </w:rPr>
        <w:t xml:space="preserve">Elle convient de l’importance de garantir que les accords commerciaux de l’UE puissent être négociés et conclus et restent attrayants pour les partenaires (</w:t>
      </w:r>
      <w:r>
        <w:rPr>
          <w:b/>
          <w:bCs/>
          <w:rFonts w:ascii="Times New Roman" w:hAnsi="Times New Roman"/>
        </w:rPr>
        <w:t xml:space="preserve">paragraphe 13</w:t>
      </w:r>
      <w:r>
        <w:rPr>
          <w:rFonts w:ascii="Times New Roman" w:hAnsi="Times New Roman"/>
        </w:rPr>
        <w:t xml:space="preserve">).</w:t>
      </w:r>
    </w:p>
    <w:p w14:paraId="12C34667" w14:textId="46CA44FC" w:rsidR="006D36F6" w:rsidRDefault="006D36F6" w:rsidP="006D36F6">
      <w:pPr>
        <w:widowControl w:val="0"/>
        <w:spacing w:after="120"/>
        <w:rPr>
          <w:szCs w:val="24"/>
          <w:rFonts w:ascii="Times New Roman" w:hAnsi="Times New Roman"/>
        </w:rPr>
      </w:pPr>
      <w:r>
        <w:rPr>
          <w:rFonts w:ascii="Times New Roman" w:hAnsi="Times New Roman"/>
        </w:rPr>
        <w:t xml:space="preserve">La Commission se félicite du rôle du Parlement européen en ce qui concerne les engagements en matière de commerce et de développement durable dans les accords commerciaux et confirme qu’elle est prête à soutenir ce rôle en tant que de besoin, y compris en faisant rapport au Parlement par l’intermédiaire de la commission INTA ou des groupes de suivi spécialisés, si besoin (</w:t>
      </w:r>
      <w:r>
        <w:rPr>
          <w:b/>
          <w:bCs/>
          <w:rFonts w:ascii="Times New Roman" w:hAnsi="Times New Roman"/>
        </w:rPr>
        <w:t xml:space="preserve">paragraphe 14</w:t>
      </w:r>
      <w:r>
        <w:rPr>
          <w:rFonts w:ascii="Times New Roman" w:hAnsi="Times New Roman"/>
        </w:rPr>
        <w:t xml:space="preserve">).</w:t>
      </w:r>
    </w:p>
    <w:p w14:paraId="687093AA" w14:textId="4887CC61" w:rsidR="006D36F6" w:rsidRDefault="006D36F6" w:rsidP="006D36F6">
      <w:pPr>
        <w:widowControl w:val="0"/>
        <w:spacing w:after="120"/>
        <w:rPr>
          <w:szCs w:val="24"/>
          <w:rFonts w:ascii="Times New Roman" w:hAnsi="Times New Roman"/>
        </w:rPr>
      </w:pPr>
      <w:r>
        <w:rPr>
          <w:rFonts w:ascii="Times New Roman" w:hAnsi="Times New Roman"/>
        </w:rPr>
        <w:t xml:space="preserve">La Commission approuve l’intégration d’une perspective de genre dans les accords commerciaux, ainsi que l’adoption de dispositions spécifiques en la matière, et veillera à ce que ces éléments soient dûment pris en compte tout au long du cycle de vie des accords commerciaux, de l’analyse d’impact à la mise en œuvre et au contrôle de l’application (</w:t>
      </w:r>
      <w:r>
        <w:rPr>
          <w:b/>
          <w:bCs/>
          <w:rFonts w:ascii="Times New Roman" w:hAnsi="Times New Roman"/>
        </w:rPr>
        <w:t xml:space="preserve">paragraphe 15</w:t>
      </w:r>
      <w:r>
        <w:rPr>
          <w:rFonts w:ascii="Times New Roman" w:hAnsi="Times New Roman"/>
        </w:rPr>
        <w:t xml:space="preserve">).</w:t>
      </w:r>
    </w:p>
    <w:p w14:paraId="41DDCE14" w14:textId="5A68D55B" w:rsidR="00161987" w:rsidRPr="00161987" w:rsidRDefault="00161987" w:rsidP="00BE6CAD">
      <w:pPr>
        <w:widowControl w:val="0"/>
        <w:spacing w:after="120"/>
        <w:rPr>
          <w:szCs w:val="24"/>
          <w:rFonts w:ascii="Times New Roman" w:hAnsi="Times New Roman"/>
        </w:rPr>
      </w:pPr>
      <w:r>
        <w:rPr>
          <w:rFonts w:ascii="Times New Roman" w:hAnsi="Times New Roman"/>
        </w:rPr>
        <w:t xml:space="preserve">Depuis la communication sur le réexamen de la politique commerciale de 2021, la Commission propose des chapitres sur les systèmes alimentaires durables dans toutes les nouvelles négociations commerciales.</w:t>
      </w:r>
      <w:r>
        <w:rPr>
          <w:rFonts w:ascii="Times New Roman" w:hAnsi="Times New Roman"/>
        </w:rPr>
        <w:t xml:space="preserve"> </w:t>
      </w:r>
      <w:r>
        <w:rPr>
          <w:rFonts w:ascii="Times New Roman" w:hAnsi="Times New Roman"/>
        </w:rPr>
        <w:t xml:space="preserve">L’accord avec la Nouvelle-Zélande a été le premier pour lequel des négociations ont été conclues (le 30 juin 2022) avec un chapitre sur les systèmes alimentaires durables convenu par les parties.</w:t>
      </w:r>
      <w:r>
        <w:rPr>
          <w:rFonts w:ascii="Times New Roman" w:hAnsi="Times New Roman"/>
        </w:rPr>
        <w:t xml:space="preserve"> </w:t>
      </w:r>
      <w:r>
        <w:rPr>
          <w:rFonts w:ascii="Times New Roman" w:hAnsi="Times New Roman"/>
        </w:rPr>
        <w:t xml:space="preserve">L’accord modernisé avec le Chili (conclu le 9 décembre 2022) comprend également un tel chapitre.</w:t>
      </w:r>
      <w:r>
        <w:rPr>
          <w:rFonts w:ascii="Times New Roman" w:hAnsi="Times New Roman"/>
        </w:rPr>
        <w:t xml:space="preserve"> </w:t>
      </w:r>
      <w:r>
        <w:rPr>
          <w:rFonts w:ascii="Times New Roman" w:hAnsi="Times New Roman"/>
        </w:rPr>
        <w:t xml:space="preserve">Les chapitres de ce type contiennent des engagements dans des domaines tels que le bien-être animal, les méthodes de production alimentaire visant à améliorer la durabilité, la réduction de l’utilisation de pesticides et engrais chimiques, la réduction de l’impact de la production alimentaire sur l’environnement et le climat, et la réduction des pertes et du gaspillage alimentaires.</w:t>
      </w:r>
      <w:r>
        <w:rPr>
          <w:rFonts w:ascii="Times New Roman" w:hAnsi="Times New Roman"/>
        </w:rPr>
        <w:t xml:space="preserve"> </w:t>
      </w:r>
      <w:r>
        <w:rPr>
          <w:rFonts w:ascii="Times New Roman" w:hAnsi="Times New Roman"/>
        </w:rPr>
        <w:t xml:space="preserve">Les parties s’engagent également à coopérer dans les enceintes multilatérales afin de favoriser la transition mondiale vers des systèmes alimentaires durables.</w:t>
      </w:r>
      <w:r>
        <w:rPr>
          <w:rFonts w:ascii="Times New Roman" w:hAnsi="Times New Roman"/>
        </w:rPr>
        <w:t xml:space="preserve"> </w:t>
      </w:r>
      <w:r>
        <w:rPr>
          <w:rFonts w:ascii="Times New Roman" w:hAnsi="Times New Roman"/>
        </w:rPr>
        <w:t xml:space="preserve">Ces engagements complètent les dispositions relatives au commerce et au développement durable et ils s’inspirent des mêmes règles que ces dispositions; il s’agit notamment de règles institutionnelles, de règles de mise en œuvre et de règles de contrôle de l’application (</w:t>
      </w:r>
      <w:r>
        <w:rPr>
          <w:b/>
          <w:bCs/>
          <w:rFonts w:ascii="Times New Roman" w:hAnsi="Times New Roman"/>
        </w:rPr>
        <w:t xml:space="preserve">paragraphe 16</w:t>
      </w:r>
      <w:r>
        <w:rPr>
          <w:rFonts w:ascii="Times New Roman" w:hAnsi="Times New Roman"/>
        </w:rPr>
        <w:t xml:space="preserve">).</w:t>
      </w:r>
    </w:p>
    <w:p w14:paraId="7537AFA0" w14:textId="574C79CB" w:rsidR="00161987" w:rsidRPr="00161987" w:rsidRDefault="00CA5A85" w:rsidP="00161987">
      <w:pPr>
        <w:widowControl w:val="0"/>
        <w:spacing w:after="120"/>
        <w:rPr>
          <w:szCs w:val="24"/>
          <w:rFonts w:ascii="Times New Roman" w:hAnsi="Times New Roman"/>
        </w:rPr>
      </w:pPr>
      <w:r>
        <w:rPr>
          <w:rFonts w:ascii="Times New Roman" w:hAnsi="Times New Roman"/>
        </w:rPr>
        <w:t xml:space="preserve">La Commission convient que l’UE devrait rester ambitieuse dans l’examen des instruments autonomes pour relever les défis mondiaux en matière de travail et d’environnement, et agit en conséquence, y compris au moyen de mesures compatibles avec l’Organisation mondiale du commerce dans des domaines tels que ceux mentionnés dans la résolution.</w:t>
      </w:r>
      <w:r>
        <w:rPr>
          <w:rFonts w:ascii="Times New Roman" w:hAnsi="Times New Roman"/>
        </w:rPr>
        <w:t xml:space="preserve"> </w:t>
      </w:r>
      <w:r>
        <w:rPr>
          <w:rFonts w:ascii="Times New Roman" w:hAnsi="Times New Roman"/>
        </w:rPr>
        <w:t xml:space="preserve">À cet égard, les chapitres des accords commerciaux de l’UE consacrés au commerce et au développement durable fournissent des plateformes bilatérales de coopération qui, associées à une assistance technique et financière, à des dialogues en matière de réglementation ainsi qu’à des mécanismes de mise en œuvre et de contrôle de l’application, devraient contribuer de manière significative à aider les partenaires de l’UE à respecter ou à adhérer à ces règles autonomes de manière à soutenir et faciliter encore plus une relation étroite au moyen du commerce.</w:t>
      </w:r>
      <w:r>
        <w:rPr>
          <w:rFonts w:ascii="Times New Roman" w:hAnsi="Times New Roman"/>
        </w:rPr>
        <w:t xml:space="preserve"> </w:t>
      </w:r>
      <w:r>
        <w:rPr>
          <w:rFonts w:ascii="Times New Roman" w:hAnsi="Times New Roman"/>
        </w:rPr>
        <w:t xml:space="preserve">Les chapitres de l’UE sur le commerce et le développement durable exigent également de ses partenaires commerciaux qu’ils déploient des efforts continus pour ratifier les conventions fondamentales de l’OIT et promeuvent la ratification d’autres conventions et protocoles de l’OIT, y compris ceux figurant dans la déclaration de principes tripartite sur les entreprises multinationales et la politique sociale (déclaration de l’OIT sur les entreprises multinationales), par un échange régulier d’informations avec eux (</w:t>
      </w:r>
      <w:r>
        <w:rPr>
          <w:b/>
          <w:bCs/>
          <w:rFonts w:ascii="Times New Roman" w:hAnsi="Times New Roman"/>
        </w:rPr>
        <w:t xml:space="preserve">paragraphe 17</w:t>
      </w:r>
      <w:r>
        <w:rPr>
          <w:rFonts w:ascii="Times New Roman" w:hAnsi="Times New Roman"/>
        </w:rPr>
        <w:t xml:space="preserve">).</w:t>
      </w:r>
    </w:p>
    <w:p w14:paraId="74598F93" w14:textId="6FE86F04" w:rsidR="00215B1F" w:rsidRDefault="00CA5A85" w:rsidP="00CA5A85">
      <w:pPr>
        <w:widowControl w:val="0"/>
        <w:spacing w:after="120"/>
        <w:rPr>
          <w:szCs w:val="24"/>
          <w:rFonts w:ascii="Times New Roman" w:hAnsi="Times New Roman"/>
        </w:rPr>
      </w:pPr>
      <w:r>
        <w:rPr>
          <w:rFonts w:ascii="Times New Roman" w:hAnsi="Times New Roman"/>
        </w:rPr>
        <w:t xml:space="preserve">L’UE participe activement aux processus multilatéraux visant à soutenir la transition mondiale vers une économie neutre pour le climat, inclusive et durable et les dirige souvent.</w:t>
      </w:r>
      <w:r>
        <w:rPr>
          <w:rFonts w:ascii="Times New Roman" w:hAnsi="Times New Roman"/>
        </w:rPr>
        <w:t xml:space="preserve"> </w:t>
      </w:r>
      <w:r>
        <w:rPr>
          <w:rFonts w:ascii="Times New Roman" w:hAnsi="Times New Roman"/>
        </w:rPr>
        <w:t xml:space="preserve">La Commission continuera de soutenir ces processus avec d’autres parties prenantes de l’UE.</w:t>
      </w:r>
      <w:r>
        <w:rPr>
          <w:rFonts w:ascii="Times New Roman" w:hAnsi="Times New Roman"/>
        </w:rPr>
        <w:t xml:space="preserve"> </w:t>
      </w:r>
      <w:r>
        <w:rPr>
          <w:rFonts w:ascii="Times New Roman" w:hAnsi="Times New Roman"/>
        </w:rPr>
        <w:t xml:space="preserve">Comme indiqué ci-dessus, les chapitres des accords commerciaux de l’UE consacrés au commerce et au développement durable créent des possibilités uniques d’établissement d’alliances avec des partenaires commerciaux, lesquelles peuvent ensuite se développer dans des enceintes multilatérales (</w:t>
      </w:r>
      <w:r>
        <w:rPr>
          <w:b/>
          <w:bCs/>
          <w:rFonts w:ascii="Times New Roman" w:hAnsi="Times New Roman"/>
        </w:rPr>
        <w:t xml:space="preserve">paragraphe 18</w:t>
      </w:r>
      <w:r>
        <w:rPr>
          <w:rFonts w:ascii="Times New Roman" w:hAnsi="Times New Roman"/>
        </w:rPr>
        <w:t xml:space="preserve">).</w:t>
      </w:r>
    </w:p>
    <w:sectPr w:rsidR="00215B1F" w:rsidSect="008022B3">
      <w:headerReference w:type="default" r:id="rId8"/>
      <w:footerReference w:type="even" r:id="rId9"/>
      <w:footerReference w:type="default" r:id="rId10"/>
      <w:footerReference w:type="first" r:id="rId11"/>
      <w:footnotePr>
        <w:pos w:val="beneathText"/>
        <w:numRestart w:val="eachSect"/>
      </w:footnotePr>
      <w:pgSz w:w="11906" w:h="16838" w:code="9"/>
      <w:pgMar w:top="1021" w:right="1416" w:bottom="1021" w:left="1588" w:header="601" w:footer="68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AFFF2" w16cex:dateUtc="2022-12-19T14:21:00Z"/>
  <w16cex:commentExtensible w16cex:durableId="274B05E1" w16cex:dateUtc="2022-12-19T14:46:00Z"/>
  <w16cex:commentExtensible w16cex:durableId="274B081E" w16cex:dateUtc="2022-12-19T14:56:00Z"/>
  <w16cex:commentExtensible w16cex:durableId="274B0855" w16cex:dateUtc="2022-12-19T14:57:00Z"/>
  <w16cex:commentExtensible w16cex:durableId="274B0872" w16cex:dateUtc="2022-12-19T14:57:00Z"/>
  <w16cex:commentExtensible w16cex:durableId="274B0A8D" w16cex:dateUtc="2022-12-19T15:06:00Z"/>
  <w16cex:commentExtensible w16cex:durableId="274AFB3C" w16cex:dateUtc="2022-12-19T14:01:00Z"/>
  <w16cex:commentExtensible w16cex:durableId="274C69B5" w16cex:dateUtc="2022-12-20T1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1B0E3B" w16cid:durableId="274AFFF2"/>
  <w16cid:commentId w16cid:paraId="7641B0A5" w16cid:durableId="274B05E1"/>
  <w16cid:commentId w16cid:paraId="36288A11" w16cid:durableId="274B081E"/>
  <w16cid:commentId w16cid:paraId="02044E9C" w16cid:durableId="274B0855"/>
  <w16cid:commentId w16cid:paraId="14F67544" w16cid:durableId="274B0872"/>
  <w16cid:commentId w16cid:paraId="3A83DE5F" w16cid:durableId="274B0A8D"/>
  <w16cid:commentId w16cid:paraId="230EF29A" w16cid:durableId="274AFB3C"/>
  <w16cid:commentId w16cid:paraId="04DCE97C" w16cid:durableId="274C69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5A675" w14:textId="77777777" w:rsidR="00252F26" w:rsidRDefault="00252F26" w:rsidP="00E5337B">
      <w:pPr>
        <w:spacing w:after="0"/>
      </w:pPr>
      <w:r>
        <w:separator/>
      </w:r>
    </w:p>
  </w:endnote>
  <w:endnote w:type="continuationSeparator" w:id="0">
    <w:p w14:paraId="7E49C0E6" w14:textId="77777777" w:rsidR="00252F26" w:rsidRDefault="00252F26" w:rsidP="00E533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A00002B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DF32B" w14:textId="77777777" w:rsidR="00CA5A85" w:rsidRDefault="00CA5A85" w:rsidP="000D49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 xml:space="preserve">35</w:t>
    </w:r>
    <w:r>
      <w:rPr>
        <w:rStyle w:val="PageNumber"/>
      </w:rPr>
      <w:fldChar w:fldCharType="end"/>
    </w:r>
  </w:p>
  <w:p w14:paraId="15D6A74B" w14:textId="77777777" w:rsidR="00CA5A85" w:rsidRDefault="00CA5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286FF" w14:textId="4F98D227" w:rsidR="00CA5A85" w:rsidRDefault="00CA5A85" w:rsidP="000D49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 xml:space="preserve">4</w:t>
    </w:r>
    <w:r>
      <w:rPr>
        <w:rStyle w:val="PageNumber"/>
      </w:rPr>
      <w:fldChar w:fldCharType="end"/>
    </w:r>
  </w:p>
  <w:p w14:paraId="2831CA2B" w14:textId="77777777" w:rsidR="00CA5A85" w:rsidRPr="008A6623" w:rsidRDefault="00CA5A85" w:rsidP="000D492D">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1B39B" w14:textId="14A16FB3" w:rsidR="00CA5A85" w:rsidRDefault="00CA5A85" w:rsidP="000D49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 xml:space="preserve">1</w:t>
    </w:r>
    <w:r>
      <w:rPr>
        <w:rStyle w:val="PageNumber"/>
      </w:rPr>
      <w:fldChar w:fldCharType="end"/>
    </w:r>
  </w:p>
  <w:p w14:paraId="3504239E" w14:textId="77777777" w:rsidR="00CA5A85" w:rsidRDefault="00CA5A85" w:rsidP="000D492D">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A8FCB" w14:textId="77777777" w:rsidR="00252F26" w:rsidRDefault="00252F26" w:rsidP="00E5337B">
      <w:pPr>
        <w:spacing w:after="0"/>
      </w:pPr>
      <w:r>
        <w:separator/>
      </w:r>
    </w:p>
  </w:footnote>
  <w:footnote w:type="continuationSeparator" w:id="0">
    <w:p w14:paraId="323FE584" w14:textId="77777777" w:rsidR="00252F26" w:rsidRDefault="00252F26" w:rsidP="00E5337B">
      <w:pPr>
        <w:spacing w:after="0"/>
      </w:pPr>
      <w:r>
        <w:continuationSeparator/>
      </w:r>
    </w:p>
  </w:footnote>
  <w:footnote w:id="1">
    <w:p w14:paraId="510263FA" w14:textId="07643720" w:rsidR="00DB24FD" w:rsidRPr="00DB24FD" w:rsidRDefault="00DB24FD" w:rsidP="006C008E">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hyperlink r:id="rId1" w:history="1">
        <w:r>
          <w:rPr>
            <w:rStyle w:val="Hyperlink"/>
            <w:rFonts w:ascii="Times New Roman" w:hAnsi="Times New Roman"/>
          </w:rPr>
          <w:t xml:space="preserve">https://ec.europa.eu/commission/presscorner/detail/en/ip_21_644</w:t>
        </w:r>
      </w:hyperlink>
    </w:p>
  </w:footnote>
  <w:footnote w:id="2">
    <w:p w14:paraId="6B945734" w14:textId="77777777" w:rsidR="00472E8D" w:rsidRPr="00001648" w:rsidRDefault="00472E8D" w:rsidP="00472E8D">
      <w:pPr>
        <w:pStyle w:val="FootnoteText"/>
        <w:spacing w:after="0"/>
        <w:rPr>
          <w:rFonts w:ascii="Times New Roman" w:hAnsi="Times New Roman"/>
        </w:rPr>
      </w:pPr>
      <w:r>
        <w:rPr>
          <w:rStyle w:val="FootnoteReference"/>
          <w:rFonts w:ascii="Times New Roman" w:hAnsi="Times New Roman"/>
        </w:rPr>
        <w:footnoteRef/>
      </w:r>
      <w:r>
        <w:tab/>
      </w:r>
      <w:hyperlink r:id="rId2" w:history="1">
        <w:r>
          <w:rPr>
            <w:rStyle w:val="Hyperlink"/>
            <w:rFonts w:ascii="Times New Roman" w:hAnsi="Times New Roman"/>
          </w:rPr>
          <w:t xml:space="preserve">https://ec.europa.eu/commission/presscorner/detail/en/ip_22_3921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EC270" w14:textId="77777777" w:rsidR="00CA5A85" w:rsidRDefault="00CA5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1" w15:restartNumberingAfterBreak="0">
    <w:nsid w:val="05537286"/>
    <w:multiLevelType w:val="hybridMultilevel"/>
    <w:tmpl w:val="EB2EFA04"/>
    <w:lvl w:ilvl="0" w:tplc="29923364">
      <w:start w:val="1"/>
      <w:numFmt w:val="decimal"/>
      <w:lvlText w:val="%1."/>
      <w:lvlJc w:val="left"/>
      <w:pPr>
        <w:ind w:left="720" w:hanging="720"/>
      </w:pPr>
      <w:rPr>
        <w:b/>
        <w:i w:val="0"/>
        <w:sz w:val="24"/>
        <w:szCs w:val="24"/>
      </w:rPr>
    </w:lvl>
    <w:lvl w:ilvl="1" w:tplc="08090019">
      <w:start w:val="1"/>
      <w:numFmt w:val="lowerLetter"/>
      <w:lvlText w:val="%2."/>
      <w:lvlJc w:val="left"/>
      <w:pPr>
        <w:ind w:left="1298" w:hanging="360"/>
      </w:pPr>
    </w:lvl>
    <w:lvl w:ilvl="2" w:tplc="0809001B">
      <w:start w:val="1"/>
      <w:numFmt w:val="lowerRoman"/>
      <w:lvlText w:val="%3."/>
      <w:lvlJc w:val="right"/>
      <w:pPr>
        <w:ind w:left="2018" w:hanging="180"/>
      </w:pPr>
    </w:lvl>
    <w:lvl w:ilvl="3" w:tplc="0809000F">
      <w:start w:val="1"/>
      <w:numFmt w:val="decimal"/>
      <w:lvlText w:val="%4."/>
      <w:lvlJc w:val="left"/>
      <w:pPr>
        <w:ind w:left="2738" w:hanging="360"/>
      </w:pPr>
    </w:lvl>
    <w:lvl w:ilvl="4" w:tplc="08090019">
      <w:start w:val="1"/>
      <w:numFmt w:val="lowerLetter"/>
      <w:lvlText w:val="%5."/>
      <w:lvlJc w:val="left"/>
      <w:pPr>
        <w:ind w:left="3458" w:hanging="360"/>
      </w:pPr>
    </w:lvl>
    <w:lvl w:ilvl="5" w:tplc="0809001B">
      <w:start w:val="1"/>
      <w:numFmt w:val="lowerRoman"/>
      <w:lvlText w:val="%6."/>
      <w:lvlJc w:val="right"/>
      <w:pPr>
        <w:ind w:left="4178" w:hanging="180"/>
      </w:pPr>
    </w:lvl>
    <w:lvl w:ilvl="6" w:tplc="0809000F">
      <w:start w:val="1"/>
      <w:numFmt w:val="decimal"/>
      <w:lvlText w:val="%7."/>
      <w:lvlJc w:val="left"/>
      <w:pPr>
        <w:ind w:left="4898" w:hanging="360"/>
      </w:pPr>
    </w:lvl>
    <w:lvl w:ilvl="7" w:tplc="08090019">
      <w:start w:val="1"/>
      <w:numFmt w:val="lowerLetter"/>
      <w:lvlText w:val="%8."/>
      <w:lvlJc w:val="left"/>
      <w:pPr>
        <w:ind w:left="5618" w:hanging="360"/>
      </w:pPr>
    </w:lvl>
    <w:lvl w:ilvl="8" w:tplc="0809001B">
      <w:start w:val="1"/>
      <w:numFmt w:val="lowerRoman"/>
      <w:lvlText w:val="%9."/>
      <w:lvlJc w:val="right"/>
      <w:pPr>
        <w:ind w:left="6338" w:hanging="180"/>
      </w:pPr>
    </w:lvl>
  </w:abstractNum>
  <w:abstractNum w:abstractNumId="2" w15:restartNumberingAfterBreak="0">
    <w:nsid w:val="0BE61FDC"/>
    <w:multiLevelType w:val="hybridMultilevel"/>
    <w:tmpl w:val="CF348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41829"/>
    <w:multiLevelType w:val="hybridMultilevel"/>
    <w:tmpl w:val="3956F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255B4B"/>
    <w:multiLevelType w:val="hybridMultilevel"/>
    <w:tmpl w:val="4A5862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24507A7"/>
    <w:multiLevelType w:val="hybridMultilevel"/>
    <w:tmpl w:val="8F4CF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70544"/>
    <w:multiLevelType w:val="hybridMultilevel"/>
    <w:tmpl w:val="7E449A58"/>
    <w:lvl w:ilvl="0" w:tplc="010A331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92973D2"/>
    <w:multiLevelType w:val="hybridMultilevel"/>
    <w:tmpl w:val="C66A48E8"/>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228042BC"/>
    <w:multiLevelType w:val="hybridMultilevel"/>
    <w:tmpl w:val="F1389AF8"/>
    <w:lvl w:ilvl="0" w:tplc="7F96FC64">
      <w:start w:val="1"/>
      <w:numFmt w:val="decimal"/>
      <w:lvlText w:val="%1."/>
      <w:lvlJc w:val="left"/>
      <w:pPr>
        <w:ind w:left="862" w:hanging="72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2B5315B"/>
    <w:multiLevelType w:val="hybridMultilevel"/>
    <w:tmpl w:val="7608AEE0"/>
    <w:lvl w:ilvl="0" w:tplc="41085656">
      <w:start w:val="1"/>
      <w:numFmt w:val="decimal"/>
      <w:lvlText w:val="%1."/>
      <w:lvlJc w:val="left"/>
      <w:pPr>
        <w:ind w:left="862" w:hanging="72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67B72B5"/>
    <w:multiLevelType w:val="hybridMultilevel"/>
    <w:tmpl w:val="296A4B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7203DF0"/>
    <w:multiLevelType w:val="hybridMultilevel"/>
    <w:tmpl w:val="7608AEE0"/>
    <w:lvl w:ilvl="0" w:tplc="41085656">
      <w:start w:val="1"/>
      <w:numFmt w:val="decimal"/>
      <w:lvlText w:val="%1."/>
      <w:lvlJc w:val="left"/>
      <w:pPr>
        <w:ind w:left="862" w:hanging="72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CEF0D18"/>
    <w:multiLevelType w:val="hybridMultilevel"/>
    <w:tmpl w:val="E6B40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BB36CD"/>
    <w:multiLevelType w:val="hybridMultilevel"/>
    <w:tmpl w:val="CC1615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3AA3E36"/>
    <w:multiLevelType w:val="hybridMultilevel"/>
    <w:tmpl w:val="186C6B1C"/>
    <w:lvl w:ilvl="0" w:tplc="41085656">
      <w:start w:val="1"/>
      <w:numFmt w:val="decimal"/>
      <w:lvlText w:val="%1."/>
      <w:lvlJc w:val="left"/>
      <w:pPr>
        <w:ind w:left="862" w:hanging="72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B49164A"/>
    <w:multiLevelType w:val="hybridMultilevel"/>
    <w:tmpl w:val="75D0359E"/>
    <w:lvl w:ilvl="0" w:tplc="3228B35C">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E14A0F"/>
    <w:multiLevelType w:val="hybridMultilevel"/>
    <w:tmpl w:val="E2E0550A"/>
    <w:lvl w:ilvl="0" w:tplc="C908CC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9F1483"/>
    <w:multiLevelType w:val="hybridMultilevel"/>
    <w:tmpl w:val="5606BF78"/>
    <w:lvl w:ilvl="0" w:tplc="41085656">
      <w:start w:val="1"/>
      <w:numFmt w:val="decimal"/>
      <w:lvlText w:val="%1."/>
      <w:lvlJc w:val="left"/>
      <w:pPr>
        <w:ind w:left="862" w:hanging="72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311267D"/>
    <w:multiLevelType w:val="hybridMultilevel"/>
    <w:tmpl w:val="97E49C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44424DA6"/>
    <w:multiLevelType w:val="hybridMultilevel"/>
    <w:tmpl w:val="7608AEE0"/>
    <w:lvl w:ilvl="0" w:tplc="41085656">
      <w:start w:val="1"/>
      <w:numFmt w:val="decimal"/>
      <w:lvlText w:val="%1."/>
      <w:lvlJc w:val="left"/>
      <w:pPr>
        <w:ind w:left="862" w:hanging="72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1" w15:restartNumberingAfterBreak="0">
    <w:nsid w:val="51852415"/>
    <w:multiLevelType w:val="hybridMultilevel"/>
    <w:tmpl w:val="CDAE29B0"/>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216537"/>
    <w:multiLevelType w:val="hybridMultilevel"/>
    <w:tmpl w:val="929CF750"/>
    <w:lvl w:ilvl="0" w:tplc="FDA6578A">
      <w:start w:val="1"/>
      <w:numFmt w:val="decimal"/>
      <w:lvlText w:val="%1."/>
      <w:lvlJc w:val="left"/>
      <w:pPr>
        <w:ind w:left="862" w:hanging="72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561228D"/>
    <w:multiLevelType w:val="hybridMultilevel"/>
    <w:tmpl w:val="C66A48E8"/>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5907331B"/>
    <w:multiLevelType w:val="hybridMultilevel"/>
    <w:tmpl w:val="A55A0EB4"/>
    <w:lvl w:ilvl="0" w:tplc="D7626F20">
      <w:start w:val="1"/>
      <w:numFmt w:val="decimal"/>
      <w:lvlText w:val="%1."/>
      <w:lvlJc w:val="left"/>
      <w:pPr>
        <w:ind w:left="862" w:hanging="72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C3073F9"/>
    <w:multiLevelType w:val="hybridMultilevel"/>
    <w:tmpl w:val="DA8A5DBE"/>
    <w:lvl w:ilvl="0" w:tplc="010A3310">
      <w:numFmt w:val="bullet"/>
      <w:lvlText w:val="-"/>
      <w:lvlJc w:val="left"/>
      <w:pPr>
        <w:ind w:left="928"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C6379BA"/>
    <w:multiLevelType w:val="hybridMultilevel"/>
    <w:tmpl w:val="6C3463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EAF265C"/>
    <w:multiLevelType w:val="hybridMultilevel"/>
    <w:tmpl w:val="CF64E904"/>
    <w:lvl w:ilvl="0" w:tplc="41085656">
      <w:start w:val="1"/>
      <w:numFmt w:val="decimal"/>
      <w:lvlText w:val="%1."/>
      <w:lvlJc w:val="left"/>
      <w:pPr>
        <w:ind w:left="862" w:hanging="72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2103B19"/>
    <w:multiLevelType w:val="hybridMultilevel"/>
    <w:tmpl w:val="EDDCB614"/>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9" w15:restartNumberingAfterBreak="0">
    <w:nsid w:val="6A63291B"/>
    <w:multiLevelType w:val="hybridMultilevel"/>
    <w:tmpl w:val="7608AEE0"/>
    <w:lvl w:ilvl="0" w:tplc="41085656">
      <w:start w:val="1"/>
      <w:numFmt w:val="decimal"/>
      <w:lvlText w:val="%1."/>
      <w:lvlJc w:val="left"/>
      <w:pPr>
        <w:ind w:left="862" w:hanging="72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C525E28"/>
    <w:multiLevelType w:val="hybridMultilevel"/>
    <w:tmpl w:val="690AF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E8353D9"/>
    <w:multiLevelType w:val="hybridMultilevel"/>
    <w:tmpl w:val="4FA4BD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9452E6E"/>
    <w:multiLevelType w:val="hybridMultilevel"/>
    <w:tmpl w:val="51720378"/>
    <w:lvl w:ilvl="0" w:tplc="F59E6F30">
      <w:start w:val="1"/>
      <w:numFmt w:val="decimal"/>
      <w:lvlText w:val="%1."/>
      <w:lvlJc w:val="left"/>
      <w:pPr>
        <w:ind w:left="862" w:hanging="72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9147F8"/>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34" w15:restartNumberingAfterBreak="0">
    <w:nsid w:val="7CF351B6"/>
    <w:multiLevelType w:val="hybridMultilevel"/>
    <w:tmpl w:val="AC4C60EA"/>
    <w:lvl w:ilvl="0" w:tplc="884C6A0E">
      <w:start w:val="1"/>
      <w:numFmt w:val="decimal"/>
      <w:lvlText w:val="%1."/>
      <w:lvlJc w:val="left"/>
      <w:pPr>
        <w:ind w:left="862" w:hanging="72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24"/>
  </w:num>
  <w:num w:numId="3">
    <w:abstractNumId w:val="22"/>
  </w:num>
  <w:num w:numId="4">
    <w:abstractNumId w:val="34"/>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0"/>
  </w:num>
  <w:num w:numId="8">
    <w:abstractNumId w:val="25"/>
  </w:num>
  <w:num w:numId="9">
    <w:abstractNumId w:val="7"/>
  </w:num>
  <w:num w:numId="10">
    <w:abstractNumId w:val="6"/>
  </w:num>
  <w:num w:numId="11">
    <w:abstractNumId w:val="32"/>
  </w:num>
  <w:num w:numId="12">
    <w:abstractNumId w:val="13"/>
  </w:num>
  <w:num w:numId="13">
    <w:abstractNumId w:val="10"/>
  </w:num>
  <w:num w:numId="14">
    <w:abstractNumId w:val="2"/>
  </w:num>
  <w:num w:numId="15">
    <w:abstractNumId w:val="3"/>
  </w:num>
  <w:num w:numId="16">
    <w:abstractNumId w:val="17"/>
  </w:num>
  <w:num w:numId="17">
    <w:abstractNumId w:val="14"/>
  </w:num>
  <w:num w:numId="18">
    <w:abstractNumId w:val="29"/>
  </w:num>
  <w:num w:numId="19">
    <w:abstractNumId w:val="11"/>
  </w:num>
  <w:num w:numId="20">
    <w:abstractNumId w:val="27"/>
  </w:num>
  <w:num w:numId="21">
    <w:abstractNumId w:val="19"/>
  </w:num>
  <w:num w:numId="22">
    <w:abstractNumId w:val="9"/>
  </w:num>
  <w:num w:numId="23">
    <w:abstractNumId w:val="26"/>
  </w:num>
  <w:num w:numId="24">
    <w:abstractNumId w:val="4"/>
  </w:num>
  <w:num w:numId="25">
    <w:abstractNumId w:val="1"/>
  </w:num>
  <w:num w:numId="26">
    <w:abstractNumId w:val="28"/>
  </w:num>
  <w:num w:numId="27">
    <w:abstractNumId w:val="30"/>
  </w:num>
  <w:num w:numId="28">
    <w:abstractNumId w:val="12"/>
  </w:num>
  <w:num w:numId="29">
    <w:abstractNumId w:val="15"/>
  </w:num>
  <w:num w:numId="30">
    <w:abstractNumId w:val="33"/>
  </w:num>
  <w:num w:numId="31">
    <w:abstractNumId w:val="23"/>
  </w:num>
  <w:num w:numId="32">
    <w:abstractNumId w:val="18"/>
  </w:num>
  <w:num w:numId="33">
    <w:abstractNumId w:val="5"/>
  </w:num>
  <w:num w:numId="34">
    <w:abstractNumId w:val="21"/>
  </w:num>
  <w:num w:numId="35">
    <w:abstractNumId w:val="20"/>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ES" w:vendorID="64" w:dllVersion="6" w:nlCheck="1" w:checkStyle="0"/>
  <w:activeWritingStyle w:appName="MSWord" w:lang="en-GB" w:vendorID="64" w:dllVersion="6" w:nlCheck="1" w:checkStyle="1"/>
  <w:activeWritingStyle w:appName="MSWord" w:lang="en-GB" w:vendorID="64" w:dllVersion="0" w:nlCheck="1" w:checkStyle="0"/>
  <w:activeWritingStyle w:appName="MSWord" w:lang="es-ES" w:vendorID="64" w:dllVersion="0" w:nlCheck="1" w:checkStyle="0"/>
  <w:activeWritingStyle w:appName="MSWord" w:lang="en-GB" w:vendorID="64" w:dllVersion="131078" w:nlCheck="1" w:checkStyle="1"/>
  <w:activeWritingStyle w:appName="MSWord" w:lang="es-ES" w:vendorID="64" w:dllVersion="131078" w:nlCheck="1" w:checkStyle="0"/>
  <w:defaultTabStop w:val="720"/>
  <w:hyphenationZone w:val="425"/>
  <w:characterSpacingControl w:val="doNotCompress"/>
  <w:hdrShapeDefaults>
    <o:shapedefaults v:ext="edit" spidmax="2050"/>
  </w:hdrShapeDefaults>
  <w:footnotePr>
    <w:pos w:val="beneathText"/>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81A72"/>
    <w:rsid w:val="00001648"/>
    <w:rsid w:val="00004657"/>
    <w:rsid w:val="00012925"/>
    <w:rsid w:val="00013C39"/>
    <w:rsid w:val="0002618B"/>
    <w:rsid w:val="00027079"/>
    <w:rsid w:val="000A5C63"/>
    <w:rsid w:val="000B1BD0"/>
    <w:rsid w:val="000D492D"/>
    <w:rsid w:val="000D4DF4"/>
    <w:rsid w:val="000E1ECC"/>
    <w:rsid w:val="000E7824"/>
    <w:rsid w:val="000F156A"/>
    <w:rsid w:val="001051A2"/>
    <w:rsid w:val="00105C85"/>
    <w:rsid w:val="00112492"/>
    <w:rsid w:val="00117544"/>
    <w:rsid w:val="001462A0"/>
    <w:rsid w:val="00151DDD"/>
    <w:rsid w:val="00161987"/>
    <w:rsid w:val="00167A06"/>
    <w:rsid w:val="00171167"/>
    <w:rsid w:val="00195D43"/>
    <w:rsid w:val="001B314B"/>
    <w:rsid w:val="001C268C"/>
    <w:rsid w:val="001D16F0"/>
    <w:rsid w:val="001D7866"/>
    <w:rsid w:val="001E7D21"/>
    <w:rsid w:val="001F4C08"/>
    <w:rsid w:val="002020CD"/>
    <w:rsid w:val="002073A0"/>
    <w:rsid w:val="00215AAB"/>
    <w:rsid w:val="00215B1F"/>
    <w:rsid w:val="00227AFE"/>
    <w:rsid w:val="0023402B"/>
    <w:rsid w:val="00234D47"/>
    <w:rsid w:val="002358C4"/>
    <w:rsid w:val="00242C66"/>
    <w:rsid w:val="00252F26"/>
    <w:rsid w:val="00267797"/>
    <w:rsid w:val="0027220A"/>
    <w:rsid w:val="00273ED5"/>
    <w:rsid w:val="002903BD"/>
    <w:rsid w:val="00295501"/>
    <w:rsid w:val="00296B73"/>
    <w:rsid w:val="002D1783"/>
    <w:rsid w:val="002D23F8"/>
    <w:rsid w:val="002E4148"/>
    <w:rsid w:val="002E68E9"/>
    <w:rsid w:val="002E6BED"/>
    <w:rsid w:val="002F1D09"/>
    <w:rsid w:val="002F298F"/>
    <w:rsid w:val="002F5E9D"/>
    <w:rsid w:val="00306EC9"/>
    <w:rsid w:val="003146CD"/>
    <w:rsid w:val="00325C83"/>
    <w:rsid w:val="003461C2"/>
    <w:rsid w:val="00346FB9"/>
    <w:rsid w:val="00351FD9"/>
    <w:rsid w:val="00377D9C"/>
    <w:rsid w:val="00392320"/>
    <w:rsid w:val="0039252C"/>
    <w:rsid w:val="003937D4"/>
    <w:rsid w:val="003B3F3D"/>
    <w:rsid w:val="003B6AAA"/>
    <w:rsid w:val="003C6E78"/>
    <w:rsid w:val="003D014B"/>
    <w:rsid w:val="003E2F3A"/>
    <w:rsid w:val="003E33A9"/>
    <w:rsid w:val="003E68E6"/>
    <w:rsid w:val="003F3F39"/>
    <w:rsid w:val="00404E13"/>
    <w:rsid w:val="00405DCF"/>
    <w:rsid w:val="004245C1"/>
    <w:rsid w:val="00425B7B"/>
    <w:rsid w:val="00431451"/>
    <w:rsid w:val="00443C8C"/>
    <w:rsid w:val="0045389C"/>
    <w:rsid w:val="00467201"/>
    <w:rsid w:val="00467C10"/>
    <w:rsid w:val="00472E8D"/>
    <w:rsid w:val="00495226"/>
    <w:rsid w:val="004B0F78"/>
    <w:rsid w:val="004C18A9"/>
    <w:rsid w:val="004C3BCB"/>
    <w:rsid w:val="004C475E"/>
    <w:rsid w:val="004D2C96"/>
    <w:rsid w:val="00506B10"/>
    <w:rsid w:val="00513141"/>
    <w:rsid w:val="00513E96"/>
    <w:rsid w:val="0051558E"/>
    <w:rsid w:val="00523D9C"/>
    <w:rsid w:val="00531B75"/>
    <w:rsid w:val="00545CF6"/>
    <w:rsid w:val="00562B92"/>
    <w:rsid w:val="00581821"/>
    <w:rsid w:val="00591F3F"/>
    <w:rsid w:val="005A15A0"/>
    <w:rsid w:val="005B6018"/>
    <w:rsid w:val="005B6F40"/>
    <w:rsid w:val="005C02B7"/>
    <w:rsid w:val="005D352F"/>
    <w:rsid w:val="005D48D2"/>
    <w:rsid w:val="005E6BB5"/>
    <w:rsid w:val="005F6F65"/>
    <w:rsid w:val="00604EB4"/>
    <w:rsid w:val="00612DEA"/>
    <w:rsid w:val="0061693B"/>
    <w:rsid w:val="0062336A"/>
    <w:rsid w:val="0062705E"/>
    <w:rsid w:val="0065049B"/>
    <w:rsid w:val="00651DE5"/>
    <w:rsid w:val="00662111"/>
    <w:rsid w:val="006642E5"/>
    <w:rsid w:val="00673C24"/>
    <w:rsid w:val="006762B5"/>
    <w:rsid w:val="00677485"/>
    <w:rsid w:val="00681A07"/>
    <w:rsid w:val="00684FB9"/>
    <w:rsid w:val="00686088"/>
    <w:rsid w:val="00693C4C"/>
    <w:rsid w:val="00694A12"/>
    <w:rsid w:val="006A194D"/>
    <w:rsid w:val="006A1AAA"/>
    <w:rsid w:val="006B0722"/>
    <w:rsid w:val="006B5CD4"/>
    <w:rsid w:val="006C008E"/>
    <w:rsid w:val="006C123C"/>
    <w:rsid w:val="006C779B"/>
    <w:rsid w:val="006D1DE3"/>
    <w:rsid w:val="006D2011"/>
    <w:rsid w:val="006D36F6"/>
    <w:rsid w:val="006E0B2E"/>
    <w:rsid w:val="006E35DD"/>
    <w:rsid w:val="006E531A"/>
    <w:rsid w:val="006E6742"/>
    <w:rsid w:val="006E68FA"/>
    <w:rsid w:val="006E7A53"/>
    <w:rsid w:val="00710BDE"/>
    <w:rsid w:val="00711B1C"/>
    <w:rsid w:val="00714FC4"/>
    <w:rsid w:val="007200D4"/>
    <w:rsid w:val="00723091"/>
    <w:rsid w:val="0072318A"/>
    <w:rsid w:val="00731ABA"/>
    <w:rsid w:val="007378D8"/>
    <w:rsid w:val="007552A6"/>
    <w:rsid w:val="0076016D"/>
    <w:rsid w:val="00773E4C"/>
    <w:rsid w:val="00775133"/>
    <w:rsid w:val="00775247"/>
    <w:rsid w:val="00781A72"/>
    <w:rsid w:val="007906E6"/>
    <w:rsid w:val="00795AF7"/>
    <w:rsid w:val="00795CEE"/>
    <w:rsid w:val="007A4F5B"/>
    <w:rsid w:val="007B4FE9"/>
    <w:rsid w:val="007B7941"/>
    <w:rsid w:val="007C0B43"/>
    <w:rsid w:val="007C5B49"/>
    <w:rsid w:val="007F5EF8"/>
    <w:rsid w:val="008022B3"/>
    <w:rsid w:val="00824CB8"/>
    <w:rsid w:val="00836884"/>
    <w:rsid w:val="008405AB"/>
    <w:rsid w:val="008511E0"/>
    <w:rsid w:val="00865B95"/>
    <w:rsid w:val="008722A2"/>
    <w:rsid w:val="00896317"/>
    <w:rsid w:val="008A411C"/>
    <w:rsid w:val="008C74DD"/>
    <w:rsid w:val="008D0021"/>
    <w:rsid w:val="008D68F3"/>
    <w:rsid w:val="008F3947"/>
    <w:rsid w:val="008F7ADC"/>
    <w:rsid w:val="00900924"/>
    <w:rsid w:val="00902931"/>
    <w:rsid w:val="0090330B"/>
    <w:rsid w:val="00904041"/>
    <w:rsid w:val="00914768"/>
    <w:rsid w:val="00917059"/>
    <w:rsid w:val="00925AE6"/>
    <w:rsid w:val="009278B6"/>
    <w:rsid w:val="00936432"/>
    <w:rsid w:val="00936E06"/>
    <w:rsid w:val="00961A39"/>
    <w:rsid w:val="00974F08"/>
    <w:rsid w:val="00982937"/>
    <w:rsid w:val="00984EC9"/>
    <w:rsid w:val="009A4F14"/>
    <w:rsid w:val="009C1DD1"/>
    <w:rsid w:val="009C604A"/>
    <w:rsid w:val="009E2C40"/>
    <w:rsid w:val="009E4648"/>
    <w:rsid w:val="009E7F21"/>
    <w:rsid w:val="009F7BE6"/>
    <w:rsid w:val="009F7F09"/>
    <w:rsid w:val="00A01117"/>
    <w:rsid w:val="00A02369"/>
    <w:rsid w:val="00A1588D"/>
    <w:rsid w:val="00A32EC0"/>
    <w:rsid w:val="00A4272F"/>
    <w:rsid w:val="00A45836"/>
    <w:rsid w:val="00A53FDE"/>
    <w:rsid w:val="00A62B81"/>
    <w:rsid w:val="00A654B3"/>
    <w:rsid w:val="00A75813"/>
    <w:rsid w:val="00A944BB"/>
    <w:rsid w:val="00A96147"/>
    <w:rsid w:val="00AA32F1"/>
    <w:rsid w:val="00AA6E88"/>
    <w:rsid w:val="00AB32EC"/>
    <w:rsid w:val="00AC1160"/>
    <w:rsid w:val="00AD5E99"/>
    <w:rsid w:val="00AE3DE2"/>
    <w:rsid w:val="00AE605C"/>
    <w:rsid w:val="00B47E77"/>
    <w:rsid w:val="00B50BAE"/>
    <w:rsid w:val="00BB0437"/>
    <w:rsid w:val="00BB1328"/>
    <w:rsid w:val="00BB7B4A"/>
    <w:rsid w:val="00BC0F81"/>
    <w:rsid w:val="00BE6CAD"/>
    <w:rsid w:val="00C177F3"/>
    <w:rsid w:val="00C25DA3"/>
    <w:rsid w:val="00C27095"/>
    <w:rsid w:val="00C33F9B"/>
    <w:rsid w:val="00C35640"/>
    <w:rsid w:val="00C35E7E"/>
    <w:rsid w:val="00C439F4"/>
    <w:rsid w:val="00C460CA"/>
    <w:rsid w:val="00C47A0C"/>
    <w:rsid w:val="00C533D4"/>
    <w:rsid w:val="00C55BB1"/>
    <w:rsid w:val="00C737D1"/>
    <w:rsid w:val="00C7687F"/>
    <w:rsid w:val="00CA5A85"/>
    <w:rsid w:val="00CB1B47"/>
    <w:rsid w:val="00CC127E"/>
    <w:rsid w:val="00CC2DC6"/>
    <w:rsid w:val="00CE3707"/>
    <w:rsid w:val="00CE5F71"/>
    <w:rsid w:val="00CF1EC0"/>
    <w:rsid w:val="00CF2EE0"/>
    <w:rsid w:val="00CF5817"/>
    <w:rsid w:val="00CF66A7"/>
    <w:rsid w:val="00D01DE0"/>
    <w:rsid w:val="00D24096"/>
    <w:rsid w:val="00D27F0D"/>
    <w:rsid w:val="00D61D4B"/>
    <w:rsid w:val="00D8112F"/>
    <w:rsid w:val="00D85A0D"/>
    <w:rsid w:val="00D94818"/>
    <w:rsid w:val="00DA2F06"/>
    <w:rsid w:val="00DB24FD"/>
    <w:rsid w:val="00DC07EC"/>
    <w:rsid w:val="00DD03A2"/>
    <w:rsid w:val="00DF12D8"/>
    <w:rsid w:val="00DF3B48"/>
    <w:rsid w:val="00E05DD0"/>
    <w:rsid w:val="00E07965"/>
    <w:rsid w:val="00E52176"/>
    <w:rsid w:val="00E5337B"/>
    <w:rsid w:val="00E86BBB"/>
    <w:rsid w:val="00E9116C"/>
    <w:rsid w:val="00E9447A"/>
    <w:rsid w:val="00EA06F8"/>
    <w:rsid w:val="00EA3A35"/>
    <w:rsid w:val="00EA51AA"/>
    <w:rsid w:val="00EB3388"/>
    <w:rsid w:val="00EB3C3C"/>
    <w:rsid w:val="00EB775C"/>
    <w:rsid w:val="00ED115E"/>
    <w:rsid w:val="00ED4DD7"/>
    <w:rsid w:val="00EE214F"/>
    <w:rsid w:val="00EE43AC"/>
    <w:rsid w:val="00F0041A"/>
    <w:rsid w:val="00F00A73"/>
    <w:rsid w:val="00F00B24"/>
    <w:rsid w:val="00F00BA5"/>
    <w:rsid w:val="00F02029"/>
    <w:rsid w:val="00F30777"/>
    <w:rsid w:val="00F312FD"/>
    <w:rsid w:val="00F36D6D"/>
    <w:rsid w:val="00F40D73"/>
    <w:rsid w:val="00F413A4"/>
    <w:rsid w:val="00F57C59"/>
    <w:rsid w:val="00F63BEA"/>
    <w:rsid w:val="00F6621C"/>
    <w:rsid w:val="00F83D5E"/>
    <w:rsid w:val="00F95F12"/>
    <w:rsid w:val="00FB0DCA"/>
    <w:rsid w:val="00FB7A5A"/>
    <w:rsid w:val="00FC33CC"/>
    <w:rsid w:val="00FC5C8B"/>
    <w:rsid w:val="00FD1E2C"/>
    <w:rsid w:val="00FE7D2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550AF"/>
  <w15:chartTrackingRefBased/>
  <w15:docId w15:val="{861FCE37-8570-4DDB-A501-44FE9AC9F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A72"/>
    <w:pPr>
      <w:spacing w:after="240" w:line="240" w:lineRule="auto"/>
      <w:jc w:val="both"/>
    </w:pPr>
    <w:rPr>
      <w:rFonts w:ascii="Courier New" w:eastAsia="Times New Roman" w:hAnsi="Courier New" w:cs="Times New Roman"/>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semiHidden/>
    <w:unhideWhenUsed/>
    <w:rsid w:val="00781A72"/>
    <w:pPr>
      <w:spacing w:after="0"/>
      <w:ind w:left="5103" w:right="-567"/>
      <w:jc w:val="left"/>
    </w:pPr>
  </w:style>
  <w:style w:type="character" w:customStyle="1" w:styleId="DateChar">
    <w:name w:val="Date Char"/>
    <w:basedOn w:val="DefaultParagraphFont"/>
    <w:link w:val="Date"/>
    <w:semiHidden/>
    <w:rsid w:val="00781A72"/>
    <w:rPr>
      <w:rFonts w:ascii="Courier New" w:eastAsia="Times New Roman" w:hAnsi="Courier New" w:cs="Times New Roman"/>
      <w:sz w:val="24"/>
      <w:szCs w:val="20"/>
      <w:lang w:eastAsia="en-GB"/>
    </w:rPr>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L,2"/>
    <w:basedOn w:val="Normal"/>
    <w:link w:val="ListParagraphChar"/>
    <w:qFormat/>
    <w:rsid w:val="00781A72"/>
    <w:pPr>
      <w:spacing w:after="200" w:line="276" w:lineRule="auto"/>
      <w:ind w:left="720"/>
      <w:contextualSpacing/>
      <w:jc w:val="left"/>
    </w:pPr>
    <w:rPr>
      <w:rFonts w:ascii="Calibri" w:eastAsia="Calibri" w:hAnsi="Calibri"/>
      <w:sz w:val="22"/>
      <w:szCs w:val="22"/>
      <w:lang w:eastAsia="en-US"/>
    </w:rPr>
  </w:style>
  <w:style w:type="paragraph" w:customStyle="1" w:styleId="Subject">
    <w:name w:val="Subject"/>
    <w:basedOn w:val="Normal"/>
    <w:next w:val="Normal"/>
    <w:rsid w:val="00781A72"/>
    <w:pPr>
      <w:spacing w:after="480"/>
      <w:ind w:left="1191" w:hanging="1191"/>
      <w:jc w:val="left"/>
    </w:pPr>
    <w:rPr>
      <w:b/>
    </w:rPr>
  </w:style>
  <w:style w:type="paragraph" w:customStyle="1" w:styleId="ZDGName">
    <w:name w:val="Z_DGName"/>
    <w:basedOn w:val="Normal"/>
    <w:uiPriority w:val="99"/>
    <w:rsid w:val="00781A72"/>
    <w:pPr>
      <w:spacing w:after="0"/>
      <w:ind w:right="85"/>
    </w:pPr>
    <w:rPr>
      <w:rFonts w:ascii="Arial" w:hAnsi="Arial"/>
      <w:sz w:val="16"/>
    </w:rPr>
  </w:style>
  <w:style w:type="paragraph" w:customStyle="1" w:styleId="ZCom">
    <w:name w:val="Z_Com"/>
    <w:basedOn w:val="Normal"/>
    <w:next w:val="ZDGName"/>
    <w:uiPriority w:val="99"/>
    <w:rsid w:val="00781A72"/>
    <w:pPr>
      <w:spacing w:after="0"/>
      <w:ind w:right="85"/>
    </w:pPr>
    <w:rPr>
      <w:rFonts w:ascii="Arial" w:hAnsi="Arial"/>
    </w:rPr>
  </w:style>
  <w:style w:type="paragraph" w:customStyle="1" w:styleId="ZFlag">
    <w:name w:val="Z_Flag"/>
    <w:basedOn w:val="Normal"/>
    <w:next w:val="Normal"/>
    <w:uiPriority w:val="99"/>
    <w:semiHidden/>
    <w:rsid w:val="00781A72"/>
    <w:pPr>
      <w:widowControl w:val="0"/>
      <w:spacing w:after="0"/>
      <w:ind w:right="85"/>
    </w:pPr>
    <w:rPr>
      <w:rFonts w:ascii="Times New Roman" w:hAnsi="Times New Roman"/>
      <w:lang w:eastAsia="fr-BE"/>
    </w:rPr>
  </w:style>
  <w:style w:type="table" w:customStyle="1" w:styleId="TableLetterhead">
    <w:name w:val="Table Letterhead"/>
    <w:basedOn w:val="TableNormal"/>
    <w:uiPriority w:val="99"/>
    <w:rsid w:val="00781A72"/>
    <w:pPr>
      <w:spacing w:after="0" w:line="240" w:lineRule="auto"/>
    </w:pPr>
    <w:rPr>
      <w:rFonts w:ascii="Times New Roman" w:eastAsia="Times New Roman" w:hAnsi="Times New Roman" w:cs="Times New Roman"/>
      <w:sz w:val="24"/>
      <w:szCs w:val="20"/>
      <w:lang w:eastAsia="fr-BE"/>
    </w:rPr>
    <w:tblPr>
      <w:tblInd w:w="0" w:type="nil"/>
      <w:tblCellMar>
        <w:left w:w="0" w:type="dxa"/>
        <w:bottom w:w="340" w:type="dxa"/>
        <w:right w:w="0" w:type="dxa"/>
      </w:tblCellMar>
    </w:tbl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2"/>
    <w:uiPriority w:val="99"/>
    <w:qFormat/>
    <w:rsid w:val="00E5337B"/>
    <w:pPr>
      <w:ind w:left="357" w:hanging="357"/>
    </w:pPr>
    <w:rPr>
      <w:sz w:val="20"/>
    </w:rPr>
  </w:style>
  <w:style w:type="character" w:customStyle="1" w:styleId="FootnoteTextChar">
    <w:name w:val="Footnote Text Char"/>
    <w:basedOn w:val="DefaultParagraphFont"/>
    <w:uiPriority w:val="99"/>
    <w:semiHidden/>
    <w:rsid w:val="00E5337B"/>
    <w:rPr>
      <w:rFonts w:ascii="Courier New" w:eastAsia="Times New Roman" w:hAnsi="Courier New" w:cs="Times New Roman"/>
      <w:sz w:val="20"/>
      <w:szCs w:val="20"/>
      <w:lang w:eastAsia="en-GB"/>
    </w:rPr>
  </w:style>
  <w:style w:type="paragraph" w:styleId="ListBullet">
    <w:name w:val="List Bullet"/>
    <w:basedOn w:val="Normal"/>
    <w:link w:val="ListBulletChar"/>
    <w:uiPriority w:val="99"/>
    <w:rsid w:val="00E5337B"/>
    <w:pPr>
      <w:numPr>
        <w:numId w:val="7"/>
      </w:numPr>
    </w:p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E5337B"/>
    <w:rPr>
      <w:vertAlign w:val="superscript"/>
    </w:rPr>
  </w:style>
  <w:style w:type="character" w:styleId="Hyperlink">
    <w:name w:val="Hyperlink"/>
    <w:aliases w:val="Char1"/>
    <w:rsid w:val="00E5337B"/>
    <w:rPr>
      <w:color w:val="0000FF"/>
      <w:u w:val="single"/>
    </w:rPr>
  </w:style>
  <w:style w:type="character" w:customStyle="1" w:styleId="ListBulletChar">
    <w:name w:val="List Bullet Char"/>
    <w:link w:val="ListBullet"/>
    <w:uiPriority w:val="99"/>
    <w:rsid w:val="00E5337B"/>
    <w:rPr>
      <w:rFonts w:ascii="Courier New" w:eastAsia="Times New Roman" w:hAnsi="Courier New" w:cs="Times New Roman"/>
      <w:sz w:val="24"/>
      <w:szCs w:val="20"/>
      <w:lang w:eastAsia="en-GB"/>
    </w:rPr>
  </w:style>
  <w:style w:type="character" w:customStyle="1" w:styleId="FootnoteTextChar2">
    <w:name w:val="Footnote Text Char2"/>
    <w:aliases w:val="Footnote Text Char1 Char Char,Footnote Text Char Char Char Char,Fußnotentext Char Char1 Char Char Char,Fußnotentext Char1 Char1 Char Char Char Char,Fußnotentext Char Char Char Char Char Char Char1 Char,Footnote Text Char1 Char1"/>
    <w:link w:val="FootnoteText"/>
    <w:rsid w:val="00E5337B"/>
    <w:rPr>
      <w:rFonts w:ascii="Courier New" w:eastAsia="Times New Roman" w:hAnsi="Courier New" w:cs="Times New Roman"/>
      <w:sz w:val="20"/>
      <w:szCs w:val="20"/>
      <w:lang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E5337B"/>
    <w:pPr>
      <w:spacing w:after="160" w:line="240" w:lineRule="exact"/>
      <w:jc w:val="left"/>
    </w:pPr>
    <w:rPr>
      <w:rFonts w:asciiTheme="minorHAnsi" w:eastAsiaTheme="minorHAnsi" w:hAnsiTheme="minorHAnsi" w:cstheme="minorBidi"/>
      <w:sz w:val="22"/>
      <w:szCs w:val="22"/>
      <w:vertAlign w:val="superscript"/>
      <w:lang w:eastAsia="en-US"/>
    </w:rPr>
  </w:style>
  <w:style w:type="paragraph" w:customStyle="1" w:styleId="ZnakZnak">
    <w:name w:val="Znak Znak"/>
    <w:basedOn w:val="Normal"/>
    <w:rsid w:val="00E5337B"/>
    <w:pPr>
      <w:spacing w:after="0" w:line="360" w:lineRule="auto"/>
    </w:pPr>
    <w:rPr>
      <w:rFonts w:ascii="Verdana" w:hAnsi="Verdana"/>
      <w:sz w:val="20"/>
      <w:lang w:eastAsia="pl-PL"/>
    </w:rPr>
  </w:style>
  <w:style w:type="paragraph" w:styleId="BalloonText">
    <w:name w:val="Balloon Text"/>
    <w:basedOn w:val="Normal"/>
    <w:link w:val="BalloonTextChar"/>
    <w:uiPriority w:val="99"/>
    <w:semiHidden/>
    <w:unhideWhenUsed/>
    <w:rsid w:val="00467C1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C10"/>
    <w:rPr>
      <w:rFonts w:ascii="Segoe UI" w:eastAsia="Times New Roman" w:hAnsi="Segoe UI" w:cs="Segoe UI"/>
      <w:sz w:val="18"/>
      <w:szCs w:val="18"/>
      <w:lang w:eastAsia="en-GB"/>
    </w:rPr>
  </w:style>
  <w:style w:type="character" w:customStyle="1" w:styleId="st">
    <w:name w:val="st"/>
    <w:basedOn w:val="DefaultParagraphFont"/>
    <w:rsid w:val="00EA06F8"/>
  </w:style>
  <w:style w:type="paragraph" w:styleId="NormalWeb">
    <w:name w:val="Normal (Web)"/>
    <w:aliases w:val=" webb,webb"/>
    <w:basedOn w:val="Normal"/>
    <w:link w:val="NormalWebChar"/>
    <w:uiPriority w:val="99"/>
    <w:rsid w:val="00392320"/>
    <w:pPr>
      <w:spacing w:before="100" w:beforeAutospacing="1" w:after="100" w:afterAutospacing="1"/>
      <w:jc w:val="left"/>
    </w:pPr>
    <w:rPr>
      <w:rFonts w:ascii="Times New Roman" w:hAnsi="Times New Roman"/>
      <w:szCs w:val="24"/>
    </w:rPr>
  </w:style>
  <w:style w:type="character" w:customStyle="1" w:styleId="NormalWebChar">
    <w:name w:val="Normal (Web) Char"/>
    <w:aliases w:val=" webb Char,webb Char"/>
    <w:link w:val="NormalWeb"/>
    <w:uiPriority w:val="99"/>
    <w:rsid w:val="00392320"/>
    <w:rPr>
      <w:rFonts w:ascii="Times New Roman" w:eastAsia="Times New Roman" w:hAnsi="Times New Roman" w:cs="Times New Roman"/>
      <w:sz w:val="24"/>
      <w:szCs w:val="24"/>
      <w:lang w:eastAsia="en-GB"/>
    </w:rPr>
  </w:style>
  <w:style w:type="paragraph" w:customStyle="1" w:styleId="Body">
    <w:name w:val="Body"/>
    <w:basedOn w:val="Normal"/>
    <w:link w:val="BodyChar"/>
    <w:qFormat/>
    <w:rsid w:val="00392320"/>
    <w:pPr>
      <w:spacing w:before="120" w:after="120"/>
    </w:pPr>
    <w:rPr>
      <w:rFonts w:ascii="EC Square Sans Pro" w:hAnsi="EC Square Sans Pro"/>
      <w:szCs w:val="24"/>
      <w:lang w:eastAsia="en-US"/>
    </w:rPr>
  </w:style>
  <w:style w:type="character" w:customStyle="1" w:styleId="BodyChar">
    <w:name w:val="Body Char"/>
    <w:link w:val="Body"/>
    <w:rsid w:val="00392320"/>
    <w:rPr>
      <w:rFonts w:ascii="EC Square Sans Pro" w:eastAsia="Times New Roman" w:hAnsi="EC Square Sans Pro" w:cs="Times New Roman"/>
      <w:sz w:val="24"/>
      <w:szCs w:val="24"/>
    </w:rPr>
  </w:style>
  <w:style w:type="paragraph" w:customStyle="1" w:styleId="Text1">
    <w:name w:val="Text 1"/>
    <w:basedOn w:val="Normal"/>
    <w:link w:val="Text1Char"/>
    <w:rsid w:val="00711B1C"/>
    <w:pPr>
      <w:ind w:left="482"/>
    </w:pPr>
  </w:style>
  <w:style w:type="character" w:customStyle="1" w:styleId="Text1Char">
    <w:name w:val="Text 1 Char"/>
    <w:link w:val="Text1"/>
    <w:rsid w:val="00711B1C"/>
    <w:rPr>
      <w:rFonts w:ascii="Courier New" w:eastAsia="Times New Roman" w:hAnsi="Courier New" w:cs="Times New Roman"/>
      <w:sz w:val="24"/>
      <w:szCs w:val="20"/>
      <w:lang w:eastAsia="en-GB"/>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link w:val="ListParagraph"/>
    <w:qFormat/>
    <w:locked/>
    <w:rsid w:val="00711B1C"/>
    <w:rPr>
      <w:rFonts w:ascii="Calibri" w:eastAsia="Calibri" w:hAnsi="Calibri" w:cs="Times New Roman"/>
      <w:lang w:val="fr-FR"/>
    </w:rPr>
  </w:style>
  <w:style w:type="character" w:styleId="Emphasis">
    <w:name w:val="Emphasis"/>
    <w:basedOn w:val="DefaultParagraphFont"/>
    <w:uiPriority w:val="20"/>
    <w:qFormat/>
    <w:rsid w:val="00273ED5"/>
    <w:rPr>
      <w:i/>
      <w:iCs/>
    </w:rPr>
  </w:style>
  <w:style w:type="paragraph" w:styleId="Header">
    <w:name w:val="header"/>
    <w:basedOn w:val="Normal"/>
    <w:link w:val="HeaderChar"/>
    <w:unhideWhenUsed/>
    <w:rsid w:val="00CF66A7"/>
    <w:pPr>
      <w:tabs>
        <w:tab w:val="center" w:pos="4680"/>
        <w:tab w:val="right" w:pos="9360"/>
      </w:tabs>
      <w:spacing w:after="0"/>
    </w:pPr>
  </w:style>
  <w:style w:type="character" w:customStyle="1" w:styleId="HeaderChar">
    <w:name w:val="Header Char"/>
    <w:basedOn w:val="DefaultParagraphFont"/>
    <w:link w:val="Header"/>
    <w:uiPriority w:val="99"/>
    <w:rsid w:val="00CF66A7"/>
    <w:rPr>
      <w:rFonts w:ascii="Courier New" w:eastAsia="Times New Roman" w:hAnsi="Courier New" w:cs="Times New Roman"/>
      <w:sz w:val="24"/>
      <w:szCs w:val="20"/>
      <w:lang w:eastAsia="en-GB"/>
    </w:rPr>
  </w:style>
  <w:style w:type="paragraph" w:styleId="Footer">
    <w:name w:val="footer"/>
    <w:basedOn w:val="Normal"/>
    <w:link w:val="FooterChar"/>
    <w:unhideWhenUsed/>
    <w:rsid w:val="00CF66A7"/>
    <w:pPr>
      <w:tabs>
        <w:tab w:val="center" w:pos="4680"/>
        <w:tab w:val="right" w:pos="9360"/>
      </w:tabs>
      <w:spacing w:after="0"/>
    </w:pPr>
  </w:style>
  <w:style w:type="character" w:customStyle="1" w:styleId="FooterChar">
    <w:name w:val="Footer Char"/>
    <w:basedOn w:val="DefaultParagraphFont"/>
    <w:link w:val="Footer"/>
    <w:rsid w:val="00CF66A7"/>
    <w:rPr>
      <w:rFonts w:ascii="Courier New" w:eastAsia="Times New Roman" w:hAnsi="Courier New" w:cs="Times New Roman"/>
      <w:sz w:val="24"/>
      <w:szCs w:val="20"/>
      <w:lang w:eastAsia="en-GB"/>
    </w:rPr>
  </w:style>
  <w:style w:type="character" w:styleId="PageNumber">
    <w:name w:val="page number"/>
    <w:basedOn w:val="DefaultParagraphFont"/>
    <w:rsid w:val="008022B3"/>
  </w:style>
  <w:style w:type="paragraph" w:customStyle="1" w:styleId="Default">
    <w:name w:val="Default"/>
    <w:rsid w:val="008022B3"/>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character" w:styleId="FollowedHyperlink">
    <w:name w:val="FollowedHyperlink"/>
    <w:basedOn w:val="DefaultParagraphFont"/>
    <w:uiPriority w:val="99"/>
    <w:semiHidden/>
    <w:unhideWhenUsed/>
    <w:rsid w:val="005D48D2"/>
    <w:rPr>
      <w:color w:val="800080" w:themeColor="followedHyperlink"/>
      <w:u w:val="single"/>
    </w:rPr>
  </w:style>
  <w:style w:type="character" w:styleId="CommentReference">
    <w:name w:val="annotation reference"/>
    <w:basedOn w:val="DefaultParagraphFont"/>
    <w:uiPriority w:val="99"/>
    <w:semiHidden/>
    <w:unhideWhenUsed/>
    <w:rsid w:val="00167A06"/>
    <w:rPr>
      <w:sz w:val="16"/>
      <w:szCs w:val="16"/>
    </w:rPr>
  </w:style>
  <w:style w:type="paragraph" w:styleId="CommentText">
    <w:name w:val="annotation text"/>
    <w:basedOn w:val="Normal"/>
    <w:link w:val="CommentTextChar"/>
    <w:uiPriority w:val="99"/>
    <w:semiHidden/>
    <w:unhideWhenUsed/>
    <w:rsid w:val="00167A06"/>
    <w:rPr>
      <w:sz w:val="20"/>
    </w:rPr>
  </w:style>
  <w:style w:type="character" w:customStyle="1" w:styleId="CommentTextChar">
    <w:name w:val="Comment Text Char"/>
    <w:basedOn w:val="DefaultParagraphFont"/>
    <w:link w:val="CommentText"/>
    <w:uiPriority w:val="99"/>
    <w:semiHidden/>
    <w:rsid w:val="00167A06"/>
    <w:rPr>
      <w:rFonts w:ascii="Courier New" w:eastAsia="Times New Roman" w:hAnsi="Courier New"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67A06"/>
    <w:rPr>
      <w:b/>
      <w:bCs/>
    </w:rPr>
  </w:style>
  <w:style w:type="character" w:customStyle="1" w:styleId="CommentSubjectChar">
    <w:name w:val="Comment Subject Char"/>
    <w:basedOn w:val="CommentTextChar"/>
    <w:link w:val="CommentSubject"/>
    <w:uiPriority w:val="99"/>
    <w:semiHidden/>
    <w:rsid w:val="00167A06"/>
    <w:rPr>
      <w:rFonts w:ascii="Courier New" w:eastAsia="Times New Roman" w:hAnsi="Courier New" w:cs="Times New Roman"/>
      <w:b/>
      <w:bCs/>
      <w:sz w:val="20"/>
      <w:szCs w:val="20"/>
      <w:lang w:eastAsia="en-GB"/>
    </w:rPr>
  </w:style>
  <w:style w:type="paragraph" w:styleId="Revision">
    <w:name w:val="Revision"/>
    <w:hidden/>
    <w:uiPriority w:val="99"/>
    <w:semiHidden/>
    <w:rsid w:val="00167A06"/>
    <w:pPr>
      <w:spacing w:after="0" w:line="240" w:lineRule="auto"/>
    </w:pPr>
    <w:rPr>
      <w:rFonts w:ascii="Courier New" w:eastAsia="Times New Roman" w:hAnsi="Courier New"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201296">
      <w:bodyDiv w:val="1"/>
      <w:marLeft w:val="0"/>
      <w:marRight w:val="0"/>
      <w:marTop w:val="0"/>
      <w:marBottom w:val="0"/>
      <w:divBdr>
        <w:top w:val="none" w:sz="0" w:space="0" w:color="auto"/>
        <w:left w:val="none" w:sz="0" w:space="0" w:color="auto"/>
        <w:bottom w:val="none" w:sz="0" w:space="0" w:color="auto"/>
        <w:right w:val="none" w:sz="0" w:space="0" w:color="auto"/>
      </w:divBdr>
    </w:div>
    <w:div w:id="209624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&#65279;<?xml version="1.0" encoding="UTF-8" standalone="yes"?>
<Relationships xmlns="http://schemas.openxmlformats.org/package/2006/relationships"><Relationship Id="rId2" Type="http://schemas.openxmlformats.org/officeDocument/2006/relationships/hyperlink" Target="https://ec.europa.eu/commission/presscorner/detail/fr/ip_22_3921" TargetMode="External"/><Relationship Id="rId1" Type="http://schemas.openxmlformats.org/officeDocument/2006/relationships/hyperlink" Target="https://ec.europa.eu/commission/presscorner/detail/fr/ip_21_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3C0317-4FB4-417F-83D6-9081936FC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1686</Words>
  <Characters>11739</Characters>
  <Application>Microsoft Office Word</Application>
  <DocSecurity>0</DocSecurity>
  <Lines>1304</Lines>
  <Paragraphs>894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maria-jose.almeida@ec.europa.eu;Raffaella.BIANCHIN@ec.europa.eu</dc:creator>
  <cp:keywords/>
  <dc:description/>
  <cp:lastModifiedBy>ALMEIDA Maria Jose (SG)</cp:lastModifiedBy>
  <cp:revision>2</cp:revision>
  <cp:lastPrinted>2022-11-24T15:29:00Z</cp:lastPrinted>
  <dcterms:created xsi:type="dcterms:W3CDTF">2023-01-03T15:31:00Z</dcterms:created>
  <dcterms:modified xsi:type="dcterms:W3CDTF">2023-01-03T15:31:00Z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2022-12-05T11:41:42Z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869d6b01-6781-4672-af44-af6178b12647</vt:lpwstr>
  </property>
  <property fmtid="{D5CDD505-2E9C-101B-9397-08002B2CF9AE}" pid="8" name="MSIP_Label_6bd9ddd1-4d20-43f6-abfa-fc3c07406f94_ContentBits">
    <vt:lpwstr>0</vt:lpwstr>
  </property>
</Properties>
</file>