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64B2D" w14:textId="77777777" w:rsidR="00C05BE0" w:rsidRPr="00C05BE0" w:rsidRDefault="00C05BE0" w:rsidP="00C05BE0">
      <w:pPr>
        <w:spacing w:after="600"/>
        <w:jc w:val="center"/>
        <w:rPr>
          <w:rFonts w:ascii="Times New Roman" w:hAnsi="Times New Roman"/>
          <w:b/>
          <w:bCs/>
          <w:szCs w:val="24"/>
        </w:rPr>
      </w:pPr>
      <w:bookmarkStart w:id="0" w:name="NGEU"/>
      <w:r>
        <w:rPr>
          <w:rFonts w:ascii="Times New Roman" w:hAnsi="Times New Roman"/>
          <w:b/>
        </w:rPr>
        <w:t>Suite donnée à la résolution non législative du Parlement européen du 22 novembre 2022 sur la mise en œuvre de la stratégie d’emprunt destinée à financer NextGenerationEU, l’instrument de l’Union pour la relance</w:t>
      </w:r>
    </w:p>
    <w:bookmarkEnd w:id="0"/>
    <w:p w14:paraId="171EE80C" w14:textId="77777777" w:rsidR="00C05BE0" w:rsidRPr="00C05BE0" w:rsidRDefault="00C05BE0" w:rsidP="00C05BE0">
      <w:pPr>
        <w:numPr>
          <w:ilvl w:val="0"/>
          <w:numId w:val="39"/>
        </w:numPr>
        <w:ind w:left="567" w:hanging="567"/>
        <w:rPr>
          <w:rFonts w:ascii="Times New Roman" w:hAnsi="Times New Roman"/>
          <w:i/>
          <w:szCs w:val="24"/>
        </w:rPr>
      </w:pPr>
      <w:r>
        <w:rPr>
          <w:rFonts w:ascii="Times New Roman" w:hAnsi="Times New Roman"/>
          <w:b/>
        </w:rPr>
        <w:t>Rapporteur:</w:t>
      </w:r>
      <w:r>
        <w:rPr>
          <w:rFonts w:ascii="Times New Roman" w:hAnsi="Times New Roman"/>
        </w:rPr>
        <w:t xml:space="preserve"> José Manuel FERNANDES (PPE/PT), Valérie HAYER (Renew/FR)</w:t>
      </w:r>
    </w:p>
    <w:p w14:paraId="17B8E104" w14:textId="77777777" w:rsidR="00C05BE0" w:rsidRPr="00C05BE0" w:rsidRDefault="00C05BE0" w:rsidP="00C05BE0">
      <w:pPr>
        <w:numPr>
          <w:ilvl w:val="0"/>
          <w:numId w:val="39"/>
        </w:numPr>
        <w:autoSpaceDE w:val="0"/>
        <w:autoSpaceDN w:val="0"/>
        <w:adjustRightInd w:val="0"/>
        <w:ind w:left="567" w:hanging="567"/>
        <w:rPr>
          <w:rFonts w:ascii="Times New Roman" w:hAnsi="Times New Roman"/>
          <w:i/>
          <w:szCs w:val="24"/>
        </w:rPr>
      </w:pPr>
      <w:r>
        <w:rPr>
          <w:rFonts w:ascii="Times New Roman" w:hAnsi="Times New Roman"/>
          <w:b/>
        </w:rPr>
        <w:t xml:space="preserve">Numéro de référence: </w:t>
      </w:r>
      <w:r>
        <w:rPr>
          <w:rFonts w:ascii="Times New Roman" w:hAnsi="Times New Roman"/>
          <w:color w:val="000000"/>
        </w:rPr>
        <w:t xml:space="preserve">2021/2076 (INI) / </w:t>
      </w:r>
      <w:r>
        <w:rPr>
          <w:rFonts w:ascii="Times New Roman" w:hAnsi="Times New Roman"/>
        </w:rPr>
        <w:t>A9-0250/2022 / P9_TA(2022)0400</w:t>
      </w:r>
    </w:p>
    <w:p w14:paraId="2A9D02F6" w14:textId="77777777" w:rsidR="00C05BE0" w:rsidRPr="00C05BE0" w:rsidRDefault="00C05BE0" w:rsidP="00C05BE0">
      <w:pPr>
        <w:numPr>
          <w:ilvl w:val="0"/>
          <w:numId w:val="39"/>
        </w:numPr>
        <w:ind w:left="567" w:hanging="567"/>
        <w:rPr>
          <w:rFonts w:ascii="Times New Roman" w:hAnsi="Times New Roman"/>
          <w:szCs w:val="24"/>
        </w:rPr>
      </w:pPr>
      <w:r>
        <w:rPr>
          <w:rFonts w:ascii="Times New Roman" w:hAnsi="Times New Roman"/>
          <w:b/>
        </w:rPr>
        <w:t>Date d'adoption de la résolution:</w:t>
      </w:r>
      <w:r>
        <w:rPr>
          <w:rFonts w:ascii="Times New Roman" w:hAnsi="Times New Roman"/>
        </w:rPr>
        <w:t xml:space="preserve"> 21 novembre 2022</w:t>
      </w:r>
    </w:p>
    <w:p w14:paraId="64876D28" w14:textId="77777777" w:rsidR="00C05BE0" w:rsidRPr="00C05BE0" w:rsidRDefault="00C05BE0" w:rsidP="00C05BE0">
      <w:pPr>
        <w:numPr>
          <w:ilvl w:val="0"/>
          <w:numId w:val="39"/>
        </w:numPr>
        <w:ind w:left="567" w:hanging="567"/>
        <w:rPr>
          <w:rFonts w:ascii="Times New Roman" w:hAnsi="Times New Roman"/>
          <w:szCs w:val="24"/>
        </w:rPr>
      </w:pPr>
      <w:r>
        <w:rPr>
          <w:rFonts w:ascii="Times New Roman" w:hAnsi="Times New Roman"/>
          <w:b/>
        </w:rPr>
        <w:t xml:space="preserve">Commission parlementaire compétente: </w:t>
      </w:r>
      <w:r>
        <w:rPr>
          <w:rFonts w:ascii="Times New Roman" w:hAnsi="Times New Roman"/>
        </w:rPr>
        <w:t>commission des budgets (BUDG)</w:t>
      </w:r>
    </w:p>
    <w:p w14:paraId="3A7396E9" w14:textId="77777777" w:rsidR="00C05BE0" w:rsidRPr="00C05BE0" w:rsidRDefault="00C05BE0" w:rsidP="00C05BE0">
      <w:pPr>
        <w:widowControl w:val="0"/>
        <w:numPr>
          <w:ilvl w:val="0"/>
          <w:numId w:val="39"/>
        </w:numPr>
        <w:ind w:left="567" w:hanging="567"/>
        <w:rPr>
          <w:rFonts w:ascii="Times New Roman" w:hAnsi="Times New Roman"/>
          <w:b/>
          <w:szCs w:val="24"/>
        </w:rPr>
      </w:pPr>
      <w:r>
        <w:rPr>
          <w:rFonts w:ascii="Times New Roman" w:hAnsi="Times New Roman"/>
          <w:b/>
        </w:rPr>
        <w:t xml:space="preserve">Analyse/évaluation succincte de la résolution et des demandes qu’elle contient: </w:t>
      </w:r>
    </w:p>
    <w:p w14:paraId="7F713A63" w14:textId="77777777" w:rsidR="00C05BE0" w:rsidRPr="00C05BE0" w:rsidRDefault="00C05BE0" w:rsidP="00C05BE0">
      <w:pPr>
        <w:widowControl w:val="0"/>
        <w:spacing w:after="120"/>
        <w:rPr>
          <w:rFonts w:ascii="Times New Roman" w:hAnsi="Times New Roman"/>
          <w:szCs w:val="24"/>
        </w:rPr>
      </w:pPr>
      <w:r>
        <w:rPr>
          <w:rFonts w:ascii="Times New Roman" w:hAnsi="Times New Roman"/>
        </w:rPr>
        <w:t>La résolution évalue la mise en œuvre de la stratégie d’emprunt pour financer NextGenerationEU. Elle constate que la Commission a rapidement et efficacement élaboré et mis en place de nouvelles capacités de gestion de la dette, que les émissions se sont déroulées à un rythme soutenu depuis la première émission en 2021 et qu’elles ont toutes été largement sursouscrites, que l’intérêt des investisseurs a été considérable, ce qui a permis à la Commission d’atteindre ses objectifs de financement, et que les produits de l’UE ont été négociés à des taux d’intérêt attrayants, à un niveau comparable à celui d’autres grands émetteurs européens et supranationaux.</w:t>
      </w:r>
    </w:p>
    <w:p w14:paraId="35D9EEB0" w14:textId="77777777" w:rsidR="00C05BE0" w:rsidRPr="00C05BE0" w:rsidRDefault="00C05BE0" w:rsidP="00C05BE0">
      <w:pPr>
        <w:widowControl w:val="0"/>
        <w:spacing w:after="120"/>
        <w:rPr>
          <w:rFonts w:ascii="Times New Roman" w:hAnsi="Times New Roman"/>
          <w:szCs w:val="24"/>
        </w:rPr>
      </w:pPr>
      <w:r>
        <w:rPr>
          <w:rFonts w:ascii="Times New Roman" w:hAnsi="Times New Roman"/>
        </w:rPr>
        <w:t>La résolution contient également plusieurs suggestions visant à renforcer encore les opérations d’emprunt et de prêt de la Commission. Il s’agit, par exemple, de travailler avec les acteurs du marché pour stimuler la liquidité du marché secondaire des obligations de l’Union, de se coordonner étroitement avec les bureaux supranationaux et nationaux de gestion de la dette afin d’éviter d’évincer la demande d’autres obligations souveraines européennes, d’associer le Parlement aux opérations d’emprunt et de prêt de l’Union et d’informer régulièrement le Parlement des coûts supportés par la dette de l’Union, des calendriers de remboursement et de l’incidence de l’évolution des taux d’intérêt sur le budget de l’Union, d’empêcher l’écoblanchiment en communiquant des informations de qualité sur l’utilisation des produits et d’exclure que des projets problématiques soient financés par des obligations vertes, et de proposer de nouvelles ressources propres supplémentaires pour générer des recettes suffisantes pour le remboursement de NextGenerationEU.</w:t>
      </w:r>
    </w:p>
    <w:p w14:paraId="04A6A032" w14:textId="77777777" w:rsidR="00C05BE0" w:rsidRPr="00C05BE0" w:rsidRDefault="00C05BE0" w:rsidP="00C05BE0">
      <w:pPr>
        <w:widowControl w:val="0"/>
        <w:spacing w:after="120"/>
        <w:rPr>
          <w:rFonts w:ascii="Times New Roman" w:hAnsi="Times New Roman"/>
          <w:szCs w:val="24"/>
        </w:rPr>
      </w:pPr>
      <w:r>
        <w:rPr>
          <w:rFonts w:ascii="Times New Roman" w:hAnsi="Times New Roman"/>
        </w:rPr>
        <w:t>La Commission partage l’avis du Parlement selon lequel, dans le contexte de crises multiples — d’abord la pandémie et désormais la guerre menée par la Russie contre l’Ukraine — il est plus important que jamais que l’Union ait les moyens de financer ses priorités, y compris au moyen d’emprunts au fur et à mesure de l’accord du colégislateur. La modification récemment adoptée du règlement financier permettra de financer tous les nouveaux programmes d’emprunt et de prêt de l’UE au moyen d’un programme de financement unifié. Cela permettra à la Commission de mettre en œuvre les infrastructures et techniques opérationnelles mises au point pour NextGenerationEU afin de financer efficacement et avec succès d’autres politiques de l’UE.</w:t>
      </w:r>
    </w:p>
    <w:p w14:paraId="075C51DE" w14:textId="77777777" w:rsidR="00C05BE0" w:rsidRPr="00C05BE0" w:rsidRDefault="00C05BE0" w:rsidP="00C05BE0">
      <w:pPr>
        <w:widowControl w:val="0"/>
        <w:spacing w:after="120"/>
        <w:rPr>
          <w:rFonts w:ascii="Times New Roman" w:hAnsi="Times New Roman"/>
          <w:szCs w:val="24"/>
        </w:rPr>
      </w:pPr>
      <w:r>
        <w:rPr>
          <w:rFonts w:ascii="Times New Roman" w:hAnsi="Times New Roman"/>
        </w:rPr>
        <w:t xml:space="preserve">L’UE est désormais reconnue comme un émetteur reconnu et digne de confiance; la priorité de la Commission pour les années à venir sera de s’appuyer sur cette réussite. La Commission continuera à collaborer avec le Parlement européen à chaque étape de ce dossier important, comme cela a été le cas ces dernières années. </w:t>
      </w:r>
    </w:p>
    <w:p w14:paraId="7BBD71DC" w14:textId="77777777" w:rsidR="00C05BE0" w:rsidRPr="00C05BE0" w:rsidRDefault="00C05BE0" w:rsidP="00E748C5">
      <w:pPr>
        <w:keepNext/>
        <w:keepLines/>
        <w:widowControl w:val="0"/>
        <w:numPr>
          <w:ilvl w:val="0"/>
          <w:numId w:val="39"/>
        </w:numPr>
        <w:ind w:left="567" w:hanging="567"/>
        <w:rPr>
          <w:rFonts w:ascii="Times New Roman" w:hAnsi="Times New Roman"/>
          <w:b/>
          <w:szCs w:val="24"/>
        </w:rPr>
      </w:pPr>
      <w:r>
        <w:rPr>
          <w:rFonts w:ascii="Times New Roman" w:hAnsi="Times New Roman"/>
          <w:b/>
        </w:rPr>
        <w:lastRenderedPageBreak/>
        <w:t xml:space="preserve">Réponse à ces demandes et aperçu des mesures que la Commission a prises ou envisage de prendre </w:t>
      </w:r>
    </w:p>
    <w:p w14:paraId="2DC5F850" w14:textId="77777777" w:rsidR="00C05BE0" w:rsidRPr="00C05BE0" w:rsidRDefault="00C05BE0" w:rsidP="00E748C5">
      <w:pPr>
        <w:keepNext/>
        <w:keepLines/>
        <w:widowControl w:val="0"/>
        <w:spacing w:after="120"/>
        <w:rPr>
          <w:rFonts w:ascii="Times New Roman" w:hAnsi="Times New Roman"/>
          <w:szCs w:val="24"/>
        </w:rPr>
      </w:pPr>
      <w:r>
        <w:rPr>
          <w:rFonts w:ascii="Times New Roman" w:hAnsi="Times New Roman"/>
        </w:rPr>
        <w:t>La Commission tient à remercier le Parlement européen pour cette résolution et prend bonne note de ses recommandations.</w:t>
      </w:r>
    </w:p>
    <w:p w14:paraId="1ED3E46A" w14:textId="77777777" w:rsidR="00C05BE0" w:rsidRPr="00C05BE0" w:rsidRDefault="00C05BE0" w:rsidP="00E748C5">
      <w:pPr>
        <w:keepNext/>
        <w:keepLines/>
        <w:widowControl w:val="0"/>
        <w:spacing w:after="120"/>
        <w:rPr>
          <w:rFonts w:ascii="Times New Roman" w:hAnsi="Times New Roman"/>
          <w:b/>
          <w:szCs w:val="24"/>
        </w:rPr>
      </w:pPr>
      <w:r>
        <w:rPr>
          <w:rFonts w:ascii="Times New Roman" w:hAnsi="Times New Roman"/>
          <w:b/>
        </w:rPr>
        <w:t>Paragraphes 1 à 8, 13, 16 et 20:</w:t>
      </w:r>
    </w:p>
    <w:p w14:paraId="41EE77B2" w14:textId="77777777" w:rsidR="00C05BE0" w:rsidRPr="00C05BE0" w:rsidRDefault="00C05BE0" w:rsidP="00E748C5">
      <w:pPr>
        <w:keepNext/>
        <w:keepLines/>
        <w:widowControl w:val="0"/>
        <w:spacing w:after="120"/>
        <w:rPr>
          <w:rFonts w:ascii="Times New Roman" w:hAnsi="Times New Roman"/>
          <w:szCs w:val="24"/>
        </w:rPr>
      </w:pPr>
      <w:r>
        <w:rPr>
          <w:rFonts w:ascii="Times New Roman" w:hAnsi="Times New Roman"/>
        </w:rPr>
        <w:t>La Commission apprécie l’évaluation positive du Parlement concernant les opérations de financement de NextGenerationEU à ce jour. Le financement de NextGenerationEU au moyen d’émissions conjointes de l’UE a nécessité une extension significative de l’architecture de gestion de la dette de la Commission. S’appuyant sur son e</w:t>
      </w:r>
      <w:bookmarkStart w:id="1" w:name="_GoBack"/>
      <w:bookmarkEnd w:id="1"/>
      <w:r>
        <w:rPr>
          <w:rFonts w:ascii="Times New Roman" w:hAnsi="Times New Roman"/>
        </w:rPr>
        <w:t>xpérience antérieure en tant qu’émetteur et avec le soutien technique des États membres, de la Banque centrale européenne (BCE), de la Banque européenne d’investissement (BEI) et du mécanisme européen de stabilité (MES), la Commission a mis en place un programme d’emprunt et de prêt sophistiqué, soutenu par une infrastructure fiable de paiement, de règlement et de comptabilité dans un laps de temps très court. Cette stratégie de financement diversifiée s’inscrit dans un cadre solide de gouvernance et d’atténuation des risques.</w:t>
      </w:r>
    </w:p>
    <w:p w14:paraId="7472C28D" w14:textId="77777777" w:rsidR="00C05BE0" w:rsidRPr="00C05BE0" w:rsidRDefault="00C05BE0" w:rsidP="00C05BE0">
      <w:pPr>
        <w:widowControl w:val="0"/>
        <w:spacing w:after="120"/>
        <w:rPr>
          <w:rFonts w:ascii="Times New Roman" w:hAnsi="Times New Roman"/>
          <w:szCs w:val="24"/>
        </w:rPr>
      </w:pPr>
      <w:r>
        <w:rPr>
          <w:rFonts w:ascii="Times New Roman" w:hAnsi="Times New Roman"/>
        </w:rPr>
        <w:t>La Commission partage l’avis du Parlement selon lequel le réseau des spécialistes en titres publics est un pilier essentiel de la stratégie de financement diversifiée. L’inscription au réseau des spécialistes en titres publics est ouverte de manière continue aux membres de réseaux européens souverains ou supranationaux de spécialistes en titres publics. Au 1</w:t>
      </w:r>
      <w:r>
        <w:rPr>
          <w:rFonts w:ascii="Times New Roman" w:hAnsi="Times New Roman"/>
          <w:vertAlign w:val="superscript"/>
        </w:rPr>
        <w:t>er</w:t>
      </w:r>
      <w:r>
        <w:rPr>
          <w:rFonts w:ascii="Times New Roman" w:hAnsi="Times New Roman"/>
        </w:rPr>
        <w:t xml:space="preserve"> janvier 2023, la Commission dénombrait 41 banques et entreprises d’investissement agissant en qualité de spécialistes en titres publics de l’UE, établies dans 12 États membres, présentant une diversité de modèles économiques – y compris tous les principaux acteurs du placement de dette souveraine et de dettes souveraines, supranationales et d’agences (SSA) – opérant dans le monde entier. Ce groupe diversifié de spécialistes en titres publics permet à l’UE d’accéder à une large base d’investisseurs et à de vastes capacités de distribution. La participation à des opérations syndiquées repose sur le respect de critères d’éligibilité bien établis (qui dépendent de la participation active des banques au réseau, à la fois sur la base de paramètres qualitatifs et quantitatifs) et sur l’évaluation des mérites des propositions des spécialistes en titres publics pour des opérations spécifiques sur la base de critères d’attribution spécifiques. La Commission cherche également à stimuler la concurrence au sein du groupe et à maximiser le nombre de banques qui peuvent rivaliser effectivement pour obtenir des mandats.</w:t>
      </w:r>
    </w:p>
    <w:p w14:paraId="719E81B9" w14:textId="77777777" w:rsidR="00C05BE0" w:rsidRPr="00C05BE0" w:rsidRDefault="00C05BE0" w:rsidP="00C05BE0">
      <w:pPr>
        <w:widowControl w:val="0"/>
        <w:spacing w:after="120"/>
        <w:rPr>
          <w:rFonts w:ascii="Times New Roman" w:hAnsi="Times New Roman"/>
          <w:szCs w:val="24"/>
        </w:rPr>
      </w:pPr>
      <w:r>
        <w:rPr>
          <w:rFonts w:ascii="Times New Roman" w:hAnsi="Times New Roman"/>
        </w:rPr>
        <w:t>Comme le souligne le Parlement, il importe d’assurer une coordination étroite avec les bureaux de gestion de la dette des États membres ainsi qu’avec la BCE, la BEI et le MES. La publication, par la Commission, de plans de financement mensuels à 6 mois, comprenant un calendrier d’émission, a été essentielle pour faciliter la coordination avec les bureaux de gestion de la dette des États membres et les autres émetteurs qui gèrent des programmes d’émission de grande ampleur. La Commission participe en outre aux réunions du sous-comité «marchés européens des dettes souveraines» (ESDM) du comité économique et financier, qui inscrit régulièrement la mise en œuvre des programmes d’emprunt et de prêt de l’UE à son ordre du jour.</w:t>
      </w:r>
    </w:p>
    <w:p w14:paraId="68E382A0" w14:textId="77777777" w:rsidR="00C05BE0" w:rsidRPr="00C05BE0" w:rsidRDefault="00C05BE0" w:rsidP="00C05BE0">
      <w:pPr>
        <w:widowControl w:val="0"/>
        <w:spacing w:after="120"/>
        <w:rPr>
          <w:rFonts w:ascii="Times New Roman" w:hAnsi="Times New Roman"/>
          <w:szCs w:val="24"/>
        </w:rPr>
      </w:pPr>
      <w:r>
        <w:rPr>
          <w:rFonts w:ascii="Times New Roman" w:hAnsi="Times New Roman"/>
        </w:rPr>
        <w:t xml:space="preserve">La transparence et la responsabilité sont les caractéristiques des opérations de financement de NextGenerationEU. La Commission fournit des mises à jour trimestrielles et des rapports semestriels sur le programme d’émission NextGenerationEU au Parlement et au Conseil. Ces rapports contiennent des informations détaillées sur tous les aspects des opérations d’emprunt NextGenerationEU, y compris les intérêts, la gestion des liquidités et les coûts administratifs liés à l’émission d’obligations et de titres de créance NextGenerationEU, les paiements du principal et des intérêts attendus sur l’encours de la dette de l’UE et leur incidence sur le budget de l’UE. À la suite de la récente modification du règlement financier, le champ d’application de ces rapports sera étendu à tous les financements </w:t>
      </w:r>
      <w:r>
        <w:rPr>
          <w:rFonts w:ascii="Times New Roman" w:hAnsi="Times New Roman"/>
        </w:rPr>
        <w:lastRenderedPageBreak/>
        <w:t>entrepris sur la base du programme de financement unifié.</w:t>
      </w:r>
    </w:p>
    <w:p w14:paraId="7B172E08" w14:textId="77777777" w:rsidR="00C05BE0" w:rsidRPr="00C05BE0" w:rsidRDefault="00C05BE0" w:rsidP="00C05BE0">
      <w:pPr>
        <w:widowControl w:val="0"/>
        <w:spacing w:after="120"/>
        <w:rPr>
          <w:rFonts w:ascii="Calibri" w:hAnsi="Calibri" w:cs="Calibri"/>
        </w:rPr>
      </w:pPr>
      <w:r>
        <w:rPr>
          <w:rFonts w:ascii="Times New Roman" w:hAnsi="Times New Roman"/>
        </w:rPr>
        <w:t>La Commission est consciente des conditions difficiles du marché et de la grande incertitude qui entoure les évolutions futures, et elle surveille constamment les conditions du marché. L’augmentation significative des coûts d’emprunt en 2022 se traduit par une augmentation des paiements de taux d’intérêt à verser en 2023 sur le budget de l’UE pour les dépenses non remboursables au titre de NextGenerationEU. Globalement, les coûts pour la période 2022-2023 n’ont pas été dépassés par rapport au montant prévu dans la programmation financière et ils n’ont pas eu d’incidence sur les programmes relevant de la rubrique 2b. L’incidence de nouvelles modifications des taux d’intérêt sur les montants nécessaires provenant du budget de l’UE continuera à faire l’objet d’un suivi attentif et le Parlement et le Conseil seront informés de l’évolution de ces besoins dans le cadre des réunions régulières de NextGenerationEU et dans le cadre de la préparation du budget annuel pour 2024.</w:t>
      </w:r>
    </w:p>
    <w:p w14:paraId="434DD70D" w14:textId="77777777" w:rsidR="00C05BE0" w:rsidRPr="00C05BE0" w:rsidRDefault="00C05BE0" w:rsidP="00C05BE0">
      <w:pPr>
        <w:widowControl w:val="0"/>
        <w:spacing w:after="120"/>
        <w:rPr>
          <w:rFonts w:ascii="Times New Roman" w:hAnsi="Times New Roman"/>
          <w:b/>
          <w:szCs w:val="24"/>
        </w:rPr>
      </w:pPr>
      <w:r>
        <w:rPr>
          <w:rFonts w:ascii="Times New Roman" w:hAnsi="Times New Roman"/>
          <w:b/>
        </w:rPr>
        <w:t>Paragraphes 9 à 18</w:t>
      </w:r>
    </w:p>
    <w:p w14:paraId="1C3FE82A" w14:textId="77777777" w:rsidR="00C05BE0" w:rsidRPr="00C05BE0" w:rsidRDefault="00C05BE0" w:rsidP="00C05BE0">
      <w:pPr>
        <w:widowControl w:val="0"/>
        <w:spacing w:after="120"/>
        <w:rPr>
          <w:rFonts w:ascii="Times New Roman" w:hAnsi="Times New Roman"/>
          <w:szCs w:val="24"/>
        </w:rPr>
      </w:pPr>
      <w:r>
        <w:rPr>
          <w:rFonts w:ascii="Times New Roman" w:hAnsi="Times New Roman"/>
        </w:rPr>
        <w:t>L’émission de nouveaux titres de créance NextGenerationEU doit avoir lieu entre la mi-2021 et 2026. Après 2026, toute émission de NextGenerationEU consistera uniquement à refinancer la part de la dette arrivant à échéance afin de lisser l’absorption budgétaire des passifs au fil du temps. Ces émissions seront donc d’une ampleur moindre que l’émission de nouveaux titres de créance au cours de la période 2021-2026. Tous les emprunts de NextGenerationEU seront intégralement remboursés d’ici à 2058 au plus tard.</w:t>
      </w:r>
    </w:p>
    <w:p w14:paraId="5ABA4FF3" w14:textId="77777777" w:rsidR="00C05BE0" w:rsidRPr="00C05BE0" w:rsidRDefault="00C05BE0" w:rsidP="00C05BE0">
      <w:pPr>
        <w:widowControl w:val="0"/>
        <w:spacing w:after="120"/>
        <w:rPr>
          <w:rFonts w:ascii="Times New Roman" w:hAnsi="Times New Roman"/>
          <w:szCs w:val="24"/>
        </w:rPr>
      </w:pPr>
      <w:r>
        <w:rPr>
          <w:rFonts w:ascii="Times New Roman" w:hAnsi="Times New Roman"/>
        </w:rPr>
        <w:t>D’autres programmes d’emprunt et de prêt, tels que l’assistance macrofinancière (AMF), continueront d’exister après 2027. Par conséquent, même après 2027, la Commission doit disposer d’une capacité de financement lui permettant de gérer de manière efficace et efficiente les passifs financiers associés à NextGenerationEU et d’émettre des prêts pour d’autres programmes d’emprunt et de prêt.</w:t>
      </w:r>
    </w:p>
    <w:p w14:paraId="3899FC10" w14:textId="77777777" w:rsidR="00C05BE0" w:rsidRPr="00C05BE0" w:rsidRDefault="00C05BE0" w:rsidP="00C05BE0">
      <w:pPr>
        <w:widowControl w:val="0"/>
        <w:spacing w:after="120"/>
        <w:rPr>
          <w:rFonts w:ascii="Times New Roman" w:hAnsi="Times New Roman"/>
          <w:szCs w:val="24"/>
        </w:rPr>
      </w:pPr>
      <w:r>
        <w:rPr>
          <w:rFonts w:ascii="Times New Roman" w:hAnsi="Times New Roman"/>
        </w:rPr>
        <w:t>La Commission partage l’avis du Parlement selon lequel il est important de disposer d’une large base d’investisseurs pour les obligations et les titres de créance de l’Union. Depuis le début des opérations de financement de NextGenerationEU, la Commission a élaboré une stratégie globale en matière de relations avec les investisseurs et a pris une série d’initiatives pour établir un lien avec sa base d’investisseurs, notamment des tournées de présentation, des bulletins d’information destinés aux investisseurs et une base de données sur les relations avec les investisseurs. Les investisseurs ont confirmé que la forte augmentation de la liquidité des obligations de l’UE depuis le lancement du programme NextGenerationEU, soutenue par la stratégie d’émission et la communication prévisibles et transparentes de l’UE au marché et sa stratégie consistant à recourir aux enchères pour augmenter l’encours des obligations, a considérablement renforcé l’attrait des obligations NextGenerationEU. Bien que ces évolutions représentent un résultat très positif en ce qui concerne la liquidité actuelle de la dette de l’UE, la Commission continue de suivre de près la liquidité et prendra des mesures pour surmonter les obstacles qui subsisteraient éventuellement.</w:t>
      </w:r>
    </w:p>
    <w:p w14:paraId="0667C30A" w14:textId="77777777" w:rsidR="00C05BE0" w:rsidRPr="00C05BE0" w:rsidRDefault="00C05BE0" w:rsidP="00C05BE0">
      <w:pPr>
        <w:widowControl w:val="0"/>
        <w:spacing w:after="120"/>
        <w:rPr>
          <w:rFonts w:ascii="Times New Roman" w:hAnsi="Times New Roman"/>
          <w:szCs w:val="24"/>
        </w:rPr>
      </w:pPr>
      <w:r>
        <w:rPr>
          <w:rFonts w:ascii="Times New Roman" w:hAnsi="Times New Roman"/>
        </w:rPr>
        <w:t>Une première étape importante a déjà été franchie avec la modification du règlement financier visant à mettre en place un programme de financement unifié en tant que méthode générale de financement de tous les programmes de l’UE financés par des emprunts. Cela permettra à l’UE de mettre en place la méthode et l’infrastructure de financement de NextGenerationEU, qui ont fait leurs preuves, pour d’autres programmes de l’UE tels que l’aide financière à l’Ukraine. À l’avenir, l’UE émettra des obligations de l’UE pour lesquelles l’utilisation du produit peut servir à financer différentes politiques plutôt que de gérer des programmes de financement distincts (SURE</w:t>
      </w:r>
      <w:r>
        <w:rPr>
          <w:rFonts w:ascii="Times New Roman" w:hAnsi="Times New Roman"/>
          <w:szCs w:val="24"/>
          <w:vertAlign w:val="superscript"/>
        </w:rPr>
        <w:footnoteReference w:id="1"/>
      </w:r>
      <w:r>
        <w:rPr>
          <w:rFonts w:ascii="Times New Roman" w:hAnsi="Times New Roman"/>
        </w:rPr>
        <w:t xml:space="preserve">, AMF, mécanisme européen de </w:t>
      </w:r>
      <w:r>
        <w:rPr>
          <w:rFonts w:ascii="Times New Roman" w:hAnsi="Times New Roman"/>
        </w:rPr>
        <w:lastRenderedPageBreak/>
        <w:t>stabilisation financière, NextGenerationEU) pour les différentes politiques. C’est important pour les investisseurs, car cela accroît la substituabilité des obligations de l’UE dans leurs portefeuilles et augmente la liquidité sur les marchés secondaires. La Commission s’appuiera sur cette dynamique en prenant de nouvelles mesures pour renforcer la liquidité de la dette de l’UE sur les marchés secondaires.</w:t>
      </w:r>
    </w:p>
    <w:p w14:paraId="55B20636" w14:textId="77777777" w:rsidR="00C05BE0" w:rsidRPr="00C05BE0" w:rsidRDefault="00C05BE0" w:rsidP="00C05BE0">
      <w:pPr>
        <w:widowControl w:val="0"/>
        <w:spacing w:after="120"/>
        <w:rPr>
          <w:rFonts w:ascii="Times New Roman" w:hAnsi="Times New Roman"/>
          <w:szCs w:val="24"/>
        </w:rPr>
      </w:pPr>
      <w:r>
        <w:rPr>
          <w:rFonts w:ascii="Times New Roman" w:hAnsi="Times New Roman"/>
        </w:rPr>
        <w:t>La Commission partage également l’avis du Parlement selon lequel il convient d’éviter l’écoblanchiment au moyen du cadre des obligations vertes. C’est la raison pour laquelle la Commission a mis en place une procédure rigoureuse de diligence raisonnable pour veiller à ce que seules les dépenses correspondant aux attentes les plus élevées du marché puissent bénéficier d’un financement au moyen d’obligations vertes, ainsi qu’un tableau de bord de pointe sur les obligations vertes NextGenerationEU, qui assure une transparence totale sur la manière dont les financements provenant des obligations vertes NextGenerationEU sont investis. En outre, la Commission a publié en décembre 2022 son premier rapport d’affectation des obligations vertes. Ce dernier rapport rend également compte de la manière dont les dépenses financées par les obligations vertes NextGenerationEU sont alignées sur les domaines d’intervention de la taxinomie de l’UE en matière d’atténuation du changement climatique et d’adaptation à celui-ci.</w:t>
      </w:r>
    </w:p>
    <w:p w14:paraId="29A52C92" w14:textId="77777777" w:rsidR="00C05BE0" w:rsidRPr="00C05BE0" w:rsidRDefault="00C05BE0" w:rsidP="00C05BE0">
      <w:pPr>
        <w:widowControl w:val="0"/>
        <w:spacing w:after="120"/>
        <w:rPr>
          <w:rFonts w:ascii="Times New Roman" w:hAnsi="Times New Roman"/>
          <w:szCs w:val="24"/>
        </w:rPr>
      </w:pPr>
      <w:r>
        <w:rPr>
          <w:rFonts w:ascii="Times New Roman" w:hAnsi="Times New Roman"/>
        </w:rPr>
        <w:t>La Commission s’appuie sur les autorités des États membres et leurs systèmes de contrôle pour la communication d’informations correctes sur les mesures qui bénéficient d’un financement au titre des obligations vertes NextGenerationEU. Toutefois, la Commission effectue à la fois des audits des systèmes de suivi et de contrôle des États membres et procède à des audits ex post fondés sur les risques sur la réalisation de valeurs intermédiaires ou de valeurs cibles spécifiques, y compris celles liées à des mesures ayant un objectif climatique. Dans les cas où un audit ou tout autre élément probant soulève des doutes quant à la conformité d’une mesure spécifique aux normes attendues des obligations vertes NextGenerationEU, la mesure est retirée du panier d’éligibilité des obligations vertes.</w:t>
      </w:r>
    </w:p>
    <w:p w14:paraId="40ABA68B" w14:textId="77777777" w:rsidR="00C05BE0" w:rsidRPr="00C05BE0" w:rsidRDefault="00C05BE0" w:rsidP="00C05BE0">
      <w:pPr>
        <w:widowControl w:val="0"/>
        <w:spacing w:after="120"/>
        <w:rPr>
          <w:rFonts w:ascii="Times New Roman" w:hAnsi="Times New Roman"/>
          <w:szCs w:val="24"/>
        </w:rPr>
      </w:pPr>
      <w:r>
        <w:rPr>
          <w:rFonts w:ascii="Times New Roman" w:hAnsi="Times New Roman"/>
        </w:rPr>
        <w:t>La Commission convient que NextGenerationEU montre les avantages d’une réponse ambitieuse, collective et démocratique à la crise au niveau de l’UE et qu’il est important d’associer les citoyens de l’UE à cette démarche. La Commission a lancé un site web complet pour informer le grand public de ses opérations de financement. Les citoyens de l’UE peuvent également acheter des obligations de l’UE, mais pas directement. Les obligations de l’UE sont émises sur les marchés internationaux des capitaux avec l’aide d’institutions financières spécialisées qui les placent auprès d’investisseurs institutionnels (fonds d’investissement, compagnies d’assurance, fonds de pension, etc.). Dans la pratique, cela signifie qu’une partie de ces obligations vendues dans l’UE sera achetée par des établissements financiers qui les placent dans des fonds d’investissement de détail. La Commission n’envisage pas l’offre publique de ses obligations sur le marché de détail, car cela nécessite le développement d’une capacité de distribution qualitativement différente et coûteuse.</w:t>
      </w:r>
    </w:p>
    <w:p w14:paraId="1421039B" w14:textId="77777777" w:rsidR="00C05BE0" w:rsidRPr="00C05BE0" w:rsidRDefault="00C05BE0" w:rsidP="00C05BE0">
      <w:pPr>
        <w:widowControl w:val="0"/>
        <w:spacing w:after="120"/>
        <w:rPr>
          <w:rFonts w:ascii="Times New Roman" w:hAnsi="Times New Roman"/>
          <w:b/>
          <w:szCs w:val="24"/>
        </w:rPr>
      </w:pPr>
      <w:r>
        <w:rPr>
          <w:rFonts w:ascii="Times New Roman" w:hAnsi="Times New Roman"/>
          <w:b/>
        </w:rPr>
        <w:t>Paragraphes 19 à 25</w:t>
      </w:r>
    </w:p>
    <w:p w14:paraId="5194145E" w14:textId="77777777" w:rsidR="00C05BE0" w:rsidRPr="00C05BE0" w:rsidRDefault="00C05BE0" w:rsidP="00C05BE0">
      <w:pPr>
        <w:widowControl w:val="0"/>
        <w:spacing w:after="120"/>
        <w:rPr>
          <w:rFonts w:ascii="Times New Roman" w:hAnsi="Times New Roman"/>
          <w:szCs w:val="24"/>
        </w:rPr>
      </w:pPr>
      <w:r>
        <w:rPr>
          <w:rFonts w:ascii="Times New Roman" w:hAnsi="Times New Roman"/>
        </w:rPr>
        <w:t>La Commission soutient le Parlement dans son souhait d’être pleinement associé aux programmes d’emprunt et de prêt de l’Union, conformément à ses prérogatives et aux exigences du traité. La Commission s’est engagée à rendre compte au Parlement de sa stratégie d’émission et de gestion de la dette, comme nous l’avons fait depuis le lancement du programme NextGenerationEU, conformément à l’accord interinstitutionnel</w:t>
      </w:r>
      <w:r>
        <w:rPr>
          <w:rFonts w:ascii="Times New Roman" w:hAnsi="Times New Roman"/>
          <w:szCs w:val="24"/>
          <w:vertAlign w:val="superscript"/>
          <w:lang w:val="en-US"/>
        </w:rPr>
        <w:footnoteReference w:id="2"/>
      </w:r>
      <w:r>
        <w:rPr>
          <w:rFonts w:ascii="Times New Roman" w:hAnsi="Times New Roman"/>
        </w:rPr>
        <w:t xml:space="preserve">. </w:t>
      </w:r>
      <w:r>
        <w:rPr>
          <w:rFonts w:ascii="Times New Roman" w:hAnsi="Times New Roman"/>
        </w:rPr>
        <w:lastRenderedPageBreak/>
        <w:t>L’intégration de la stratégie de financement diversifiée dans le champ d’application du règlement financier renforce encore le contrôle parlementaire. La stratégie de financement diversifiée est désormais intégrée dans un acte du Parlement européen et du Conseil. En outre, des exigences spécifiques en matière de rapports sur tous les aspects de la stratégie de la Commission en matière d’emprunt et de gestion de la dette ont été ajoutées dans ce contexte.</w:t>
      </w:r>
    </w:p>
    <w:p w14:paraId="38DE49CB" w14:textId="77777777" w:rsidR="00C05BE0" w:rsidRPr="00C05BE0" w:rsidRDefault="00C05BE0" w:rsidP="00C05BE0">
      <w:pPr>
        <w:widowControl w:val="0"/>
        <w:spacing w:after="120"/>
        <w:rPr>
          <w:rFonts w:ascii="Times New Roman" w:hAnsi="Times New Roman"/>
          <w:szCs w:val="24"/>
        </w:rPr>
      </w:pPr>
      <w:r>
        <w:rPr>
          <w:rFonts w:ascii="Times New Roman" w:hAnsi="Times New Roman"/>
        </w:rPr>
        <w:t xml:space="preserve">Le placement des crédits budgétaires pour les coûts de remboursement de l’instrument de l’Union européenne pour la relance au-delà des plafonds du cadre financier pluriannuel (CFP) nécessiterait une révision du règlement CFP conformément à la procédure législative spéciale prévue à l’article 312 du traité sur le fonctionnement de l’Union européenne (TFUE). La Commission présentera en 2023 un réexamen à mi-parcours du CFP 2021-2027, conformément à sa déclaration faite au moment de l’adoption du CFP. L’engagement d’un réexamen du CFP n’est pas un engagement à proposer une révision. </w:t>
      </w:r>
    </w:p>
    <w:p w14:paraId="7FC12208" w14:textId="6C53D7D5" w:rsidR="00601693" w:rsidRPr="00C05BE0" w:rsidRDefault="00C05BE0" w:rsidP="00C05BE0">
      <w:pPr>
        <w:widowControl w:val="0"/>
        <w:spacing w:after="120"/>
      </w:pPr>
      <w:r>
        <w:rPr>
          <w:rFonts w:ascii="Times New Roman" w:hAnsi="Times New Roman"/>
        </w:rPr>
        <w:t>La Commission partage l’avis du Parlement selon lequel un accord sur de nouvelles ressources propres est essentiel. À cet égard, la Commission se félicite des discussions sur les nouvelles ressources propres au sein du groupe de travail compétent du Conseil et de l’avancement des négociations sur les propositions sectorielles sous-jacentes. La Commission présentera un deuxième paquet de nouvelles ressources propres au cours du troisième trimestre de 2023, comme annoncé dans son programme de travail pour 2023. C’est un an avant ce qui est prévu dans l’accord interinstitutionnel et cela souligne notre engagement en faveur de la viabilité des finances publiques de l’UE. La deuxième série de nouvelles ressources propres complétera la première et vise à générer des recettes suffisantes pour le remboursement de la composante «subvention» des emprunts de NextGenerationEU, y compris l’augmentation des coûts de financement.</w:t>
      </w:r>
    </w:p>
    <w:sectPr w:rsidR="00601693" w:rsidRPr="00C05BE0" w:rsidSect="00812321">
      <w:footerReference w:type="even" r:id="rId12"/>
      <w:footerReference w:type="default" r:id="rId13"/>
      <w:footerReference w:type="first" r:id="rId14"/>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3D106" w14:textId="77777777" w:rsidR="00A861D1" w:rsidRDefault="00A861D1">
      <w:r>
        <w:separator/>
      </w:r>
    </w:p>
  </w:endnote>
  <w:endnote w:type="continuationSeparator" w:id="0">
    <w:p w14:paraId="19BCE4DB" w14:textId="77777777" w:rsidR="00A861D1" w:rsidRDefault="00A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libri"/>
    <w:panose1 w:val="00000000000000000000"/>
    <w:charset w:val="00"/>
    <w:family w:val="roman"/>
    <w:notTrueType/>
    <w:pitch w:val="default"/>
  </w:font>
  <w:font w:name="EC Square Sans Cond Pro">
    <w:panose1 w:val="020B0506040000020004"/>
    <w:charset w:val="00"/>
    <w:family w:val="swiss"/>
    <w:pitch w:val="variable"/>
    <w:sig w:usb0="A00002BF" w:usb1="500000DB" w:usb2="00000000"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8AFB5"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61E9633B"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3D493" w14:textId="70892006"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48C5">
      <w:rPr>
        <w:rStyle w:val="PageNumber"/>
        <w:noProof/>
      </w:rPr>
      <w:t>2</w:t>
    </w:r>
    <w:r>
      <w:rPr>
        <w:rStyle w:val="PageNumber"/>
      </w:rPr>
      <w:fldChar w:fldCharType="end"/>
    </w:r>
  </w:p>
  <w:p w14:paraId="1A4ECAA5"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2795F" w14:textId="4C9AF25A"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48C5">
      <w:rPr>
        <w:rStyle w:val="PageNumber"/>
        <w:noProof/>
      </w:rPr>
      <w:t>1</w:t>
    </w:r>
    <w:r>
      <w:rPr>
        <w:rStyle w:val="PageNumber"/>
      </w:rPr>
      <w:fldChar w:fldCharType="end"/>
    </w:r>
  </w:p>
  <w:p w14:paraId="4416EDD4"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E4A5E" w14:textId="77777777" w:rsidR="00A861D1" w:rsidRDefault="00A861D1">
      <w:r>
        <w:separator/>
      </w:r>
    </w:p>
  </w:footnote>
  <w:footnote w:type="continuationSeparator" w:id="0">
    <w:p w14:paraId="3E16B1F3" w14:textId="77777777" w:rsidR="00A861D1" w:rsidRDefault="00A861D1">
      <w:r>
        <w:continuationSeparator/>
      </w:r>
    </w:p>
  </w:footnote>
  <w:footnote w:id="1">
    <w:p w14:paraId="1D7A85B4" w14:textId="77777777" w:rsidR="00C05BE0" w:rsidRPr="00FF6531" w:rsidRDefault="00C05BE0" w:rsidP="00C05BE0">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Instrument européen de soutien temporaire à l’atténuation des risques de chômage en situation d’urgence (SURE).</w:t>
      </w:r>
    </w:p>
  </w:footnote>
  <w:footnote w:id="2">
    <w:p w14:paraId="0068128D" w14:textId="77777777" w:rsidR="00C05BE0" w:rsidRPr="00954D89" w:rsidRDefault="00C05BE0" w:rsidP="00C05BE0">
      <w:pPr>
        <w:pStyle w:val="FootnoteText"/>
        <w:spacing w:after="0"/>
      </w:pPr>
      <w:r>
        <w:rPr>
          <w:rStyle w:val="FootnoteReference"/>
        </w:rPr>
        <w:footnoteRef/>
      </w:r>
      <w:r>
        <w:tab/>
      </w:r>
      <w:r>
        <w:rPr>
          <w:rFonts w:ascii="Times New Roman" w:hAnsi="Times New Roman"/>
        </w:rPr>
        <w:t>Accord interinstitutionnel entre le Parlement européen, le Conseil de l’Union européenne et la Commission européenne sur la discipline budgétaire, la coopération en matière budgétaire et la bonne gestion financière, ainsi que sur de nouvelles ressources propres, comportant une feuille de route en vue de la mise en place de nouvelles ressources propres, Accord interinstitutionnel du 16 décembre 2020 (JO L 433I du 22.12.2020, p. 28).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7"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8"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1"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DD553E"/>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13" w15:restartNumberingAfterBreak="0">
    <w:nsid w:val="1E0E405D"/>
    <w:multiLevelType w:val="hybridMultilevel"/>
    <w:tmpl w:val="5BEA7DDA"/>
    <w:lvl w:ilvl="0" w:tplc="C98ECE3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6" w15:restartNumberingAfterBreak="0">
    <w:nsid w:val="347E038C"/>
    <w:multiLevelType w:val="hybridMultilevel"/>
    <w:tmpl w:val="06D43CCC"/>
    <w:lvl w:ilvl="0" w:tplc="ED846C16">
      <w:start w:val="1"/>
      <w:numFmt w:val="bullet"/>
      <w:pStyle w:val="LTTBody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9"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596461"/>
    <w:multiLevelType w:val="hybridMultilevel"/>
    <w:tmpl w:val="CF2EC7AE"/>
    <w:lvl w:ilvl="0" w:tplc="0B04D96A">
      <w:start w:val="1"/>
      <w:numFmt w:val="decimal"/>
      <w:lvlText w:val="%1."/>
      <w:lvlJc w:val="left"/>
      <w:pPr>
        <w:ind w:left="1429" w:hanging="360"/>
      </w:pPr>
      <w:rPr>
        <w:b/>
        <w:i w:val="0"/>
        <w:lang w:val="en-GB"/>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3"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8"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51569A"/>
    <w:multiLevelType w:val="hybridMultilevel"/>
    <w:tmpl w:val="D1C62F12"/>
    <w:lvl w:ilvl="0" w:tplc="35380DD4">
      <w:numFmt w:val="bullet"/>
      <w:lvlText w:val="•"/>
      <w:lvlJc w:val="left"/>
      <w:pPr>
        <w:ind w:left="1080" w:hanging="72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0"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4"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7"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8"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abstractNumId w:val="7"/>
  </w:num>
  <w:num w:numId="2">
    <w:abstractNumId w:val="1"/>
  </w:num>
  <w:num w:numId="3">
    <w:abstractNumId w:val="37"/>
  </w:num>
  <w:num w:numId="4">
    <w:abstractNumId w:val="15"/>
  </w:num>
  <w:num w:numId="5">
    <w:abstractNumId w:val="33"/>
  </w:num>
  <w:num w:numId="6">
    <w:abstractNumId w:val="10"/>
  </w:num>
  <w:num w:numId="7">
    <w:abstractNumId w:val="6"/>
  </w:num>
  <w:num w:numId="8">
    <w:abstractNumId w:val="18"/>
  </w:num>
  <w:num w:numId="9">
    <w:abstractNumId w:val="36"/>
  </w:num>
  <w:num w:numId="10">
    <w:abstractNumId w:val="27"/>
  </w:num>
  <w:num w:numId="11">
    <w:abstractNumId w:val="30"/>
  </w:num>
  <w:num w:numId="12">
    <w:abstractNumId w:val="14"/>
  </w:num>
  <w:num w:numId="13">
    <w:abstractNumId w:val="19"/>
  </w:num>
  <w:num w:numId="14">
    <w:abstractNumId w:val="34"/>
  </w:num>
  <w:num w:numId="15">
    <w:abstractNumId w:val="17"/>
  </w:num>
  <w:num w:numId="16">
    <w:abstractNumId w:val="40"/>
  </w:num>
  <w:num w:numId="17">
    <w:abstractNumId w:val="35"/>
  </w:num>
  <w:num w:numId="18">
    <w:abstractNumId w:val="25"/>
  </w:num>
  <w:num w:numId="19">
    <w:abstractNumId w:val="26"/>
  </w:num>
  <w:num w:numId="20">
    <w:abstractNumId w:val="32"/>
  </w:num>
  <w:num w:numId="21">
    <w:abstractNumId w:val="3"/>
  </w:num>
  <w:num w:numId="22">
    <w:abstractNumId w:val="4"/>
  </w:num>
  <w:num w:numId="23">
    <w:abstractNumId w:val="5"/>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28"/>
  </w:num>
  <w:num w:numId="27">
    <w:abstractNumId w:val="20"/>
  </w:num>
  <w:num w:numId="28">
    <w:abstractNumId w:val="39"/>
  </w:num>
  <w:num w:numId="29">
    <w:abstractNumId w:val="2"/>
  </w:num>
  <w:num w:numId="30">
    <w:abstractNumId w:val="24"/>
  </w:num>
  <w:num w:numId="31">
    <w:abstractNumId w:val="23"/>
  </w:num>
  <w:num w:numId="32">
    <w:abstractNumId w:val="9"/>
  </w:num>
  <w:num w:numId="33">
    <w:abstractNumId w:val="11"/>
  </w:num>
  <w:num w:numId="34">
    <w:abstractNumId w:val="22"/>
  </w:num>
  <w:num w:numId="35">
    <w:abstractNumId w:val="21"/>
  </w:num>
  <w:num w:numId="36">
    <w:abstractNumId w:val="16"/>
  </w:num>
  <w:num w:numId="37">
    <w:abstractNumId w:val="13"/>
  </w:num>
  <w:num w:numId="38">
    <w:abstractNumId w:val="29"/>
  </w:num>
  <w:num w:numId="39">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58369"/>
  </w:hdrShapeDefaults>
  <w:footnotePr>
    <w:pos w:val="beneathText"/>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A5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ECC"/>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792"/>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46E"/>
    <w:rsid w:val="000414BC"/>
    <w:rsid w:val="0004189C"/>
    <w:rsid w:val="0004193F"/>
    <w:rsid w:val="0004195A"/>
    <w:rsid w:val="00041A87"/>
    <w:rsid w:val="00041C4F"/>
    <w:rsid w:val="00041F1F"/>
    <w:rsid w:val="0004209B"/>
    <w:rsid w:val="000420DB"/>
    <w:rsid w:val="000421A1"/>
    <w:rsid w:val="000423C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B59"/>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3766"/>
    <w:rsid w:val="00053BE0"/>
    <w:rsid w:val="00053CB9"/>
    <w:rsid w:val="00053FAD"/>
    <w:rsid w:val="000541A5"/>
    <w:rsid w:val="0005422C"/>
    <w:rsid w:val="0005475B"/>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745"/>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3DCE"/>
    <w:rsid w:val="00063F33"/>
    <w:rsid w:val="00064178"/>
    <w:rsid w:val="0006443B"/>
    <w:rsid w:val="000647C3"/>
    <w:rsid w:val="00064C35"/>
    <w:rsid w:val="00064D3D"/>
    <w:rsid w:val="00064F90"/>
    <w:rsid w:val="00065096"/>
    <w:rsid w:val="0006524C"/>
    <w:rsid w:val="00065445"/>
    <w:rsid w:val="0006550C"/>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0A"/>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4044"/>
    <w:rsid w:val="00084211"/>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C9B"/>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6D6D"/>
    <w:rsid w:val="000B70BC"/>
    <w:rsid w:val="000B739A"/>
    <w:rsid w:val="000B73B7"/>
    <w:rsid w:val="000B7631"/>
    <w:rsid w:val="000B776B"/>
    <w:rsid w:val="000B7910"/>
    <w:rsid w:val="000B7A33"/>
    <w:rsid w:val="000B7AF5"/>
    <w:rsid w:val="000B7B36"/>
    <w:rsid w:val="000B7E37"/>
    <w:rsid w:val="000C0100"/>
    <w:rsid w:val="000C027E"/>
    <w:rsid w:val="000C0679"/>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61AB"/>
    <w:rsid w:val="000C6577"/>
    <w:rsid w:val="000C6610"/>
    <w:rsid w:val="000C6902"/>
    <w:rsid w:val="000C69CA"/>
    <w:rsid w:val="000C71A3"/>
    <w:rsid w:val="000C728E"/>
    <w:rsid w:val="000C741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395"/>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C38"/>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B50"/>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ADC"/>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7F7"/>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3F1"/>
    <w:rsid w:val="001364BC"/>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4F2"/>
    <w:rsid w:val="0014296A"/>
    <w:rsid w:val="00143061"/>
    <w:rsid w:val="00143335"/>
    <w:rsid w:val="00143391"/>
    <w:rsid w:val="0014367F"/>
    <w:rsid w:val="001438FC"/>
    <w:rsid w:val="00143DDE"/>
    <w:rsid w:val="00143F3D"/>
    <w:rsid w:val="0014413D"/>
    <w:rsid w:val="00144F48"/>
    <w:rsid w:val="00145AB8"/>
    <w:rsid w:val="00145BBD"/>
    <w:rsid w:val="00145D7D"/>
    <w:rsid w:val="00145F7E"/>
    <w:rsid w:val="001463CA"/>
    <w:rsid w:val="00146572"/>
    <w:rsid w:val="00146971"/>
    <w:rsid w:val="0014708A"/>
    <w:rsid w:val="00147197"/>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3A"/>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7A9"/>
    <w:rsid w:val="00180812"/>
    <w:rsid w:val="0018082C"/>
    <w:rsid w:val="00180C02"/>
    <w:rsid w:val="00180C73"/>
    <w:rsid w:val="00180CA5"/>
    <w:rsid w:val="00180DB8"/>
    <w:rsid w:val="00180DD5"/>
    <w:rsid w:val="001810AC"/>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FA0"/>
    <w:rsid w:val="0019484D"/>
    <w:rsid w:val="00194A0F"/>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3205"/>
    <w:rsid w:val="001A3266"/>
    <w:rsid w:val="001A332F"/>
    <w:rsid w:val="001A3653"/>
    <w:rsid w:val="001A3A1C"/>
    <w:rsid w:val="001A3A62"/>
    <w:rsid w:val="001A3C4B"/>
    <w:rsid w:val="001A4016"/>
    <w:rsid w:val="001A4259"/>
    <w:rsid w:val="001A446E"/>
    <w:rsid w:val="001A45AB"/>
    <w:rsid w:val="001A4C2D"/>
    <w:rsid w:val="001A4D24"/>
    <w:rsid w:val="001A4FE4"/>
    <w:rsid w:val="001A5720"/>
    <w:rsid w:val="001A58FB"/>
    <w:rsid w:val="001A59BE"/>
    <w:rsid w:val="001A5EB0"/>
    <w:rsid w:val="001A5EFC"/>
    <w:rsid w:val="001A5FC1"/>
    <w:rsid w:val="001A602A"/>
    <w:rsid w:val="001A61A3"/>
    <w:rsid w:val="001A63A1"/>
    <w:rsid w:val="001A63A2"/>
    <w:rsid w:val="001A65C7"/>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792"/>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580F"/>
    <w:rsid w:val="001C58C0"/>
    <w:rsid w:val="001C5C8A"/>
    <w:rsid w:val="001C6197"/>
    <w:rsid w:val="001C680C"/>
    <w:rsid w:val="001C68EB"/>
    <w:rsid w:val="001C6B35"/>
    <w:rsid w:val="001C6E36"/>
    <w:rsid w:val="001C6ECF"/>
    <w:rsid w:val="001C7433"/>
    <w:rsid w:val="001C77DB"/>
    <w:rsid w:val="001C79E6"/>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5B"/>
    <w:rsid w:val="001E03CE"/>
    <w:rsid w:val="001E05B7"/>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1458"/>
    <w:rsid w:val="001F1A7E"/>
    <w:rsid w:val="001F1ACF"/>
    <w:rsid w:val="001F1F32"/>
    <w:rsid w:val="001F201C"/>
    <w:rsid w:val="001F219E"/>
    <w:rsid w:val="001F2403"/>
    <w:rsid w:val="001F25EF"/>
    <w:rsid w:val="001F28BF"/>
    <w:rsid w:val="001F28DC"/>
    <w:rsid w:val="001F2FF7"/>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F5F"/>
    <w:rsid w:val="00210FDF"/>
    <w:rsid w:val="00210FF4"/>
    <w:rsid w:val="002111C6"/>
    <w:rsid w:val="00211279"/>
    <w:rsid w:val="002118CB"/>
    <w:rsid w:val="0021193D"/>
    <w:rsid w:val="00211B2F"/>
    <w:rsid w:val="00211B32"/>
    <w:rsid w:val="00211D11"/>
    <w:rsid w:val="00211D71"/>
    <w:rsid w:val="00211FFF"/>
    <w:rsid w:val="002120C0"/>
    <w:rsid w:val="00212222"/>
    <w:rsid w:val="00212706"/>
    <w:rsid w:val="002128AE"/>
    <w:rsid w:val="00212B11"/>
    <w:rsid w:val="00212B99"/>
    <w:rsid w:val="00212FD8"/>
    <w:rsid w:val="0021304A"/>
    <w:rsid w:val="002130AE"/>
    <w:rsid w:val="002134DA"/>
    <w:rsid w:val="0021353E"/>
    <w:rsid w:val="0021365E"/>
    <w:rsid w:val="002136AD"/>
    <w:rsid w:val="0021393D"/>
    <w:rsid w:val="00213A2B"/>
    <w:rsid w:val="00213AA0"/>
    <w:rsid w:val="00213D55"/>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D1B"/>
    <w:rsid w:val="00253F47"/>
    <w:rsid w:val="00253F7D"/>
    <w:rsid w:val="00253FB8"/>
    <w:rsid w:val="00254470"/>
    <w:rsid w:val="0025459C"/>
    <w:rsid w:val="002546A9"/>
    <w:rsid w:val="00255137"/>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CAD"/>
    <w:rsid w:val="0027701F"/>
    <w:rsid w:val="00277198"/>
    <w:rsid w:val="002772F2"/>
    <w:rsid w:val="00277399"/>
    <w:rsid w:val="0027789B"/>
    <w:rsid w:val="00277C97"/>
    <w:rsid w:val="00277DBC"/>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B21"/>
    <w:rsid w:val="00291DA7"/>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1E76"/>
    <w:rsid w:val="002A2787"/>
    <w:rsid w:val="002A2B61"/>
    <w:rsid w:val="002A313A"/>
    <w:rsid w:val="002A3179"/>
    <w:rsid w:val="002A3257"/>
    <w:rsid w:val="002A3292"/>
    <w:rsid w:val="002A3A49"/>
    <w:rsid w:val="002A3CFD"/>
    <w:rsid w:val="002A4132"/>
    <w:rsid w:val="002A4221"/>
    <w:rsid w:val="002A466C"/>
    <w:rsid w:val="002A46B9"/>
    <w:rsid w:val="002A4EA4"/>
    <w:rsid w:val="002A5068"/>
    <w:rsid w:val="002A512D"/>
    <w:rsid w:val="002A52D1"/>
    <w:rsid w:val="002A5B34"/>
    <w:rsid w:val="002A5BCC"/>
    <w:rsid w:val="002A648C"/>
    <w:rsid w:val="002A6A37"/>
    <w:rsid w:val="002A728E"/>
    <w:rsid w:val="002A7347"/>
    <w:rsid w:val="002A75AE"/>
    <w:rsid w:val="002A7744"/>
    <w:rsid w:val="002A7856"/>
    <w:rsid w:val="002A7A3E"/>
    <w:rsid w:val="002A7B9D"/>
    <w:rsid w:val="002A7F12"/>
    <w:rsid w:val="002B038F"/>
    <w:rsid w:val="002B0486"/>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606D"/>
    <w:rsid w:val="002B60CB"/>
    <w:rsid w:val="002B627D"/>
    <w:rsid w:val="002B649E"/>
    <w:rsid w:val="002B64A3"/>
    <w:rsid w:val="002B65C7"/>
    <w:rsid w:val="002B6882"/>
    <w:rsid w:val="002B6B4F"/>
    <w:rsid w:val="002B6C64"/>
    <w:rsid w:val="002B6CFB"/>
    <w:rsid w:val="002B6D3A"/>
    <w:rsid w:val="002B6E97"/>
    <w:rsid w:val="002B72C1"/>
    <w:rsid w:val="002B7AD5"/>
    <w:rsid w:val="002B7BAF"/>
    <w:rsid w:val="002B7BEB"/>
    <w:rsid w:val="002B7CCD"/>
    <w:rsid w:val="002C0046"/>
    <w:rsid w:val="002C00E0"/>
    <w:rsid w:val="002C05F0"/>
    <w:rsid w:val="002C0661"/>
    <w:rsid w:val="002C089B"/>
    <w:rsid w:val="002C093A"/>
    <w:rsid w:val="002C0C05"/>
    <w:rsid w:val="002C0FF0"/>
    <w:rsid w:val="002C1656"/>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7B5"/>
    <w:rsid w:val="002E380E"/>
    <w:rsid w:val="002E3B41"/>
    <w:rsid w:val="002E3DF0"/>
    <w:rsid w:val="002E4608"/>
    <w:rsid w:val="002E4671"/>
    <w:rsid w:val="002E4907"/>
    <w:rsid w:val="002E4E82"/>
    <w:rsid w:val="002E4EE2"/>
    <w:rsid w:val="002E5335"/>
    <w:rsid w:val="002E5734"/>
    <w:rsid w:val="002E5811"/>
    <w:rsid w:val="002E5A41"/>
    <w:rsid w:val="002E5AF7"/>
    <w:rsid w:val="002E5CF2"/>
    <w:rsid w:val="002E660A"/>
    <w:rsid w:val="002E6799"/>
    <w:rsid w:val="002E6C40"/>
    <w:rsid w:val="002E6CCF"/>
    <w:rsid w:val="002E6E72"/>
    <w:rsid w:val="002E706B"/>
    <w:rsid w:val="002E7523"/>
    <w:rsid w:val="002E7AA9"/>
    <w:rsid w:val="002E7ABC"/>
    <w:rsid w:val="002E7BCD"/>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79B"/>
    <w:rsid w:val="003067B0"/>
    <w:rsid w:val="00306914"/>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77F"/>
    <w:rsid w:val="00311B7B"/>
    <w:rsid w:val="00311F51"/>
    <w:rsid w:val="003122E8"/>
    <w:rsid w:val="00312635"/>
    <w:rsid w:val="00312B96"/>
    <w:rsid w:val="00313342"/>
    <w:rsid w:val="00313B7C"/>
    <w:rsid w:val="00313C32"/>
    <w:rsid w:val="00314017"/>
    <w:rsid w:val="00314034"/>
    <w:rsid w:val="00314129"/>
    <w:rsid w:val="00314397"/>
    <w:rsid w:val="003144BA"/>
    <w:rsid w:val="00314523"/>
    <w:rsid w:val="00314645"/>
    <w:rsid w:val="003149A3"/>
    <w:rsid w:val="00315000"/>
    <w:rsid w:val="0031550B"/>
    <w:rsid w:val="00315540"/>
    <w:rsid w:val="00315A9D"/>
    <w:rsid w:val="00315E08"/>
    <w:rsid w:val="00316755"/>
    <w:rsid w:val="003169B6"/>
    <w:rsid w:val="00316C4B"/>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92"/>
    <w:rsid w:val="00322CD0"/>
    <w:rsid w:val="00322ED9"/>
    <w:rsid w:val="00322FA3"/>
    <w:rsid w:val="00323450"/>
    <w:rsid w:val="00323BC5"/>
    <w:rsid w:val="00323BEB"/>
    <w:rsid w:val="00324673"/>
    <w:rsid w:val="00324B9B"/>
    <w:rsid w:val="00324D46"/>
    <w:rsid w:val="00324DE1"/>
    <w:rsid w:val="003250DD"/>
    <w:rsid w:val="003257CD"/>
    <w:rsid w:val="00325B0D"/>
    <w:rsid w:val="00325B56"/>
    <w:rsid w:val="00325DF1"/>
    <w:rsid w:val="003264E9"/>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D5E"/>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D13"/>
    <w:rsid w:val="00350EDC"/>
    <w:rsid w:val="003510D7"/>
    <w:rsid w:val="0035152F"/>
    <w:rsid w:val="00351630"/>
    <w:rsid w:val="00351C0B"/>
    <w:rsid w:val="00351E84"/>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6C8"/>
    <w:rsid w:val="00353907"/>
    <w:rsid w:val="00353C8B"/>
    <w:rsid w:val="00353E7D"/>
    <w:rsid w:val="003542D4"/>
    <w:rsid w:val="003543DA"/>
    <w:rsid w:val="00354514"/>
    <w:rsid w:val="0035483F"/>
    <w:rsid w:val="00354B65"/>
    <w:rsid w:val="00354B6B"/>
    <w:rsid w:val="00354B7A"/>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4B6"/>
    <w:rsid w:val="00373684"/>
    <w:rsid w:val="003738DA"/>
    <w:rsid w:val="00373943"/>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E4E"/>
    <w:rsid w:val="003930EB"/>
    <w:rsid w:val="003931D8"/>
    <w:rsid w:val="00393229"/>
    <w:rsid w:val="00393509"/>
    <w:rsid w:val="00393569"/>
    <w:rsid w:val="00393C42"/>
    <w:rsid w:val="00393E53"/>
    <w:rsid w:val="00393EFB"/>
    <w:rsid w:val="00394172"/>
    <w:rsid w:val="003942F1"/>
    <w:rsid w:val="00394705"/>
    <w:rsid w:val="0039480F"/>
    <w:rsid w:val="00394B28"/>
    <w:rsid w:val="00395151"/>
    <w:rsid w:val="0039525E"/>
    <w:rsid w:val="00395514"/>
    <w:rsid w:val="0039554E"/>
    <w:rsid w:val="003957BB"/>
    <w:rsid w:val="00395C25"/>
    <w:rsid w:val="00395C2B"/>
    <w:rsid w:val="00395C4B"/>
    <w:rsid w:val="00395C7A"/>
    <w:rsid w:val="00395CC6"/>
    <w:rsid w:val="00395E22"/>
    <w:rsid w:val="00395FEF"/>
    <w:rsid w:val="003961B5"/>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874"/>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30F"/>
    <w:rsid w:val="003B16D2"/>
    <w:rsid w:val="003B192B"/>
    <w:rsid w:val="003B1B21"/>
    <w:rsid w:val="003B1C17"/>
    <w:rsid w:val="003B1CB6"/>
    <w:rsid w:val="003B202F"/>
    <w:rsid w:val="003B206D"/>
    <w:rsid w:val="003B209A"/>
    <w:rsid w:val="003B20B8"/>
    <w:rsid w:val="003B2198"/>
    <w:rsid w:val="003B2498"/>
    <w:rsid w:val="003B28BC"/>
    <w:rsid w:val="003B29FE"/>
    <w:rsid w:val="003B32F5"/>
    <w:rsid w:val="003B38CD"/>
    <w:rsid w:val="003B3A56"/>
    <w:rsid w:val="003B3D10"/>
    <w:rsid w:val="003B3F0A"/>
    <w:rsid w:val="003B44FE"/>
    <w:rsid w:val="003B46B5"/>
    <w:rsid w:val="003B4849"/>
    <w:rsid w:val="003B4A40"/>
    <w:rsid w:val="003B4A70"/>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325"/>
    <w:rsid w:val="003D34E8"/>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28F"/>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7EE"/>
    <w:rsid w:val="003E3860"/>
    <w:rsid w:val="003E3A1D"/>
    <w:rsid w:val="003E3A8B"/>
    <w:rsid w:val="003E3B82"/>
    <w:rsid w:val="003E3CC2"/>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F01F6"/>
    <w:rsid w:val="003F020C"/>
    <w:rsid w:val="003F033C"/>
    <w:rsid w:val="003F03C4"/>
    <w:rsid w:val="003F04C5"/>
    <w:rsid w:val="003F066F"/>
    <w:rsid w:val="003F07C3"/>
    <w:rsid w:val="003F0C9B"/>
    <w:rsid w:val="003F110B"/>
    <w:rsid w:val="003F1299"/>
    <w:rsid w:val="003F1C0F"/>
    <w:rsid w:val="003F1F1D"/>
    <w:rsid w:val="003F232B"/>
    <w:rsid w:val="003F2A8C"/>
    <w:rsid w:val="003F2CEF"/>
    <w:rsid w:val="003F2DEE"/>
    <w:rsid w:val="003F307C"/>
    <w:rsid w:val="003F31AE"/>
    <w:rsid w:val="003F325F"/>
    <w:rsid w:val="003F3282"/>
    <w:rsid w:val="003F34C8"/>
    <w:rsid w:val="003F3650"/>
    <w:rsid w:val="003F3733"/>
    <w:rsid w:val="003F3919"/>
    <w:rsid w:val="003F39F1"/>
    <w:rsid w:val="003F3B8F"/>
    <w:rsid w:val="003F3CE3"/>
    <w:rsid w:val="003F416F"/>
    <w:rsid w:val="003F41F2"/>
    <w:rsid w:val="003F441C"/>
    <w:rsid w:val="003F443F"/>
    <w:rsid w:val="003F44C8"/>
    <w:rsid w:val="003F45EB"/>
    <w:rsid w:val="003F46B8"/>
    <w:rsid w:val="003F4D21"/>
    <w:rsid w:val="003F4DA7"/>
    <w:rsid w:val="003F576C"/>
    <w:rsid w:val="003F57F4"/>
    <w:rsid w:val="003F5BB3"/>
    <w:rsid w:val="003F5C88"/>
    <w:rsid w:val="003F62DB"/>
    <w:rsid w:val="003F62DE"/>
    <w:rsid w:val="003F62ED"/>
    <w:rsid w:val="003F6321"/>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D05"/>
    <w:rsid w:val="00401FCB"/>
    <w:rsid w:val="0040203A"/>
    <w:rsid w:val="00402B30"/>
    <w:rsid w:val="00402C69"/>
    <w:rsid w:val="0040305F"/>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12AE"/>
    <w:rsid w:val="00411903"/>
    <w:rsid w:val="00411CCB"/>
    <w:rsid w:val="00411E7E"/>
    <w:rsid w:val="00411F4F"/>
    <w:rsid w:val="00412042"/>
    <w:rsid w:val="004124B3"/>
    <w:rsid w:val="00412535"/>
    <w:rsid w:val="004126DB"/>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563"/>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21"/>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27D09"/>
    <w:rsid w:val="00430012"/>
    <w:rsid w:val="004302B7"/>
    <w:rsid w:val="0043054F"/>
    <w:rsid w:val="00430567"/>
    <w:rsid w:val="004308E5"/>
    <w:rsid w:val="004309E8"/>
    <w:rsid w:val="00430DFD"/>
    <w:rsid w:val="00431096"/>
    <w:rsid w:val="004322D4"/>
    <w:rsid w:val="00432570"/>
    <w:rsid w:val="0043269D"/>
    <w:rsid w:val="00432A76"/>
    <w:rsid w:val="00432F05"/>
    <w:rsid w:val="004330BC"/>
    <w:rsid w:val="00433783"/>
    <w:rsid w:val="0043396B"/>
    <w:rsid w:val="00433AD1"/>
    <w:rsid w:val="00433C0B"/>
    <w:rsid w:val="00434174"/>
    <w:rsid w:val="0043417D"/>
    <w:rsid w:val="00434627"/>
    <w:rsid w:val="0043479C"/>
    <w:rsid w:val="00434A59"/>
    <w:rsid w:val="00434E88"/>
    <w:rsid w:val="00435099"/>
    <w:rsid w:val="004350A2"/>
    <w:rsid w:val="00435101"/>
    <w:rsid w:val="004351AE"/>
    <w:rsid w:val="00435632"/>
    <w:rsid w:val="00435734"/>
    <w:rsid w:val="0043584E"/>
    <w:rsid w:val="004358C5"/>
    <w:rsid w:val="0043594B"/>
    <w:rsid w:val="004359E9"/>
    <w:rsid w:val="00435D10"/>
    <w:rsid w:val="0043611D"/>
    <w:rsid w:val="004362BB"/>
    <w:rsid w:val="004368AE"/>
    <w:rsid w:val="004369C6"/>
    <w:rsid w:val="00436CDF"/>
    <w:rsid w:val="00437330"/>
    <w:rsid w:val="004378EC"/>
    <w:rsid w:val="004379D0"/>
    <w:rsid w:val="00440018"/>
    <w:rsid w:val="0044040B"/>
    <w:rsid w:val="00440604"/>
    <w:rsid w:val="00440DFC"/>
    <w:rsid w:val="00440E5B"/>
    <w:rsid w:val="00440FD7"/>
    <w:rsid w:val="00441082"/>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2DD"/>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77"/>
    <w:rsid w:val="00465A90"/>
    <w:rsid w:val="00465AEB"/>
    <w:rsid w:val="00465CC2"/>
    <w:rsid w:val="00466357"/>
    <w:rsid w:val="004665D2"/>
    <w:rsid w:val="0046689D"/>
    <w:rsid w:val="00466AB7"/>
    <w:rsid w:val="00466B35"/>
    <w:rsid w:val="00466C93"/>
    <w:rsid w:val="00466D14"/>
    <w:rsid w:val="00466DE0"/>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068"/>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402"/>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A36"/>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2BC"/>
    <w:rsid w:val="004B277F"/>
    <w:rsid w:val="004B28A2"/>
    <w:rsid w:val="004B2BFD"/>
    <w:rsid w:val="004B33B9"/>
    <w:rsid w:val="004B340E"/>
    <w:rsid w:val="004B3420"/>
    <w:rsid w:val="004B37E4"/>
    <w:rsid w:val="004B399F"/>
    <w:rsid w:val="004B39D5"/>
    <w:rsid w:val="004B39F4"/>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C0571"/>
    <w:rsid w:val="004C093C"/>
    <w:rsid w:val="004C0BC9"/>
    <w:rsid w:val="004C0DF1"/>
    <w:rsid w:val="004C0DF8"/>
    <w:rsid w:val="004C0E96"/>
    <w:rsid w:val="004C0EF6"/>
    <w:rsid w:val="004C1479"/>
    <w:rsid w:val="004C14A0"/>
    <w:rsid w:val="004C1697"/>
    <w:rsid w:val="004C1747"/>
    <w:rsid w:val="004C17DD"/>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F3E"/>
    <w:rsid w:val="004D05F3"/>
    <w:rsid w:val="004D08BF"/>
    <w:rsid w:val="004D0B9F"/>
    <w:rsid w:val="004D0C77"/>
    <w:rsid w:val="004D0DD6"/>
    <w:rsid w:val="004D0FF1"/>
    <w:rsid w:val="004D1027"/>
    <w:rsid w:val="004D12D2"/>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FDF"/>
    <w:rsid w:val="004D4312"/>
    <w:rsid w:val="004D4544"/>
    <w:rsid w:val="004D4647"/>
    <w:rsid w:val="004D4C47"/>
    <w:rsid w:val="004D5477"/>
    <w:rsid w:val="004D5745"/>
    <w:rsid w:val="004D593D"/>
    <w:rsid w:val="004D5CD9"/>
    <w:rsid w:val="004D5E82"/>
    <w:rsid w:val="004D5F42"/>
    <w:rsid w:val="004D602D"/>
    <w:rsid w:val="004D6CF4"/>
    <w:rsid w:val="004D6E44"/>
    <w:rsid w:val="004D6EDA"/>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41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6EE8"/>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A31"/>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E9F"/>
    <w:rsid w:val="00516F49"/>
    <w:rsid w:val="00516FE4"/>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1ABB"/>
    <w:rsid w:val="0052209B"/>
    <w:rsid w:val="005221B2"/>
    <w:rsid w:val="005223A5"/>
    <w:rsid w:val="0052243A"/>
    <w:rsid w:val="0052299E"/>
    <w:rsid w:val="00522DDE"/>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995"/>
    <w:rsid w:val="00527B51"/>
    <w:rsid w:val="00527CA2"/>
    <w:rsid w:val="005300DA"/>
    <w:rsid w:val="00530157"/>
    <w:rsid w:val="00530208"/>
    <w:rsid w:val="00530472"/>
    <w:rsid w:val="005308E1"/>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EB0"/>
    <w:rsid w:val="00551FED"/>
    <w:rsid w:val="00552C21"/>
    <w:rsid w:val="00552DB9"/>
    <w:rsid w:val="00553081"/>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10A0"/>
    <w:rsid w:val="005612D0"/>
    <w:rsid w:val="00561631"/>
    <w:rsid w:val="0056185C"/>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4B70"/>
    <w:rsid w:val="00565272"/>
    <w:rsid w:val="00565921"/>
    <w:rsid w:val="00565D02"/>
    <w:rsid w:val="00565F56"/>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944"/>
    <w:rsid w:val="00583E5F"/>
    <w:rsid w:val="00584205"/>
    <w:rsid w:val="00584757"/>
    <w:rsid w:val="00584BFE"/>
    <w:rsid w:val="00584D23"/>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3DE3"/>
    <w:rsid w:val="005940A3"/>
    <w:rsid w:val="00594376"/>
    <w:rsid w:val="00594451"/>
    <w:rsid w:val="0059465D"/>
    <w:rsid w:val="005949B6"/>
    <w:rsid w:val="00594A50"/>
    <w:rsid w:val="005951D7"/>
    <w:rsid w:val="0059526A"/>
    <w:rsid w:val="005958A4"/>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3EA"/>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315"/>
    <w:rsid w:val="005A4487"/>
    <w:rsid w:val="005A4977"/>
    <w:rsid w:val="005A4A3A"/>
    <w:rsid w:val="005A4ECB"/>
    <w:rsid w:val="005A5135"/>
    <w:rsid w:val="005A54D4"/>
    <w:rsid w:val="005A5B14"/>
    <w:rsid w:val="005A5BDE"/>
    <w:rsid w:val="005A602F"/>
    <w:rsid w:val="005A60E0"/>
    <w:rsid w:val="005A633C"/>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913"/>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C7E39"/>
    <w:rsid w:val="005D0215"/>
    <w:rsid w:val="005D027C"/>
    <w:rsid w:val="005D077F"/>
    <w:rsid w:val="005D07C9"/>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565"/>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3F"/>
    <w:rsid w:val="005D6198"/>
    <w:rsid w:val="005D660C"/>
    <w:rsid w:val="005D678B"/>
    <w:rsid w:val="005D6C8E"/>
    <w:rsid w:val="005D73A6"/>
    <w:rsid w:val="005D7574"/>
    <w:rsid w:val="005D77C7"/>
    <w:rsid w:val="005D790D"/>
    <w:rsid w:val="005D7951"/>
    <w:rsid w:val="005E018B"/>
    <w:rsid w:val="005E0660"/>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F07"/>
    <w:rsid w:val="005E74B4"/>
    <w:rsid w:val="005E79D7"/>
    <w:rsid w:val="005E7E6E"/>
    <w:rsid w:val="005E7E8D"/>
    <w:rsid w:val="005F0055"/>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7D"/>
    <w:rsid w:val="005F26B1"/>
    <w:rsid w:val="005F2EF6"/>
    <w:rsid w:val="005F30BF"/>
    <w:rsid w:val="005F372C"/>
    <w:rsid w:val="005F3739"/>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60026E"/>
    <w:rsid w:val="00600389"/>
    <w:rsid w:val="0060043C"/>
    <w:rsid w:val="00600815"/>
    <w:rsid w:val="006009AC"/>
    <w:rsid w:val="006009F3"/>
    <w:rsid w:val="00600E99"/>
    <w:rsid w:val="006011BA"/>
    <w:rsid w:val="0060144C"/>
    <w:rsid w:val="00601693"/>
    <w:rsid w:val="00601957"/>
    <w:rsid w:val="00602081"/>
    <w:rsid w:val="00602180"/>
    <w:rsid w:val="00602383"/>
    <w:rsid w:val="006023DB"/>
    <w:rsid w:val="006026AC"/>
    <w:rsid w:val="006026E6"/>
    <w:rsid w:val="00602987"/>
    <w:rsid w:val="00602BEF"/>
    <w:rsid w:val="00602E57"/>
    <w:rsid w:val="00603012"/>
    <w:rsid w:val="006030BB"/>
    <w:rsid w:val="006030BD"/>
    <w:rsid w:val="00603808"/>
    <w:rsid w:val="00603C02"/>
    <w:rsid w:val="00603C48"/>
    <w:rsid w:val="006047B1"/>
    <w:rsid w:val="006047D4"/>
    <w:rsid w:val="00604C70"/>
    <w:rsid w:val="00604DE8"/>
    <w:rsid w:val="006051F3"/>
    <w:rsid w:val="00605261"/>
    <w:rsid w:val="0060548A"/>
    <w:rsid w:val="006054D2"/>
    <w:rsid w:val="006055B8"/>
    <w:rsid w:val="0060563D"/>
    <w:rsid w:val="00605BE0"/>
    <w:rsid w:val="00605BE6"/>
    <w:rsid w:val="00605FAA"/>
    <w:rsid w:val="006064F1"/>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A6B"/>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E89"/>
    <w:rsid w:val="00660EFE"/>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6C1E"/>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5B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1FD"/>
    <w:rsid w:val="0069432C"/>
    <w:rsid w:val="00694449"/>
    <w:rsid w:val="006945B4"/>
    <w:rsid w:val="00694630"/>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7C7"/>
    <w:rsid w:val="006A7DBE"/>
    <w:rsid w:val="006A7F52"/>
    <w:rsid w:val="006A7FF0"/>
    <w:rsid w:val="006B028F"/>
    <w:rsid w:val="006B0483"/>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8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84F"/>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3F"/>
    <w:rsid w:val="006E09ED"/>
    <w:rsid w:val="006E0BB8"/>
    <w:rsid w:val="006E0D37"/>
    <w:rsid w:val="006E0FB9"/>
    <w:rsid w:val="006E11AC"/>
    <w:rsid w:val="006E14B3"/>
    <w:rsid w:val="006E175D"/>
    <w:rsid w:val="006E191C"/>
    <w:rsid w:val="006E1963"/>
    <w:rsid w:val="006E1EAC"/>
    <w:rsid w:val="006E1F52"/>
    <w:rsid w:val="006E22E1"/>
    <w:rsid w:val="006E2554"/>
    <w:rsid w:val="006E2653"/>
    <w:rsid w:val="006E27DA"/>
    <w:rsid w:val="006E2875"/>
    <w:rsid w:val="006E2D3E"/>
    <w:rsid w:val="006E329A"/>
    <w:rsid w:val="006E3477"/>
    <w:rsid w:val="006E358D"/>
    <w:rsid w:val="006E3A90"/>
    <w:rsid w:val="006E3CC7"/>
    <w:rsid w:val="006E4585"/>
    <w:rsid w:val="006E4900"/>
    <w:rsid w:val="006E4923"/>
    <w:rsid w:val="006E4960"/>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4DB7"/>
    <w:rsid w:val="006F5608"/>
    <w:rsid w:val="006F560B"/>
    <w:rsid w:val="006F604B"/>
    <w:rsid w:val="006F6337"/>
    <w:rsid w:val="006F6502"/>
    <w:rsid w:val="006F6847"/>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A05"/>
    <w:rsid w:val="00730C79"/>
    <w:rsid w:val="007312CA"/>
    <w:rsid w:val="007317E5"/>
    <w:rsid w:val="0073183B"/>
    <w:rsid w:val="00731859"/>
    <w:rsid w:val="007318DD"/>
    <w:rsid w:val="00731D48"/>
    <w:rsid w:val="00731DB2"/>
    <w:rsid w:val="0073209C"/>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777"/>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2E46"/>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AE"/>
    <w:rsid w:val="00746214"/>
    <w:rsid w:val="007463AA"/>
    <w:rsid w:val="00746512"/>
    <w:rsid w:val="007468D5"/>
    <w:rsid w:val="00746F46"/>
    <w:rsid w:val="007471F8"/>
    <w:rsid w:val="00747516"/>
    <w:rsid w:val="0074755D"/>
    <w:rsid w:val="007476F0"/>
    <w:rsid w:val="00747949"/>
    <w:rsid w:val="00747BB2"/>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6EE"/>
    <w:rsid w:val="00760715"/>
    <w:rsid w:val="00760F11"/>
    <w:rsid w:val="0076101C"/>
    <w:rsid w:val="0076146C"/>
    <w:rsid w:val="00761660"/>
    <w:rsid w:val="00761894"/>
    <w:rsid w:val="00761949"/>
    <w:rsid w:val="00761B7E"/>
    <w:rsid w:val="00761CCF"/>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D1B"/>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FF9"/>
    <w:rsid w:val="00774581"/>
    <w:rsid w:val="00774779"/>
    <w:rsid w:val="007748BB"/>
    <w:rsid w:val="00774A0D"/>
    <w:rsid w:val="00774AAA"/>
    <w:rsid w:val="00774AD8"/>
    <w:rsid w:val="00774FCC"/>
    <w:rsid w:val="0077510C"/>
    <w:rsid w:val="00775284"/>
    <w:rsid w:val="00775886"/>
    <w:rsid w:val="00775934"/>
    <w:rsid w:val="00775974"/>
    <w:rsid w:val="00775CBC"/>
    <w:rsid w:val="00775F0A"/>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A1E"/>
    <w:rsid w:val="00783B53"/>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CE9"/>
    <w:rsid w:val="00786D0E"/>
    <w:rsid w:val="00786D77"/>
    <w:rsid w:val="00787587"/>
    <w:rsid w:val="00787634"/>
    <w:rsid w:val="0078784E"/>
    <w:rsid w:val="00787999"/>
    <w:rsid w:val="0079035A"/>
    <w:rsid w:val="007906A1"/>
    <w:rsid w:val="007906F9"/>
    <w:rsid w:val="007907BA"/>
    <w:rsid w:val="00790A2B"/>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2EA6"/>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0ACC"/>
    <w:rsid w:val="007B1265"/>
    <w:rsid w:val="007B1A21"/>
    <w:rsid w:val="007B1ACD"/>
    <w:rsid w:val="007B21B1"/>
    <w:rsid w:val="007B234D"/>
    <w:rsid w:val="007B2840"/>
    <w:rsid w:val="007B28B4"/>
    <w:rsid w:val="007B2E7A"/>
    <w:rsid w:val="007B2FDF"/>
    <w:rsid w:val="007B30EA"/>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CE"/>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551"/>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AA"/>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24"/>
    <w:rsid w:val="007F67A9"/>
    <w:rsid w:val="007F691E"/>
    <w:rsid w:val="007F6E0C"/>
    <w:rsid w:val="007F727C"/>
    <w:rsid w:val="007F73E2"/>
    <w:rsid w:val="007F748F"/>
    <w:rsid w:val="007F7624"/>
    <w:rsid w:val="007F76BB"/>
    <w:rsid w:val="007F7E2B"/>
    <w:rsid w:val="0080043A"/>
    <w:rsid w:val="00800555"/>
    <w:rsid w:val="00800593"/>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DE6"/>
    <w:rsid w:val="00805FB9"/>
    <w:rsid w:val="00806141"/>
    <w:rsid w:val="00806932"/>
    <w:rsid w:val="00806B10"/>
    <w:rsid w:val="00806BF8"/>
    <w:rsid w:val="00807252"/>
    <w:rsid w:val="00807383"/>
    <w:rsid w:val="00807419"/>
    <w:rsid w:val="008076A5"/>
    <w:rsid w:val="008077B2"/>
    <w:rsid w:val="0080780B"/>
    <w:rsid w:val="008078B7"/>
    <w:rsid w:val="00807C1A"/>
    <w:rsid w:val="00807CE2"/>
    <w:rsid w:val="00807CE5"/>
    <w:rsid w:val="00810474"/>
    <w:rsid w:val="008111F2"/>
    <w:rsid w:val="0081147E"/>
    <w:rsid w:val="00812128"/>
    <w:rsid w:val="00812176"/>
    <w:rsid w:val="00812321"/>
    <w:rsid w:val="00812AAE"/>
    <w:rsid w:val="00812AF2"/>
    <w:rsid w:val="00812D5C"/>
    <w:rsid w:val="00812E06"/>
    <w:rsid w:val="00813274"/>
    <w:rsid w:val="00813288"/>
    <w:rsid w:val="00813315"/>
    <w:rsid w:val="008133B2"/>
    <w:rsid w:val="008136B2"/>
    <w:rsid w:val="00813804"/>
    <w:rsid w:val="00813855"/>
    <w:rsid w:val="00813888"/>
    <w:rsid w:val="00813B99"/>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D75"/>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98"/>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410"/>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EFF"/>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10E"/>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5F26"/>
    <w:rsid w:val="00846069"/>
    <w:rsid w:val="008460AE"/>
    <w:rsid w:val="008462C7"/>
    <w:rsid w:val="0084644F"/>
    <w:rsid w:val="008464D2"/>
    <w:rsid w:val="008465E6"/>
    <w:rsid w:val="00846905"/>
    <w:rsid w:val="00846A7E"/>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D05"/>
    <w:rsid w:val="00853D12"/>
    <w:rsid w:val="00853F0F"/>
    <w:rsid w:val="00853F97"/>
    <w:rsid w:val="008540EB"/>
    <w:rsid w:val="0085431B"/>
    <w:rsid w:val="0085444A"/>
    <w:rsid w:val="008544B5"/>
    <w:rsid w:val="00854566"/>
    <w:rsid w:val="00854AC2"/>
    <w:rsid w:val="00854BC0"/>
    <w:rsid w:val="00854C05"/>
    <w:rsid w:val="008558EF"/>
    <w:rsid w:val="008559FD"/>
    <w:rsid w:val="00855C66"/>
    <w:rsid w:val="00855D46"/>
    <w:rsid w:val="008560CE"/>
    <w:rsid w:val="008561F9"/>
    <w:rsid w:val="0085686B"/>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37F"/>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10C"/>
    <w:rsid w:val="008802CA"/>
    <w:rsid w:val="00880355"/>
    <w:rsid w:val="0088051A"/>
    <w:rsid w:val="00880834"/>
    <w:rsid w:val="00880CBB"/>
    <w:rsid w:val="00880FD7"/>
    <w:rsid w:val="0088127C"/>
    <w:rsid w:val="0088159C"/>
    <w:rsid w:val="00881887"/>
    <w:rsid w:val="008818E4"/>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97E"/>
    <w:rsid w:val="00897A0E"/>
    <w:rsid w:val="00897ED1"/>
    <w:rsid w:val="00897F20"/>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F1E"/>
    <w:rsid w:val="008A529E"/>
    <w:rsid w:val="008A53F8"/>
    <w:rsid w:val="008A56DC"/>
    <w:rsid w:val="008A5771"/>
    <w:rsid w:val="008A57FB"/>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C8B"/>
    <w:rsid w:val="008B3D66"/>
    <w:rsid w:val="008B411F"/>
    <w:rsid w:val="008B4175"/>
    <w:rsid w:val="008B4397"/>
    <w:rsid w:val="008B444E"/>
    <w:rsid w:val="008B44D0"/>
    <w:rsid w:val="008B452F"/>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149"/>
    <w:rsid w:val="008B71D6"/>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C7CA2"/>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0F"/>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3CD"/>
    <w:rsid w:val="009234A1"/>
    <w:rsid w:val="00923881"/>
    <w:rsid w:val="00923A7F"/>
    <w:rsid w:val="00923B39"/>
    <w:rsid w:val="00923CAC"/>
    <w:rsid w:val="00923D1C"/>
    <w:rsid w:val="00924208"/>
    <w:rsid w:val="009246EF"/>
    <w:rsid w:val="0092498B"/>
    <w:rsid w:val="009249A3"/>
    <w:rsid w:val="00924B8D"/>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B2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F85"/>
    <w:rsid w:val="00936658"/>
    <w:rsid w:val="00936CCE"/>
    <w:rsid w:val="00936CF4"/>
    <w:rsid w:val="00936E80"/>
    <w:rsid w:val="009370A1"/>
    <w:rsid w:val="00937175"/>
    <w:rsid w:val="00937760"/>
    <w:rsid w:val="009377E4"/>
    <w:rsid w:val="00937BB5"/>
    <w:rsid w:val="0094008E"/>
    <w:rsid w:val="00940266"/>
    <w:rsid w:val="00940537"/>
    <w:rsid w:val="009406DE"/>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DA"/>
    <w:rsid w:val="00951B64"/>
    <w:rsid w:val="00952202"/>
    <w:rsid w:val="0095239B"/>
    <w:rsid w:val="009525CB"/>
    <w:rsid w:val="009529F3"/>
    <w:rsid w:val="00952A1B"/>
    <w:rsid w:val="00952CFE"/>
    <w:rsid w:val="00952E5F"/>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4D89"/>
    <w:rsid w:val="009552EA"/>
    <w:rsid w:val="0095582B"/>
    <w:rsid w:val="009559B6"/>
    <w:rsid w:val="00955DDE"/>
    <w:rsid w:val="009561EF"/>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A49"/>
    <w:rsid w:val="00962AF0"/>
    <w:rsid w:val="00962CC0"/>
    <w:rsid w:val="00962DA1"/>
    <w:rsid w:val="00962F80"/>
    <w:rsid w:val="00963025"/>
    <w:rsid w:val="00963187"/>
    <w:rsid w:val="00963420"/>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0BA"/>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B08"/>
    <w:rsid w:val="00993B7B"/>
    <w:rsid w:val="00993B7C"/>
    <w:rsid w:val="00993CC2"/>
    <w:rsid w:val="00993DF8"/>
    <w:rsid w:val="0099414F"/>
    <w:rsid w:val="00994284"/>
    <w:rsid w:val="009945D8"/>
    <w:rsid w:val="0099470F"/>
    <w:rsid w:val="00994959"/>
    <w:rsid w:val="00994B76"/>
    <w:rsid w:val="00994CA4"/>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3BD"/>
    <w:rsid w:val="009B57EC"/>
    <w:rsid w:val="009B5BA4"/>
    <w:rsid w:val="009B5E8D"/>
    <w:rsid w:val="009B5F42"/>
    <w:rsid w:val="009B5FC2"/>
    <w:rsid w:val="009B61B8"/>
    <w:rsid w:val="009B6596"/>
    <w:rsid w:val="009B65AD"/>
    <w:rsid w:val="009B6B3D"/>
    <w:rsid w:val="009B6DA1"/>
    <w:rsid w:val="009B6F81"/>
    <w:rsid w:val="009B7003"/>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8FD"/>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4D2B"/>
    <w:rsid w:val="009C4F45"/>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D74"/>
    <w:rsid w:val="009E2FE1"/>
    <w:rsid w:val="009E2FF2"/>
    <w:rsid w:val="009E3297"/>
    <w:rsid w:val="009E3E52"/>
    <w:rsid w:val="009E3EBA"/>
    <w:rsid w:val="009E430F"/>
    <w:rsid w:val="009E449A"/>
    <w:rsid w:val="009E44BB"/>
    <w:rsid w:val="009E4A53"/>
    <w:rsid w:val="009E4C2D"/>
    <w:rsid w:val="009E4CA1"/>
    <w:rsid w:val="009E4CC5"/>
    <w:rsid w:val="009E4F89"/>
    <w:rsid w:val="009E5394"/>
    <w:rsid w:val="009E53D3"/>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1AF"/>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1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9F7"/>
    <w:rsid w:val="00A15C50"/>
    <w:rsid w:val="00A15CF5"/>
    <w:rsid w:val="00A15F89"/>
    <w:rsid w:val="00A1649C"/>
    <w:rsid w:val="00A1660F"/>
    <w:rsid w:val="00A16616"/>
    <w:rsid w:val="00A16B1D"/>
    <w:rsid w:val="00A16C9D"/>
    <w:rsid w:val="00A16EBB"/>
    <w:rsid w:val="00A1735A"/>
    <w:rsid w:val="00A1785B"/>
    <w:rsid w:val="00A178CF"/>
    <w:rsid w:val="00A17926"/>
    <w:rsid w:val="00A17DAE"/>
    <w:rsid w:val="00A20371"/>
    <w:rsid w:val="00A203C1"/>
    <w:rsid w:val="00A203E2"/>
    <w:rsid w:val="00A20603"/>
    <w:rsid w:val="00A20925"/>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DE9"/>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017"/>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677C7"/>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B7D"/>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1D1"/>
    <w:rsid w:val="00A862C5"/>
    <w:rsid w:val="00A86418"/>
    <w:rsid w:val="00A86617"/>
    <w:rsid w:val="00A86E24"/>
    <w:rsid w:val="00A86F95"/>
    <w:rsid w:val="00A870D1"/>
    <w:rsid w:val="00A87180"/>
    <w:rsid w:val="00A87261"/>
    <w:rsid w:val="00A87514"/>
    <w:rsid w:val="00A87648"/>
    <w:rsid w:val="00A878D1"/>
    <w:rsid w:val="00A87CC9"/>
    <w:rsid w:val="00A90154"/>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59C"/>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757"/>
    <w:rsid w:val="00AA181B"/>
    <w:rsid w:val="00AA1907"/>
    <w:rsid w:val="00AA2221"/>
    <w:rsid w:val="00AA2801"/>
    <w:rsid w:val="00AA29BD"/>
    <w:rsid w:val="00AA2BE2"/>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09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60"/>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A47"/>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08"/>
    <w:rsid w:val="00AC79A0"/>
    <w:rsid w:val="00AC7A16"/>
    <w:rsid w:val="00AC7C5A"/>
    <w:rsid w:val="00AC7E54"/>
    <w:rsid w:val="00AD0009"/>
    <w:rsid w:val="00AD012E"/>
    <w:rsid w:val="00AD069D"/>
    <w:rsid w:val="00AD081B"/>
    <w:rsid w:val="00AD084B"/>
    <w:rsid w:val="00AD0A55"/>
    <w:rsid w:val="00AD0C38"/>
    <w:rsid w:val="00AD101C"/>
    <w:rsid w:val="00AD1295"/>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88"/>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D7FC8"/>
    <w:rsid w:val="00AE00E2"/>
    <w:rsid w:val="00AE01CF"/>
    <w:rsid w:val="00AE01E4"/>
    <w:rsid w:val="00AE0677"/>
    <w:rsid w:val="00AE0A3A"/>
    <w:rsid w:val="00AE0C87"/>
    <w:rsid w:val="00AE0DCC"/>
    <w:rsid w:val="00AE1315"/>
    <w:rsid w:val="00AE1842"/>
    <w:rsid w:val="00AE1C39"/>
    <w:rsid w:val="00AE2025"/>
    <w:rsid w:val="00AE2421"/>
    <w:rsid w:val="00AE26DD"/>
    <w:rsid w:val="00AE2A19"/>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7B9"/>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4F6"/>
    <w:rsid w:val="00AF76E1"/>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9D0"/>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510E"/>
    <w:rsid w:val="00B05139"/>
    <w:rsid w:val="00B052F6"/>
    <w:rsid w:val="00B05423"/>
    <w:rsid w:val="00B05D68"/>
    <w:rsid w:val="00B05FEC"/>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03B"/>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50F"/>
    <w:rsid w:val="00B37757"/>
    <w:rsid w:val="00B37D40"/>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2F34"/>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670"/>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2A"/>
    <w:rsid w:val="00B62FE1"/>
    <w:rsid w:val="00B6392E"/>
    <w:rsid w:val="00B63BA9"/>
    <w:rsid w:val="00B63C03"/>
    <w:rsid w:val="00B64103"/>
    <w:rsid w:val="00B641A2"/>
    <w:rsid w:val="00B6429C"/>
    <w:rsid w:val="00B64AB2"/>
    <w:rsid w:val="00B651FC"/>
    <w:rsid w:val="00B65207"/>
    <w:rsid w:val="00B6522F"/>
    <w:rsid w:val="00B65343"/>
    <w:rsid w:val="00B654FC"/>
    <w:rsid w:val="00B65BE6"/>
    <w:rsid w:val="00B65C8F"/>
    <w:rsid w:val="00B65D39"/>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67"/>
    <w:rsid w:val="00B76260"/>
    <w:rsid w:val="00B76399"/>
    <w:rsid w:val="00B76706"/>
    <w:rsid w:val="00B76966"/>
    <w:rsid w:val="00B76E0E"/>
    <w:rsid w:val="00B76EBD"/>
    <w:rsid w:val="00B76ECE"/>
    <w:rsid w:val="00B77545"/>
    <w:rsid w:val="00B775BE"/>
    <w:rsid w:val="00B776CD"/>
    <w:rsid w:val="00B77801"/>
    <w:rsid w:val="00B80197"/>
    <w:rsid w:val="00B801A8"/>
    <w:rsid w:val="00B80214"/>
    <w:rsid w:val="00B80476"/>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7E4"/>
    <w:rsid w:val="00B97A18"/>
    <w:rsid w:val="00B97B3D"/>
    <w:rsid w:val="00BA015D"/>
    <w:rsid w:val="00BA0229"/>
    <w:rsid w:val="00BA0860"/>
    <w:rsid w:val="00BA0A8E"/>
    <w:rsid w:val="00BA0ECC"/>
    <w:rsid w:val="00BA17E4"/>
    <w:rsid w:val="00BA1A10"/>
    <w:rsid w:val="00BA1B35"/>
    <w:rsid w:val="00BA1B99"/>
    <w:rsid w:val="00BA1C72"/>
    <w:rsid w:val="00BA1C8A"/>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5D8"/>
    <w:rsid w:val="00BA4F29"/>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7246"/>
    <w:rsid w:val="00BA7262"/>
    <w:rsid w:val="00BA7269"/>
    <w:rsid w:val="00BA757B"/>
    <w:rsid w:val="00BA7AAD"/>
    <w:rsid w:val="00BA7AB6"/>
    <w:rsid w:val="00BA7B74"/>
    <w:rsid w:val="00BA7D3A"/>
    <w:rsid w:val="00BB0E11"/>
    <w:rsid w:val="00BB0F25"/>
    <w:rsid w:val="00BB0F4D"/>
    <w:rsid w:val="00BB14D5"/>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618C"/>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F43"/>
    <w:rsid w:val="00C03F48"/>
    <w:rsid w:val="00C03FD8"/>
    <w:rsid w:val="00C04513"/>
    <w:rsid w:val="00C04557"/>
    <w:rsid w:val="00C04CDB"/>
    <w:rsid w:val="00C04DD1"/>
    <w:rsid w:val="00C0502A"/>
    <w:rsid w:val="00C05121"/>
    <w:rsid w:val="00C05248"/>
    <w:rsid w:val="00C056C9"/>
    <w:rsid w:val="00C057EB"/>
    <w:rsid w:val="00C05900"/>
    <w:rsid w:val="00C05AE7"/>
    <w:rsid w:val="00C05BE0"/>
    <w:rsid w:val="00C05EFF"/>
    <w:rsid w:val="00C05FFB"/>
    <w:rsid w:val="00C06179"/>
    <w:rsid w:val="00C06186"/>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21"/>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84F"/>
    <w:rsid w:val="00C17B66"/>
    <w:rsid w:val="00C17DE5"/>
    <w:rsid w:val="00C17E68"/>
    <w:rsid w:val="00C17F3E"/>
    <w:rsid w:val="00C17FB2"/>
    <w:rsid w:val="00C2038C"/>
    <w:rsid w:val="00C208D5"/>
    <w:rsid w:val="00C20B43"/>
    <w:rsid w:val="00C20CAB"/>
    <w:rsid w:val="00C20F7A"/>
    <w:rsid w:val="00C21163"/>
    <w:rsid w:val="00C2128A"/>
    <w:rsid w:val="00C214C5"/>
    <w:rsid w:val="00C214E6"/>
    <w:rsid w:val="00C2151A"/>
    <w:rsid w:val="00C219FD"/>
    <w:rsid w:val="00C21A38"/>
    <w:rsid w:val="00C21C30"/>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3F67"/>
    <w:rsid w:val="00C240BF"/>
    <w:rsid w:val="00C24245"/>
    <w:rsid w:val="00C2479D"/>
    <w:rsid w:val="00C247BF"/>
    <w:rsid w:val="00C24BE2"/>
    <w:rsid w:val="00C24ED1"/>
    <w:rsid w:val="00C24F1D"/>
    <w:rsid w:val="00C24F6C"/>
    <w:rsid w:val="00C25159"/>
    <w:rsid w:val="00C253E2"/>
    <w:rsid w:val="00C25D5F"/>
    <w:rsid w:val="00C26040"/>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810"/>
    <w:rsid w:val="00C3184B"/>
    <w:rsid w:val="00C318E5"/>
    <w:rsid w:val="00C31D95"/>
    <w:rsid w:val="00C31DE4"/>
    <w:rsid w:val="00C31FBA"/>
    <w:rsid w:val="00C323D1"/>
    <w:rsid w:val="00C32576"/>
    <w:rsid w:val="00C325F9"/>
    <w:rsid w:val="00C32AFA"/>
    <w:rsid w:val="00C32C12"/>
    <w:rsid w:val="00C32C39"/>
    <w:rsid w:val="00C32E32"/>
    <w:rsid w:val="00C33439"/>
    <w:rsid w:val="00C33DAD"/>
    <w:rsid w:val="00C348C9"/>
    <w:rsid w:val="00C349B8"/>
    <w:rsid w:val="00C34A49"/>
    <w:rsid w:val="00C34BAA"/>
    <w:rsid w:val="00C34F1C"/>
    <w:rsid w:val="00C35415"/>
    <w:rsid w:val="00C354E3"/>
    <w:rsid w:val="00C355EB"/>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F89"/>
    <w:rsid w:val="00C41695"/>
    <w:rsid w:val="00C41B04"/>
    <w:rsid w:val="00C41D69"/>
    <w:rsid w:val="00C41F7A"/>
    <w:rsid w:val="00C42042"/>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831"/>
    <w:rsid w:val="00C47A2C"/>
    <w:rsid w:val="00C47AA1"/>
    <w:rsid w:val="00C47C2D"/>
    <w:rsid w:val="00C47CC5"/>
    <w:rsid w:val="00C47EA2"/>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1B"/>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12E0"/>
    <w:rsid w:val="00C61516"/>
    <w:rsid w:val="00C61646"/>
    <w:rsid w:val="00C616E3"/>
    <w:rsid w:val="00C61856"/>
    <w:rsid w:val="00C618C3"/>
    <w:rsid w:val="00C61916"/>
    <w:rsid w:val="00C619ED"/>
    <w:rsid w:val="00C61E6A"/>
    <w:rsid w:val="00C62091"/>
    <w:rsid w:val="00C62171"/>
    <w:rsid w:val="00C622F5"/>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AAB"/>
    <w:rsid w:val="00C76BB9"/>
    <w:rsid w:val="00C76C31"/>
    <w:rsid w:val="00C76E57"/>
    <w:rsid w:val="00C770CE"/>
    <w:rsid w:val="00C7724F"/>
    <w:rsid w:val="00C77281"/>
    <w:rsid w:val="00C777A7"/>
    <w:rsid w:val="00C777E9"/>
    <w:rsid w:val="00C77804"/>
    <w:rsid w:val="00C80A72"/>
    <w:rsid w:val="00C80AF3"/>
    <w:rsid w:val="00C8110D"/>
    <w:rsid w:val="00C81331"/>
    <w:rsid w:val="00C81975"/>
    <w:rsid w:val="00C81BF0"/>
    <w:rsid w:val="00C82540"/>
    <w:rsid w:val="00C82624"/>
    <w:rsid w:val="00C82A00"/>
    <w:rsid w:val="00C82EBF"/>
    <w:rsid w:val="00C82ED3"/>
    <w:rsid w:val="00C82FB5"/>
    <w:rsid w:val="00C83405"/>
    <w:rsid w:val="00C83613"/>
    <w:rsid w:val="00C83958"/>
    <w:rsid w:val="00C83F9A"/>
    <w:rsid w:val="00C84324"/>
    <w:rsid w:val="00C8434D"/>
    <w:rsid w:val="00C84898"/>
    <w:rsid w:val="00C848A0"/>
    <w:rsid w:val="00C84A98"/>
    <w:rsid w:val="00C84AE5"/>
    <w:rsid w:val="00C84D61"/>
    <w:rsid w:val="00C850F8"/>
    <w:rsid w:val="00C85145"/>
    <w:rsid w:val="00C85608"/>
    <w:rsid w:val="00C85B6F"/>
    <w:rsid w:val="00C86183"/>
    <w:rsid w:val="00C86245"/>
    <w:rsid w:val="00C86370"/>
    <w:rsid w:val="00C867AE"/>
    <w:rsid w:val="00C867E1"/>
    <w:rsid w:val="00C86D7B"/>
    <w:rsid w:val="00C86EEC"/>
    <w:rsid w:val="00C87318"/>
    <w:rsid w:val="00C875F0"/>
    <w:rsid w:val="00C8771A"/>
    <w:rsid w:val="00C87C1D"/>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0C9"/>
    <w:rsid w:val="00C93579"/>
    <w:rsid w:val="00C937E9"/>
    <w:rsid w:val="00C93A91"/>
    <w:rsid w:val="00C93C2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94"/>
    <w:rsid w:val="00CA23ED"/>
    <w:rsid w:val="00CA24D9"/>
    <w:rsid w:val="00CA2EE2"/>
    <w:rsid w:val="00CA326D"/>
    <w:rsid w:val="00CA3AD1"/>
    <w:rsid w:val="00CA3CDD"/>
    <w:rsid w:val="00CA3DCC"/>
    <w:rsid w:val="00CA404F"/>
    <w:rsid w:val="00CA463C"/>
    <w:rsid w:val="00CA4733"/>
    <w:rsid w:val="00CA474B"/>
    <w:rsid w:val="00CA4760"/>
    <w:rsid w:val="00CA4863"/>
    <w:rsid w:val="00CA4C2D"/>
    <w:rsid w:val="00CA4C6A"/>
    <w:rsid w:val="00CA51C3"/>
    <w:rsid w:val="00CA5B28"/>
    <w:rsid w:val="00CA5CEA"/>
    <w:rsid w:val="00CA5D19"/>
    <w:rsid w:val="00CA633D"/>
    <w:rsid w:val="00CA63D9"/>
    <w:rsid w:val="00CA6759"/>
    <w:rsid w:val="00CA76F9"/>
    <w:rsid w:val="00CA7700"/>
    <w:rsid w:val="00CA7755"/>
    <w:rsid w:val="00CA776B"/>
    <w:rsid w:val="00CA7A40"/>
    <w:rsid w:val="00CA7AA0"/>
    <w:rsid w:val="00CA7BAC"/>
    <w:rsid w:val="00CA7D9A"/>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06"/>
    <w:rsid w:val="00CD64C9"/>
    <w:rsid w:val="00CD6540"/>
    <w:rsid w:val="00CD6703"/>
    <w:rsid w:val="00CD6A12"/>
    <w:rsid w:val="00CD6DD4"/>
    <w:rsid w:val="00CD730B"/>
    <w:rsid w:val="00CD7314"/>
    <w:rsid w:val="00CD7479"/>
    <w:rsid w:val="00CD756A"/>
    <w:rsid w:val="00CD7AB0"/>
    <w:rsid w:val="00CD7B9F"/>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52"/>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572"/>
    <w:rsid w:val="00CE76EE"/>
    <w:rsid w:val="00CE7B52"/>
    <w:rsid w:val="00CE7E70"/>
    <w:rsid w:val="00CF0243"/>
    <w:rsid w:val="00CF02A7"/>
    <w:rsid w:val="00CF02FB"/>
    <w:rsid w:val="00CF0607"/>
    <w:rsid w:val="00CF0D39"/>
    <w:rsid w:val="00CF0E85"/>
    <w:rsid w:val="00CF0FAC"/>
    <w:rsid w:val="00CF0FFE"/>
    <w:rsid w:val="00CF101F"/>
    <w:rsid w:val="00CF132F"/>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B45"/>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D17"/>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6E6"/>
    <w:rsid w:val="00D25773"/>
    <w:rsid w:val="00D257D5"/>
    <w:rsid w:val="00D25CBB"/>
    <w:rsid w:val="00D25CCA"/>
    <w:rsid w:val="00D26150"/>
    <w:rsid w:val="00D2641F"/>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F54"/>
    <w:rsid w:val="00D3320F"/>
    <w:rsid w:val="00D3343E"/>
    <w:rsid w:val="00D334D5"/>
    <w:rsid w:val="00D33919"/>
    <w:rsid w:val="00D33AAD"/>
    <w:rsid w:val="00D33B8B"/>
    <w:rsid w:val="00D34189"/>
    <w:rsid w:val="00D34367"/>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0A"/>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7C5"/>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BC"/>
    <w:rsid w:val="00D579A6"/>
    <w:rsid w:val="00D579CC"/>
    <w:rsid w:val="00D57A73"/>
    <w:rsid w:val="00D57D22"/>
    <w:rsid w:val="00D60235"/>
    <w:rsid w:val="00D60339"/>
    <w:rsid w:val="00D6035A"/>
    <w:rsid w:val="00D6053E"/>
    <w:rsid w:val="00D60564"/>
    <w:rsid w:val="00D6083C"/>
    <w:rsid w:val="00D6088B"/>
    <w:rsid w:val="00D60C5B"/>
    <w:rsid w:val="00D60EED"/>
    <w:rsid w:val="00D60F21"/>
    <w:rsid w:val="00D615AD"/>
    <w:rsid w:val="00D617CC"/>
    <w:rsid w:val="00D61820"/>
    <w:rsid w:val="00D6183D"/>
    <w:rsid w:val="00D61A02"/>
    <w:rsid w:val="00D62208"/>
    <w:rsid w:val="00D625F2"/>
    <w:rsid w:val="00D62AAF"/>
    <w:rsid w:val="00D62B8A"/>
    <w:rsid w:val="00D634A7"/>
    <w:rsid w:val="00D634E9"/>
    <w:rsid w:val="00D636AA"/>
    <w:rsid w:val="00D63CDA"/>
    <w:rsid w:val="00D643C5"/>
    <w:rsid w:val="00D64791"/>
    <w:rsid w:val="00D647D7"/>
    <w:rsid w:val="00D6480C"/>
    <w:rsid w:val="00D64A46"/>
    <w:rsid w:val="00D64B5A"/>
    <w:rsid w:val="00D64CE8"/>
    <w:rsid w:val="00D64F53"/>
    <w:rsid w:val="00D65064"/>
    <w:rsid w:val="00D6563A"/>
    <w:rsid w:val="00D656B9"/>
    <w:rsid w:val="00D65BA6"/>
    <w:rsid w:val="00D65E4D"/>
    <w:rsid w:val="00D66132"/>
    <w:rsid w:val="00D66287"/>
    <w:rsid w:val="00D662C9"/>
    <w:rsid w:val="00D665A3"/>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10"/>
    <w:rsid w:val="00D87A6E"/>
    <w:rsid w:val="00D87EAA"/>
    <w:rsid w:val="00D900EF"/>
    <w:rsid w:val="00D90555"/>
    <w:rsid w:val="00D907B3"/>
    <w:rsid w:val="00D9089A"/>
    <w:rsid w:val="00D90932"/>
    <w:rsid w:val="00D90C91"/>
    <w:rsid w:val="00D90CD2"/>
    <w:rsid w:val="00D912E6"/>
    <w:rsid w:val="00D913F5"/>
    <w:rsid w:val="00D91D74"/>
    <w:rsid w:val="00D91E52"/>
    <w:rsid w:val="00D91E68"/>
    <w:rsid w:val="00D9201D"/>
    <w:rsid w:val="00D925AB"/>
    <w:rsid w:val="00D92877"/>
    <w:rsid w:val="00D9294C"/>
    <w:rsid w:val="00D92A24"/>
    <w:rsid w:val="00D92BFF"/>
    <w:rsid w:val="00D92DE5"/>
    <w:rsid w:val="00D92F09"/>
    <w:rsid w:val="00D930B9"/>
    <w:rsid w:val="00D937F1"/>
    <w:rsid w:val="00D93FD0"/>
    <w:rsid w:val="00D940D6"/>
    <w:rsid w:val="00D941A4"/>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BB"/>
    <w:rsid w:val="00DA09AF"/>
    <w:rsid w:val="00DA09D2"/>
    <w:rsid w:val="00DA0B44"/>
    <w:rsid w:val="00DA14F6"/>
    <w:rsid w:val="00DA1801"/>
    <w:rsid w:val="00DA1803"/>
    <w:rsid w:val="00DA1923"/>
    <w:rsid w:val="00DA1F2D"/>
    <w:rsid w:val="00DA1F83"/>
    <w:rsid w:val="00DA2176"/>
    <w:rsid w:val="00DA2223"/>
    <w:rsid w:val="00DA22ED"/>
    <w:rsid w:val="00DA24E6"/>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281"/>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4022"/>
    <w:rsid w:val="00DD419B"/>
    <w:rsid w:val="00DD42BA"/>
    <w:rsid w:val="00DD453D"/>
    <w:rsid w:val="00DD4556"/>
    <w:rsid w:val="00DD473F"/>
    <w:rsid w:val="00DD478F"/>
    <w:rsid w:val="00DD4901"/>
    <w:rsid w:val="00DD49C0"/>
    <w:rsid w:val="00DD49E2"/>
    <w:rsid w:val="00DD4BE6"/>
    <w:rsid w:val="00DD513E"/>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3D"/>
    <w:rsid w:val="00E03549"/>
    <w:rsid w:val="00E03709"/>
    <w:rsid w:val="00E0370A"/>
    <w:rsid w:val="00E03898"/>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DD8"/>
    <w:rsid w:val="00E07E21"/>
    <w:rsid w:val="00E07E9C"/>
    <w:rsid w:val="00E07EB8"/>
    <w:rsid w:val="00E07F78"/>
    <w:rsid w:val="00E1015B"/>
    <w:rsid w:val="00E10385"/>
    <w:rsid w:val="00E103F8"/>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35"/>
    <w:rsid w:val="00E13EF6"/>
    <w:rsid w:val="00E143C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5"/>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37"/>
    <w:rsid w:val="00E630DE"/>
    <w:rsid w:val="00E635A3"/>
    <w:rsid w:val="00E6372E"/>
    <w:rsid w:val="00E637E2"/>
    <w:rsid w:val="00E63FEC"/>
    <w:rsid w:val="00E64107"/>
    <w:rsid w:val="00E6462F"/>
    <w:rsid w:val="00E64C05"/>
    <w:rsid w:val="00E64EF3"/>
    <w:rsid w:val="00E64F2A"/>
    <w:rsid w:val="00E65083"/>
    <w:rsid w:val="00E653A1"/>
    <w:rsid w:val="00E654F0"/>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357"/>
    <w:rsid w:val="00E674BF"/>
    <w:rsid w:val="00E67998"/>
    <w:rsid w:val="00E67BA0"/>
    <w:rsid w:val="00E67E01"/>
    <w:rsid w:val="00E70014"/>
    <w:rsid w:val="00E701EB"/>
    <w:rsid w:val="00E7034D"/>
    <w:rsid w:val="00E703D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37C"/>
    <w:rsid w:val="00E73745"/>
    <w:rsid w:val="00E73865"/>
    <w:rsid w:val="00E73A7D"/>
    <w:rsid w:val="00E73BF9"/>
    <w:rsid w:val="00E74064"/>
    <w:rsid w:val="00E740BA"/>
    <w:rsid w:val="00E74148"/>
    <w:rsid w:val="00E74228"/>
    <w:rsid w:val="00E748C5"/>
    <w:rsid w:val="00E74BA6"/>
    <w:rsid w:val="00E74ED0"/>
    <w:rsid w:val="00E750C5"/>
    <w:rsid w:val="00E75156"/>
    <w:rsid w:val="00E75422"/>
    <w:rsid w:val="00E75467"/>
    <w:rsid w:val="00E75947"/>
    <w:rsid w:val="00E7596A"/>
    <w:rsid w:val="00E759B2"/>
    <w:rsid w:val="00E75B45"/>
    <w:rsid w:val="00E75FC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98B"/>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6BB"/>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485"/>
    <w:rsid w:val="00E97584"/>
    <w:rsid w:val="00E9772C"/>
    <w:rsid w:val="00E97795"/>
    <w:rsid w:val="00E977AA"/>
    <w:rsid w:val="00E977DB"/>
    <w:rsid w:val="00E97864"/>
    <w:rsid w:val="00E97D5E"/>
    <w:rsid w:val="00E97E68"/>
    <w:rsid w:val="00EA0241"/>
    <w:rsid w:val="00EA045F"/>
    <w:rsid w:val="00EA04DA"/>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7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5B73"/>
    <w:rsid w:val="00EA6602"/>
    <w:rsid w:val="00EA6ECA"/>
    <w:rsid w:val="00EA700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AF8"/>
    <w:rsid w:val="00EB5B9D"/>
    <w:rsid w:val="00EB68EF"/>
    <w:rsid w:val="00EB6B54"/>
    <w:rsid w:val="00EB6BF9"/>
    <w:rsid w:val="00EB7333"/>
    <w:rsid w:val="00EB749E"/>
    <w:rsid w:val="00EB74A6"/>
    <w:rsid w:val="00EB76E7"/>
    <w:rsid w:val="00EB7788"/>
    <w:rsid w:val="00EB7AE0"/>
    <w:rsid w:val="00EB7EDD"/>
    <w:rsid w:val="00EB7EF5"/>
    <w:rsid w:val="00EB7F52"/>
    <w:rsid w:val="00EB7FF5"/>
    <w:rsid w:val="00EC01B0"/>
    <w:rsid w:val="00EC02E9"/>
    <w:rsid w:val="00EC0667"/>
    <w:rsid w:val="00EC0743"/>
    <w:rsid w:val="00EC094E"/>
    <w:rsid w:val="00EC0B35"/>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643"/>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AD"/>
    <w:rsid w:val="00EE5ADD"/>
    <w:rsid w:val="00EE5D24"/>
    <w:rsid w:val="00EE5F0D"/>
    <w:rsid w:val="00EE623A"/>
    <w:rsid w:val="00EE664D"/>
    <w:rsid w:val="00EE67DD"/>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BB"/>
    <w:rsid w:val="00F00AD5"/>
    <w:rsid w:val="00F00B17"/>
    <w:rsid w:val="00F0135A"/>
    <w:rsid w:val="00F01A65"/>
    <w:rsid w:val="00F02197"/>
    <w:rsid w:val="00F0219B"/>
    <w:rsid w:val="00F023D8"/>
    <w:rsid w:val="00F02440"/>
    <w:rsid w:val="00F02465"/>
    <w:rsid w:val="00F02500"/>
    <w:rsid w:val="00F02759"/>
    <w:rsid w:val="00F027C0"/>
    <w:rsid w:val="00F02862"/>
    <w:rsid w:val="00F02901"/>
    <w:rsid w:val="00F037F9"/>
    <w:rsid w:val="00F03837"/>
    <w:rsid w:val="00F03934"/>
    <w:rsid w:val="00F03A8E"/>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10EE"/>
    <w:rsid w:val="00F11159"/>
    <w:rsid w:val="00F11195"/>
    <w:rsid w:val="00F11230"/>
    <w:rsid w:val="00F11A18"/>
    <w:rsid w:val="00F11C38"/>
    <w:rsid w:val="00F11F62"/>
    <w:rsid w:val="00F12941"/>
    <w:rsid w:val="00F12BFC"/>
    <w:rsid w:val="00F12E19"/>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DAA"/>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1"/>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437D"/>
    <w:rsid w:val="00F34561"/>
    <w:rsid w:val="00F34622"/>
    <w:rsid w:val="00F34AA8"/>
    <w:rsid w:val="00F34ADB"/>
    <w:rsid w:val="00F35160"/>
    <w:rsid w:val="00F351CA"/>
    <w:rsid w:val="00F35587"/>
    <w:rsid w:val="00F35A7F"/>
    <w:rsid w:val="00F35FE0"/>
    <w:rsid w:val="00F36149"/>
    <w:rsid w:val="00F3623A"/>
    <w:rsid w:val="00F36674"/>
    <w:rsid w:val="00F36729"/>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5"/>
    <w:rsid w:val="00F619A9"/>
    <w:rsid w:val="00F61CC0"/>
    <w:rsid w:val="00F61DDA"/>
    <w:rsid w:val="00F62114"/>
    <w:rsid w:val="00F623A6"/>
    <w:rsid w:val="00F623D5"/>
    <w:rsid w:val="00F624BA"/>
    <w:rsid w:val="00F62577"/>
    <w:rsid w:val="00F62583"/>
    <w:rsid w:val="00F62986"/>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15E"/>
    <w:rsid w:val="00F81434"/>
    <w:rsid w:val="00F81457"/>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6F7B"/>
    <w:rsid w:val="00F875D2"/>
    <w:rsid w:val="00F8769A"/>
    <w:rsid w:val="00F8769C"/>
    <w:rsid w:val="00F876CC"/>
    <w:rsid w:val="00F876E5"/>
    <w:rsid w:val="00F87AA6"/>
    <w:rsid w:val="00F87F8A"/>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4395"/>
    <w:rsid w:val="00F945E0"/>
    <w:rsid w:val="00F94837"/>
    <w:rsid w:val="00F9484E"/>
    <w:rsid w:val="00F94BDC"/>
    <w:rsid w:val="00F954AB"/>
    <w:rsid w:val="00F95666"/>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2708"/>
    <w:rsid w:val="00FA2727"/>
    <w:rsid w:val="00FA2771"/>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7C5"/>
    <w:rsid w:val="00FB7934"/>
    <w:rsid w:val="00FB7B97"/>
    <w:rsid w:val="00FB7EF3"/>
    <w:rsid w:val="00FB7F6F"/>
    <w:rsid w:val="00FC0004"/>
    <w:rsid w:val="00FC0013"/>
    <w:rsid w:val="00FC00FE"/>
    <w:rsid w:val="00FC0193"/>
    <w:rsid w:val="00FC0D0E"/>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B0"/>
    <w:rsid w:val="00FC64F6"/>
    <w:rsid w:val="00FC656F"/>
    <w:rsid w:val="00FC672F"/>
    <w:rsid w:val="00FC6C6D"/>
    <w:rsid w:val="00FC6C8E"/>
    <w:rsid w:val="00FC6CCF"/>
    <w:rsid w:val="00FC720C"/>
    <w:rsid w:val="00FC73EB"/>
    <w:rsid w:val="00FD01AF"/>
    <w:rsid w:val="00FD0BB7"/>
    <w:rsid w:val="00FD0CD2"/>
    <w:rsid w:val="00FD0E43"/>
    <w:rsid w:val="00FD0F39"/>
    <w:rsid w:val="00FD1555"/>
    <w:rsid w:val="00FD15B5"/>
    <w:rsid w:val="00FD1856"/>
    <w:rsid w:val="00FD1BD1"/>
    <w:rsid w:val="00FD1EA3"/>
    <w:rsid w:val="00FD1FBF"/>
    <w:rsid w:val="00FD2054"/>
    <w:rsid w:val="00FD20D6"/>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445"/>
    <w:rsid w:val="00FD7AF4"/>
    <w:rsid w:val="00FD7B19"/>
    <w:rsid w:val="00FD7FD1"/>
    <w:rsid w:val="00FE00A5"/>
    <w:rsid w:val="00FE00B6"/>
    <w:rsid w:val="00FE00BC"/>
    <w:rsid w:val="00FE03D6"/>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6DD"/>
    <w:rsid w:val="00FE7B92"/>
    <w:rsid w:val="00FF0004"/>
    <w:rsid w:val="00FF0264"/>
    <w:rsid w:val="00FF037E"/>
    <w:rsid w:val="00FF04A0"/>
    <w:rsid w:val="00FF082C"/>
    <w:rsid w:val="00FF0A08"/>
    <w:rsid w:val="00FF0BD3"/>
    <w:rsid w:val="00FF0FD8"/>
    <w:rsid w:val="00FF100D"/>
    <w:rsid w:val="00FF1015"/>
    <w:rsid w:val="00FF1171"/>
    <w:rsid w:val="00FF1278"/>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26"/>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DE6"/>
    <w:rsid w:val="00FF6F78"/>
    <w:rsid w:val="00FF6FBA"/>
    <w:rsid w:val="00FF7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1D34BE2A"/>
  <w15:docId w15:val="{E15034B2-1450-411F-AA24-B4BD4F98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0">
    <w:name w:val="Char Char Char"/>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
    <w:name w:val="Char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uiPriority w:val="99"/>
    <w:qForma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aliases w:val="Dot pt,F5 List Paragraph,List Paragraph1,No Spacing1,List Paragraph Char Char Char,Indicator Text,Numbered Para 1,Bullet Points,MAIN CONTENT,List Paragraph11,List Paragraph12,List Paragraph2,OBC Bullet,L,Bullet 1"/>
    <w:basedOn w:val="Normal"/>
    <w:link w:val="ListParagraphChar"/>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BVI fnr Char,Appel note de bas de p.;BVI fnr Car Car Car Car, BVI fnr Car Car, BVI fnr Car Car Car Car, BVI fnr Car Car Car Car Char, BVI fn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rPr>
  </w:style>
  <w:style w:type="paragraph" w:customStyle="1" w:styleId="LTTBody1">
    <w:name w:val="LTT Body 1"/>
    <w:basedOn w:val="Normal"/>
    <w:qFormat/>
    <w:rsid w:val="00E43615"/>
    <w:pPr>
      <w:numPr>
        <w:numId w:val="36"/>
      </w:numPr>
      <w:spacing w:after="0"/>
      <w:jc w:val="left"/>
    </w:pPr>
    <w:rPr>
      <w:rFonts w:ascii="Calibri" w:hAnsi="Calibri" w:cs="Calibri"/>
      <w:sz w:val="28"/>
      <w:szCs w:val="28"/>
    </w:rPr>
  </w:style>
  <w:style w:type="character" w:customStyle="1" w:styleId="FodnotetekstTegnTegnTegnTegnTegnTegnTegnCharCharChar">
    <w:name w:val="Fodnotetekst Tegn Tegn Tegn Tegn Tegn Tegn Tegn Char Char Char"/>
    <w:aliases w:val="Fodnotetekst Tegn Tegn Tegn Tegn Tegn Tegn Tegn Char Char Char Char Char,Fodnotetekst Tegn Tegn Tegn Tegn Tegn Tegn Tegn Char,ft Char"/>
    <w:uiPriority w:val="99"/>
    <w:rsid w:val="00494A36"/>
    <w:rPr>
      <w:rFonts w:ascii="Times New Roman" w:eastAsia="Times New Roman" w:hAnsi="Times New Roman" w:cs="Times New Roman"/>
      <w:sz w:val="20"/>
      <w:szCs w:val="20"/>
      <w:lang w:val="fr-FR"/>
    </w:rPr>
  </w:style>
  <w:style w:type="character" w:customStyle="1" w:styleId="ListParagraphChar">
    <w:name w:val="List Paragraph Char"/>
    <w:aliases w:val="Dot pt Char,F5 List Paragraph Char,List Paragraph1 Char,No Spacing1 Char,List Paragraph Char Char Char Char,Indicator Text Char,Numbered Para 1 Char,Bullet Points Char,MAIN CONTENT Char,List Paragraph11 Char,List Paragraph12 Char"/>
    <w:link w:val="ListParagraph"/>
    <w:uiPriority w:val="34"/>
    <w:locked/>
    <w:rsid w:val="00494A36"/>
    <w:rPr>
      <w:rFonts w:ascii="Calibri" w:eastAsia="Calibri" w:hAnsi="Calibr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865856">
      <w:bodyDiv w:val="1"/>
      <w:marLeft w:val="0"/>
      <w:marRight w:val="0"/>
      <w:marTop w:val="0"/>
      <w:marBottom w:val="0"/>
      <w:divBdr>
        <w:top w:val="none" w:sz="0" w:space="0" w:color="auto"/>
        <w:left w:val="none" w:sz="0" w:space="0" w:color="auto"/>
        <w:bottom w:val="none" w:sz="0" w:space="0" w:color="auto"/>
        <w:right w:val="none" w:sz="0" w:space="0" w:color="auto"/>
      </w:divBdr>
    </w:div>
    <w:div w:id="916479106">
      <w:bodyDiv w:val="1"/>
      <w:marLeft w:val="0"/>
      <w:marRight w:val="0"/>
      <w:marTop w:val="0"/>
      <w:marBottom w:val="0"/>
      <w:divBdr>
        <w:top w:val="none" w:sz="0" w:space="0" w:color="auto"/>
        <w:left w:val="none" w:sz="0" w:space="0" w:color="auto"/>
        <w:bottom w:val="none" w:sz="0" w:space="0" w:color="auto"/>
        <w:right w:val="none" w:sz="0" w:space="0" w:color="auto"/>
      </w:divBdr>
    </w:div>
    <w:div w:id="1524126855">
      <w:bodyDiv w:val="1"/>
      <w:marLeft w:val="0"/>
      <w:marRight w:val="0"/>
      <w:marTop w:val="0"/>
      <w:marBottom w:val="0"/>
      <w:divBdr>
        <w:top w:val="none" w:sz="0" w:space="0" w:color="auto"/>
        <w:left w:val="none" w:sz="0" w:space="0" w:color="auto"/>
        <w:bottom w:val="none" w:sz="0" w:space="0" w:color="auto"/>
        <w:right w:val="none" w:sz="0" w:space="0" w:color="auto"/>
      </w:divBdr>
    </w:div>
    <w:div w:id="196006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Status xmlns="d263b782-df17-406e-a14d-23f02ff98c36">Not Started</EC_Collab_Status>
    <EC_Collab_Reference xmlns="d263b782-df17-406e-a14d-23f02ff98c36" xsi:nil="true"/>
    <EC_ARES_TRANSFERRED_BY xmlns="d263b782-df17-406e-a14d-23f02ff98c36" xsi:nil="true"/>
    <EC_ARES_DATE_TRANSFERRED xmlns="d263b782-df17-406e-a14d-23f02ff98c36" xsi:nil="true"/>
    <EC_ARES_NUMBER xmlns="d263b782-df17-406e-a14d-23f02ff98c36">
      <Url xsi:nil="true"/>
      <Description xsi:nil="true"/>
    </EC_ARES_NUMBER>
    <EC_Collab_DocumentLanguage xmlns="d263b782-df17-406e-a14d-23f02ff98c36">EN</EC_Collab_DocumentLanguage>
    <_dlc_DocId xmlns="b9a1bbf4-3872-40cb-a1a3-b88a292b9176">NHRUTF4F6DR2-1057533941-6887</_dlc_DocId>
    <_dlc_DocIdUrl xmlns="b9a1bbf4-3872-40cb-a1a3-b88a292b9176">
      <Url>https://myintracomm-collab.ec.europa.eu/dg/budg/GRIfiches/_layouts/15/DocIdRedir.aspx?ID=NHRUTF4F6DR2-1057533941-6887</Url>
      <Description>NHRUTF4F6DR2-1057533941-6887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56AD53B0573632408C97076259666C45" ma:contentTypeVersion="7" ma:contentTypeDescription="Create a new document in this library." ma:contentTypeScope="" ma:versionID="5472e6050a6a080c610c8f7d23129982">
  <xsd:schema xmlns:xsd="http://www.w3.org/2001/XMLSchema" xmlns:xs="http://www.w3.org/2001/XMLSchema" xmlns:p="http://schemas.microsoft.com/office/2006/metadata/properties" xmlns:ns3="d263b782-df17-406e-a14d-23f02ff98c36" xmlns:ns4="b9a1bbf4-3872-40cb-a1a3-b88a292b9176" xmlns:ns5="118d912a-375e-4e59-9f78-0e591e440620" targetNamespace="http://schemas.microsoft.com/office/2006/metadata/properties" ma:root="true" ma:fieldsID="b4613647f9118e14c930fea0a21af656" ns3:_="" ns4:_="" ns5:_="">
    <xsd:import namespace="d263b782-df17-406e-a14d-23f02ff98c36"/>
    <xsd:import namespace="b9a1bbf4-3872-40cb-a1a3-b88a292b9176"/>
    <xsd:import namespace="118d912a-375e-4e59-9f78-0e591e440620"/>
    <xsd:element name="properties">
      <xsd:complexType>
        <xsd:sequence>
          <xsd:element name="documentManagement">
            <xsd:complexType>
              <xsd:all>
                <xsd:element ref="ns3:EC_Collab_Reference" minOccurs="0"/>
                <xsd:element ref="ns3:EC_Collab_DocumentLanguage"/>
                <xsd:element ref="ns3:EC_Collab_Status"/>
                <xsd:element ref="ns4:_dlc_DocId" minOccurs="0"/>
                <xsd:element ref="ns4:_dlc_DocIdUrl" minOccurs="0"/>
                <xsd:element ref="ns4:_dlc_DocIdPersistId" minOccurs="0"/>
                <xsd:element ref="ns3:EC_ARES_NUMBER" minOccurs="0"/>
                <xsd:element ref="ns3:EC_ARES_DATE_TRANSFERRED" minOccurs="0"/>
                <xsd:element ref="ns3:EC_ARES_TRANSFERRED_B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3b782-df17-406e-a14d-23f02ff98c3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8"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9" nillable="true" ma:displayName="Transferred to Ares" ma:format="DateTime" ma:hidden="true" ma:internalName="EC_ARES_DATE_TRANSFERRED">
      <xsd:simpleType>
        <xsd:restriction base="dms:DateTime"/>
      </xsd:simpleType>
    </xsd:element>
    <xsd:element name="EC_ARES_TRANSFERRED_BY" ma:index="20"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a1bbf4-3872-40cb-a1a3-b88a292b9176"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d912a-375e-4e59-9f78-0e591e44062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125B7-C88A-4D76-8B3A-CF6617FD7D2A}">
  <ds:schemaRefs>
    <ds:schemaRef ds:uri="http://schemas.microsoft.com/sharepoint/v3/contenttype/forms"/>
  </ds:schemaRefs>
</ds:datastoreItem>
</file>

<file path=customXml/itemProps2.xml><?xml version="1.0" encoding="utf-8"?>
<ds:datastoreItem xmlns:ds="http://schemas.openxmlformats.org/officeDocument/2006/customXml" ds:itemID="{6DDD0135-BFFD-4BFB-AA21-62D758FF660B}">
  <ds:schemaRefs>
    <ds:schemaRef ds:uri="b9a1bbf4-3872-40cb-a1a3-b88a292b9176"/>
    <ds:schemaRef ds:uri="http://purl.org/dc/terms/"/>
    <ds:schemaRef ds:uri="d263b782-df17-406e-a14d-23f02ff98c3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118d912a-375e-4e59-9f78-0e591e440620"/>
    <ds:schemaRef ds:uri="http://www.w3.org/XML/1998/namespace"/>
    <ds:schemaRef ds:uri="http://purl.org/dc/dcmitype/"/>
  </ds:schemaRefs>
</ds:datastoreItem>
</file>

<file path=customXml/itemProps3.xml><?xml version="1.0" encoding="utf-8"?>
<ds:datastoreItem xmlns:ds="http://schemas.openxmlformats.org/officeDocument/2006/customXml" ds:itemID="{1FF7E426-1111-4FD7-A0D4-F51FB8739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3b782-df17-406e-a14d-23f02ff98c36"/>
    <ds:schemaRef ds:uri="b9a1bbf4-3872-40cb-a1a3-b88a292b9176"/>
    <ds:schemaRef ds:uri="118d912a-375e-4e59-9f78-0e591e440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8C2EF9-95E1-4C15-93DE-2762FD361BD2}">
  <ds:schemaRefs>
    <ds:schemaRef ds:uri="http://schemas.microsoft.com/sharepoint/events"/>
  </ds:schemaRefs>
</ds:datastoreItem>
</file>

<file path=customXml/itemProps5.xml><?xml version="1.0" encoding="utf-8"?>
<ds:datastoreItem xmlns:ds="http://schemas.openxmlformats.org/officeDocument/2006/customXml" ds:itemID="{F8D60741-DBA1-4B3A-9422-957DB328B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Template>
  <TotalTime>4</TotalTime>
  <Pages>5</Pages>
  <Words>2573</Words>
  <Characters>14514</Characters>
  <Application>Microsoft Office Word</Application>
  <DocSecurity>0</DocSecurity>
  <PresentationFormat>Microsoft Word 8.0b</PresentationFormat>
  <Lines>216</Lines>
  <Paragraphs>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17046</CharactersWithSpaces>
  <SharedDoc>false</SharedDoc>
  <HLinks>
    <vt:vector size="12" baseType="variant">
      <vt:variant>
        <vt:i4>851996</vt:i4>
      </vt:variant>
      <vt:variant>
        <vt:i4>3</vt:i4>
      </vt:variant>
      <vt:variant>
        <vt:i4>0</vt:i4>
      </vt:variant>
      <vt:variant>
        <vt:i4>5</vt:i4>
      </vt:variant>
      <vt:variant>
        <vt:lpwstr>http://www.europarl.europa.eu/sides/getDoc.do?type=REPORT&amp;mode=XML&amp;reference=A8-2016-0345&amp;language=EN</vt:lpwstr>
      </vt:variant>
      <vt:variant>
        <vt:lpwstr/>
      </vt: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dc:description/>
  <cp:lastModifiedBy>EL SAYD Wafaa (DGT)</cp:lastModifiedBy>
  <cp:revision>5</cp:revision>
  <cp:lastPrinted>2017-11-23T08:27:00Z</cp:lastPrinted>
  <dcterms:created xsi:type="dcterms:W3CDTF">2023-01-03T14:18:00Z</dcterms:created>
  <dcterms:modified xsi:type="dcterms:W3CDTF">2023-02-10T08:37:00Z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ContentTypeId">
    <vt:lpwstr>0x010100258AA79CEB83498886A3A086811232500056AD53B0573632408C97076259666C45</vt:lpwstr>
  </property>
  <property fmtid="{D5CDD505-2E9C-101B-9397-08002B2CF9AE}" pid="14" name="_dlc_DocIdItemGuid">
    <vt:lpwstr>0cf2822e-6392-400c-8fe2-8cd41c99f70d</vt:lpwstr>
  </property>
  <property fmtid="{D5CDD505-2E9C-101B-9397-08002B2CF9AE}" pid="15" name="MSIP_Label_6bd9ddd1-4d20-43f6-abfa-fc3c07406f94_Enabled">
    <vt:lpwstr>true</vt:lpwstr>
  </property>
  <property fmtid="{D5CDD505-2E9C-101B-9397-08002B2CF9AE}" pid="16" name="MSIP_Label_6bd9ddd1-4d20-43f6-abfa-fc3c07406f94_SetDate">
    <vt:lpwstr>2022-12-16T14:15:50Z</vt:lpwstr>
  </property>
  <property fmtid="{D5CDD505-2E9C-101B-9397-08002B2CF9AE}" pid="17" name="MSIP_Label_6bd9ddd1-4d20-43f6-abfa-fc3c07406f94_Method">
    <vt:lpwstr>Standard</vt:lpwstr>
  </property>
  <property fmtid="{D5CDD505-2E9C-101B-9397-08002B2CF9AE}" pid="18" name="MSIP_Label_6bd9ddd1-4d20-43f6-abfa-fc3c07406f94_Name">
    <vt:lpwstr>Commission Use</vt:lpwstr>
  </property>
  <property fmtid="{D5CDD505-2E9C-101B-9397-08002B2CF9AE}" pid="19" name="MSIP_Label_6bd9ddd1-4d20-43f6-abfa-fc3c07406f94_SiteId">
    <vt:lpwstr>b24c8b06-522c-46fe-9080-70926f8dddb1</vt:lpwstr>
  </property>
  <property fmtid="{D5CDD505-2E9C-101B-9397-08002B2CF9AE}" pid="20" name="MSIP_Label_6bd9ddd1-4d20-43f6-abfa-fc3c07406f94_ActionId">
    <vt:lpwstr>802bf576-c7e7-4dd5-8fc2-30df036f03b1</vt:lpwstr>
  </property>
  <property fmtid="{D5CDD505-2E9C-101B-9397-08002B2CF9AE}" pid="21" name="MSIP_Label_6bd9ddd1-4d20-43f6-abfa-fc3c07406f94_ContentBits">
    <vt:lpwstr>0</vt:lpwstr>
  </property>
</Properties>
</file>