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8813" w14:textId="77777777" w:rsidR="00EA5216" w:rsidRPr="0082045D" w:rsidRDefault="00EA5216" w:rsidP="00EA5216">
      <w:pPr>
        <w:spacing w:after="600"/>
        <w:jc w:val="center"/>
        <w:rPr>
          <w:rFonts w:ascii="Times New Roman" w:hAnsi="Times New Roman"/>
          <w:b/>
          <w:bCs/>
        </w:rPr>
      </w:pPr>
      <w:bookmarkStart w:id="0" w:name="rail"/>
      <w:bookmarkStart w:id="1" w:name="NGEU"/>
      <w:r>
        <w:rPr>
          <w:rFonts w:ascii="Times New Roman" w:hAnsi="Times New Roman"/>
          <w:b/>
        </w:rPr>
        <w:t xml:space="preserve">Suite donnée à la résolution non législative du Parlement européen sur le </w:t>
      </w:r>
      <w:r>
        <w:rPr>
          <w:rFonts w:ascii="Times New Roman" w:hAnsi="Times New Roman"/>
          <w:b/>
          <w:color w:val="000000"/>
          <w:shd w:val="clear" w:color="auto" w:fill="FFFFFF"/>
        </w:rPr>
        <w:t>plan d’action visant à développer le transport ferroviaire longue distance et transfrontière de voyageurs</w:t>
      </w:r>
      <w:bookmarkEnd w:id="0"/>
    </w:p>
    <w:bookmarkEnd w:id="1"/>
    <w:p w14:paraId="0FD337F8" w14:textId="77777777" w:rsidR="00EA5216" w:rsidRPr="0082045D" w:rsidRDefault="00EA5216" w:rsidP="00EA5216">
      <w:pPr>
        <w:numPr>
          <w:ilvl w:val="0"/>
          <w:numId w:val="1"/>
        </w:numPr>
        <w:ind w:left="567" w:hanging="567"/>
        <w:rPr>
          <w:rFonts w:ascii="Times New Roman" w:hAnsi="Times New Roman"/>
          <w:i/>
          <w:iCs/>
        </w:rPr>
      </w:pPr>
      <w:r>
        <w:rPr>
          <w:rFonts w:ascii="Times New Roman" w:hAnsi="Times New Roman"/>
          <w:b/>
        </w:rPr>
        <w:t>Rapporteure:</w:t>
      </w:r>
      <w:r>
        <w:rPr>
          <w:rFonts w:ascii="Times New Roman" w:hAnsi="Times New Roman"/>
        </w:rPr>
        <w:t xml:space="preserve"> Annalisa TARDINO (ID/IT)</w:t>
      </w:r>
    </w:p>
    <w:p w14:paraId="3516E143" w14:textId="77777777" w:rsidR="00EA5216" w:rsidRPr="00687CD4" w:rsidRDefault="00EA5216" w:rsidP="00EA5216">
      <w:pPr>
        <w:pStyle w:val="Default"/>
        <w:numPr>
          <w:ilvl w:val="0"/>
          <w:numId w:val="1"/>
        </w:numPr>
        <w:spacing w:after="240"/>
        <w:ind w:left="567" w:hanging="567"/>
        <w:jc w:val="both"/>
        <w:rPr>
          <w:i/>
          <w:iCs/>
          <w:color w:val="auto"/>
        </w:rPr>
      </w:pPr>
      <w:r>
        <w:rPr>
          <w:b/>
          <w:color w:val="auto"/>
        </w:rPr>
        <w:t xml:space="preserve">Numéro de référence: </w:t>
      </w:r>
      <w:r>
        <w:rPr>
          <w:shd w:val="clear" w:color="auto" w:fill="FFFFFF"/>
        </w:rPr>
        <w:t xml:space="preserve">2022/2022 (INI)) </w:t>
      </w:r>
      <w:r>
        <w:t>/</w:t>
      </w:r>
      <w:r>
        <w:rPr>
          <w:color w:val="auto"/>
        </w:rPr>
        <w:t xml:space="preserve"> A9-0242/2022 / </w:t>
      </w:r>
      <w:r>
        <w:rPr>
          <w:color w:val="363636"/>
          <w:shd w:val="clear" w:color="auto" w:fill="FFFFFF"/>
        </w:rPr>
        <w:t>P9_TA(2022)0437</w:t>
      </w:r>
    </w:p>
    <w:p w14:paraId="49CC9BB5" w14:textId="77777777" w:rsidR="00EA5216" w:rsidRPr="00687CD4" w:rsidRDefault="00EA5216" w:rsidP="00EA5216">
      <w:pPr>
        <w:numPr>
          <w:ilvl w:val="0"/>
          <w:numId w:val="1"/>
        </w:numPr>
        <w:ind w:left="567" w:hanging="567"/>
        <w:rPr>
          <w:rFonts w:ascii="Times New Roman" w:hAnsi="Times New Roman"/>
        </w:rPr>
      </w:pPr>
      <w:r>
        <w:rPr>
          <w:rFonts w:ascii="Times New Roman" w:hAnsi="Times New Roman"/>
          <w:b/>
        </w:rPr>
        <w:t>Date d'adoption de la résolution:</w:t>
      </w:r>
      <w:r>
        <w:rPr>
          <w:rFonts w:ascii="Times New Roman" w:hAnsi="Times New Roman"/>
        </w:rPr>
        <w:t xml:space="preserve"> 13 décembre 2022</w:t>
      </w:r>
    </w:p>
    <w:p w14:paraId="497E5CD3" w14:textId="77777777" w:rsidR="00EA5216" w:rsidRPr="00687CD4" w:rsidRDefault="00EA5216" w:rsidP="00EA5216">
      <w:pPr>
        <w:numPr>
          <w:ilvl w:val="0"/>
          <w:numId w:val="1"/>
        </w:numPr>
        <w:ind w:left="567" w:hanging="567"/>
        <w:rPr>
          <w:rFonts w:ascii="Times New Roman" w:hAnsi="Times New Roman"/>
        </w:rPr>
      </w:pPr>
      <w:r>
        <w:rPr>
          <w:rFonts w:ascii="Times New Roman" w:hAnsi="Times New Roman"/>
          <w:b/>
        </w:rPr>
        <w:t xml:space="preserve">Commission parlementaire compétente: </w:t>
      </w:r>
      <w:r>
        <w:rPr>
          <w:rFonts w:ascii="Times New Roman" w:hAnsi="Times New Roman"/>
        </w:rPr>
        <w:t>commission des transports et du tourisme (TRAN)</w:t>
      </w:r>
    </w:p>
    <w:p w14:paraId="0FBBDDFA" w14:textId="77777777" w:rsidR="00EA5216" w:rsidRPr="00687CD4" w:rsidRDefault="00EA5216" w:rsidP="00EA5216">
      <w:pPr>
        <w:widowControl w:val="0"/>
        <w:numPr>
          <w:ilvl w:val="0"/>
          <w:numId w:val="1"/>
        </w:numPr>
        <w:ind w:left="567" w:hanging="567"/>
        <w:rPr>
          <w:rFonts w:ascii="Times New Roman" w:hAnsi="Times New Roman"/>
          <w:b/>
          <w:bCs/>
        </w:rPr>
      </w:pPr>
      <w:r>
        <w:rPr>
          <w:rFonts w:ascii="Times New Roman" w:hAnsi="Times New Roman"/>
          <w:b/>
        </w:rPr>
        <w:t>Analyse/évaluation succincte de la résolution et des demandes qu’elle contient:</w:t>
      </w:r>
    </w:p>
    <w:p w14:paraId="353F72B3" w14:textId="77777777" w:rsidR="00EA5216" w:rsidRPr="00687CD4" w:rsidRDefault="00EA5216" w:rsidP="00EA5216">
      <w:pPr>
        <w:widowControl w:val="0"/>
        <w:spacing w:after="120"/>
        <w:rPr>
          <w:rFonts w:ascii="Times New Roman" w:hAnsi="Times New Roman"/>
        </w:rPr>
      </w:pPr>
      <w:r>
        <w:rPr>
          <w:rFonts w:ascii="Times New Roman" w:hAnsi="Times New Roman"/>
        </w:rPr>
        <w:t>La résolution salue des principaux objectifs du plan d’action de la Commission visant à développer le transport ferroviaire de voyageurs longue distance et transfrontière afin de rendre le transport ferroviaire plus attrayant, plus compétitif et plus efficace. Toutefois, il invite également à plusieurs reprises la Commission à agir:</w:t>
      </w:r>
    </w:p>
    <w:p w14:paraId="5E1FFD50" w14:textId="77777777" w:rsidR="00EA5216" w:rsidRPr="00687CD4" w:rsidRDefault="00EA5216" w:rsidP="00EA5216">
      <w:pPr>
        <w:widowControl w:val="0"/>
        <w:spacing w:after="120"/>
        <w:rPr>
          <w:rFonts w:ascii="Times New Roman" w:hAnsi="Times New Roman"/>
        </w:rPr>
      </w:pPr>
      <w:r w:rsidRPr="00A03234">
        <w:rPr>
          <w:rFonts w:ascii="Times New Roman" w:hAnsi="Times New Roman"/>
        </w:rPr>
        <w:t xml:space="preserve">En ce qui concerne </w:t>
      </w:r>
      <w:r>
        <w:rPr>
          <w:rFonts w:ascii="Times New Roman" w:hAnsi="Times New Roman"/>
          <w:u w:val="single"/>
        </w:rPr>
        <w:t>la mise en place de services transfrontaliers pilotes</w:t>
      </w:r>
      <w:r>
        <w:rPr>
          <w:rFonts w:ascii="Times New Roman" w:hAnsi="Times New Roman"/>
        </w:rPr>
        <w:t>, le Parlement invite la Commission à déterminer dès que possible des ressources à cette fin ainsi qu’à élaborer un calendrier clair avec des étapes et des objectifs appropriés (paragraphe 3);</w:t>
      </w:r>
    </w:p>
    <w:p w14:paraId="0C45E06D"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u w:val="single"/>
        </w:rPr>
        <w:t>déploiement complet du système européen de gestion du trafic ferroviaire</w:t>
      </w:r>
      <w:r>
        <w:rPr>
          <w:rFonts w:ascii="Times New Roman" w:hAnsi="Times New Roman"/>
        </w:rPr>
        <w:t xml:space="preserve"> (ERTMS) (paragraphe 5) pour contribuer à la création d’un espace ferroviaire unique européen numérique, le Parlement se félicite (paragraphe 8) de la proposition de la Commission visant à accélérer le déploiement de l’ERTMS à l’échelle de l’Union dans le cadre de la révision du règlement RTE-T, tout en fixant une échéance pour la mise hors service des systèmes de classe B.</w:t>
      </w:r>
    </w:p>
    <w:p w14:paraId="6FBF5A76" w14:textId="77777777" w:rsidR="00EA5216" w:rsidRPr="00687CD4" w:rsidRDefault="00EA5216" w:rsidP="00EA5216">
      <w:pPr>
        <w:widowControl w:val="0"/>
        <w:spacing w:after="120"/>
        <w:rPr>
          <w:rFonts w:ascii="Times New Roman" w:hAnsi="Times New Roman"/>
        </w:rPr>
      </w:pPr>
      <w:r>
        <w:rPr>
          <w:rFonts w:ascii="Times New Roman" w:hAnsi="Times New Roman"/>
        </w:rPr>
        <w:t>En ce qui concerne l’importance pour l’</w:t>
      </w:r>
      <w:r>
        <w:rPr>
          <w:rFonts w:ascii="Times New Roman" w:hAnsi="Times New Roman"/>
          <w:u w:val="single"/>
        </w:rPr>
        <w:t>ERTMS</w:t>
      </w:r>
      <w:r>
        <w:rPr>
          <w:rFonts w:ascii="Times New Roman" w:hAnsi="Times New Roman"/>
        </w:rPr>
        <w:t xml:space="preserve"> (paragraphe 10), le Parlement souligne l’importance de garantir le déploiement synchronisé du système au sol et des unités embarquées ainsi que la nécessité d’améliorer la gouvernance de l’ERTMS afin de veiller à un tel déploiement synchronisé à l’échelon national et au niveau de l’Union. Il insiste également sur la nécessité de garantir un financement rapide, suffisant et efficace (paragraphe 11) et d’améliorer l’attrait des investissements dans l’ERTMS (paragraphe 13).</w:t>
      </w:r>
    </w:p>
    <w:p w14:paraId="1AFE48CC" w14:textId="77777777" w:rsidR="00EA5216" w:rsidRPr="00687CD4" w:rsidRDefault="00EA5216" w:rsidP="00EA5216">
      <w:pPr>
        <w:widowControl w:val="0"/>
        <w:spacing w:after="120"/>
        <w:rPr>
          <w:rFonts w:ascii="Times New Roman" w:hAnsi="Times New Roman"/>
        </w:rPr>
      </w:pPr>
      <w:r>
        <w:rPr>
          <w:rFonts w:ascii="Times New Roman" w:hAnsi="Times New Roman"/>
        </w:rPr>
        <w:t>En ce qui concerne l’</w:t>
      </w:r>
      <w:r>
        <w:rPr>
          <w:rFonts w:ascii="Times New Roman" w:hAnsi="Times New Roman"/>
          <w:u w:val="single"/>
        </w:rPr>
        <w:t>interopérabilité</w:t>
      </w:r>
      <w:r>
        <w:rPr>
          <w:rFonts w:ascii="Times New Roman" w:hAnsi="Times New Roman"/>
        </w:rPr>
        <w:t xml:space="preserve"> (paragraphe 6), le développement du transport ferroviaire longue distance doit s’accompagner de son intégration dans les différents réseaux ferroviaires interrégionaux, régionaux, urbains et périurbains. En outre, il importe d’accélérer la construction de nouvelles lignes ferroviaires et de continuer à promouvoir l’achèvement des projets d’infrastructure, afin de combler les chaînons manquants existants (paragraphe 7). La résolution demande que des efforts soient entrepris pour étendre à l’échelle de l’Union les horaires coordonnés déjà introduits dans certains États membres, afin de faciliter des déplacements transfrontaliers fluides pour tous les citoyens de l’Union (paragraphe 14).</w:t>
      </w:r>
    </w:p>
    <w:p w14:paraId="283B6B30" w14:textId="77777777" w:rsidR="00EA5216" w:rsidRPr="00687CD4" w:rsidRDefault="00EA5216" w:rsidP="00EA5216">
      <w:pPr>
        <w:widowControl w:val="0"/>
        <w:spacing w:after="120"/>
        <w:rPr>
          <w:rFonts w:ascii="Times New Roman" w:hAnsi="Times New Roman"/>
        </w:rPr>
      </w:pPr>
      <w:r>
        <w:rPr>
          <w:rFonts w:ascii="Times New Roman" w:hAnsi="Times New Roman"/>
        </w:rPr>
        <w:t>En ce qui concerne l’</w:t>
      </w:r>
      <w:r>
        <w:rPr>
          <w:rFonts w:ascii="Times New Roman" w:hAnsi="Times New Roman"/>
          <w:u w:val="single"/>
        </w:rPr>
        <w:t>achèvement du réseau central du RTE-T</w:t>
      </w:r>
      <w:r>
        <w:rPr>
          <w:rFonts w:ascii="Times New Roman" w:hAnsi="Times New Roman"/>
        </w:rPr>
        <w:t xml:space="preserve"> (paragraphe 15), le Parlement demande l’élimination des goulets d’étranglement et des chaînons manquants ainsi que l’achèvement des tronçons transfrontaliers; et les investissements prioritaires devraient également être axés sur le développement de liaisons ferroviaires longue distance transfrontalières à grande vitesse. Il invite la Commission à adopter des actions et projets </w:t>
      </w:r>
      <w:r>
        <w:rPr>
          <w:rFonts w:ascii="Times New Roman" w:hAnsi="Times New Roman"/>
        </w:rPr>
        <w:lastRenderedPageBreak/>
        <w:t>visant à soutenir le développement de la connectivité du transport multimodal durable à l’échelon et du transport ferroviaire dans les zones périphériques et côtières dont la marge de développement est moins élevée (paragraphe 17).</w:t>
      </w:r>
    </w:p>
    <w:p w14:paraId="0A8BE94E"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u w:val="single"/>
        </w:rPr>
        <w:t>liaisons ferroviaires transfrontalières avec les pays de l’élargissement</w:t>
      </w:r>
      <w:r>
        <w:rPr>
          <w:rFonts w:ascii="Times New Roman" w:hAnsi="Times New Roman"/>
        </w:rPr>
        <w:t xml:space="preserve"> (paragraphe 21), la résolution souligne l’importance des liaisons ferroviaires transfrontalières avec la région des Balkans occidentaux et insiste sur l’importance d’un mécanisme efficace et rapide de franchissement des frontières aux frontières extérieures de l’UE avec les pays de l’élargissement.</w:t>
      </w:r>
    </w:p>
    <w:p w14:paraId="34821926"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le </w:t>
      </w:r>
      <w:r>
        <w:rPr>
          <w:rFonts w:ascii="Times New Roman" w:hAnsi="Times New Roman"/>
          <w:u w:val="single"/>
        </w:rPr>
        <w:t>matériel roulant</w:t>
      </w:r>
      <w:r>
        <w:rPr>
          <w:rFonts w:ascii="Times New Roman" w:hAnsi="Times New Roman"/>
        </w:rPr>
        <w:t xml:space="preserve"> (paragraphe 27), le Parlement invite les compagnies ferroviaires à prévoir des commandes suffisantes de matériel roulant à grande vitesse, conformément aux objectifs de la Commission visant à doubler le trafic ferroviaire à grande vitesse d’ici 2040; fait également observer qu’il convient de planifier en temps utile le matériel roulant pour les services de trains de nuit afin de faciliter le retour de ce type de train; attire en outre l’attention sur le fait qu’il convient de veiller à ce que suffisamment de matériel roulant soit disponible en vue du rétablissement prévu des liaisons ferroviaires transfrontalières régionales; demande d’approfondir l’examen et l’évaluation de la possibilité de mettre en place un parc européen de matériel roulant et de poursuivre les discussions avec la Banque européenne d’investissement (BEI) sur les modalités de mise en œuvre (paragraphe 29).</w:t>
      </w:r>
    </w:p>
    <w:p w14:paraId="7E0B890A"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La résolution invite la Commission à surveiller la mise en œuvre des dispositions relatives au </w:t>
      </w:r>
      <w:r>
        <w:rPr>
          <w:rFonts w:ascii="Times New Roman" w:hAnsi="Times New Roman"/>
          <w:u w:val="single"/>
        </w:rPr>
        <w:t>transport des vélos dans les trains de voyageurs transfrontaliers</w:t>
      </w:r>
      <w:r>
        <w:rPr>
          <w:rFonts w:ascii="Times New Roman" w:hAnsi="Times New Roman"/>
        </w:rPr>
        <w:t>, comme le prévoit le règlement sur les droits des voyageurs ferroviaires (paragraphe 35), et à prendre de nouvelles initiatives pour encourager les femmes à exercer des professions dans le secteur ferroviaire (paragraphe 43).</w:t>
      </w:r>
    </w:p>
    <w:p w14:paraId="1B95345A"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la </w:t>
      </w:r>
      <w:r>
        <w:rPr>
          <w:rFonts w:ascii="Times New Roman" w:hAnsi="Times New Roman"/>
          <w:u w:val="single"/>
        </w:rPr>
        <w:t>capacité ferroviaire</w:t>
      </w:r>
      <w:r>
        <w:rPr>
          <w:rFonts w:ascii="Times New Roman" w:hAnsi="Times New Roman"/>
        </w:rPr>
        <w:t xml:space="preserve">, la résolution souligne l’importance de la disponibilité des capacités de l’infrastructure ferroviaire pour accroître la part modale du rail et la nécessité d’améliorer l’efficacité de la répartition des capacités (paragraphes 46 et 50). </w:t>
      </w:r>
      <w:bookmarkStart w:id="2" w:name="_Hlk129619615"/>
      <w:bookmarkEnd w:id="2"/>
      <w:r w:rsidRPr="00235FDE">
        <w:rPr>
          <w:rFonts w:ascii="Times New Roman" w:hAnsi="Times New Roman"/>
        </w:rPr>
        <w:t>Elle encourage la Commission à utiliser l’indice de connectivité qu’elle est en train de mettre au point pour déterminer avec précision les investissements nécessaires dans les infrastructures afin de garantir l’effet de réseau (paragraphe 48).</w:t>
      </w:r>
    </w:p>
    <w:p w14:paraId="460633F1"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u w:val="single"/>
        </w:rPr>
        <w:t>redevances d’accès aux voies</w:t>
      </w:r>
      <w:r>
        <w:rPr>
          <w:rFonts w:ascii="Times New Roman" w:hAnsi="Times New Roman"/>
        </w:rPr>
        <w:t>, le Parlement européen se félicite des projets à venir de la Commission de publier des lignes directrices pour la fixation des redevances d’accès aux voies et d’encourager la réduction de celles-ci pour la mise en place de services transfrontaliers, ainsi que la transparence de leur calcul, et invite la Commission à proposer des recommandations concernant des redevances d’infrastructure spécifiques pour les trains de nuit dans les prochaines lignes directrices (paragraphes 51 et 52).</w:t>
      </w:r>
    </w:p>
    <w:p w14:paraId="770376D2"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la </w:t>
      </w:r>
      <w:r>
        <w:rPr>
          <w:rFonts w:ascii="Times New Roman" w:hAnsi="Times New Roman"/>
          <w:u w:val="single"/>
        </w:rPr>
        <w:t>billetterie et les droits des voyageurs</w:t>
      </w:r>
      <w:r>
        <w:rPr>
          <w:rFonts w:ascii="Times New Roman" w:hAnsi="Times New Roman"/>
        </w:rPr>
        <w:t>, la résolution appelle à un accès aisé à toutes les offres ferroviaires et à une protection appropriée des voyageurs en cas de retard (paragraphe 55), à ce que les billets de train indiquent des informations sur l’empreinte C0</w:t>
      </w:r>
      <w:r>
        <w:rPr>
          <w:rFonts w:ascii="Times New Roman" w:hAnsi="Times New Roman"/>
          <w:vertAlign w:val="subscript"/>
        </w:rPr>
        <w:t>2</w:t>
      </w:r>
      <w:r>
        <w:rPr>
          <w:rFonts w:ascii="Times New Roman" w:hAnsi="Times New Roman"/>
        </w:rPr>
        <w:t xml:space="preserve"> (paragraphe 56) et à continuer de contrôler le respect du nouveau règlement sur les droits des voyageurs ferroviaires (paragraphe 60).</w:t>
      </w:r>
    </w:p>
    <w:p w14:paraId="5AF24110"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En ce qui concerne les </w:t>
      </w:r>
      <w:r>
        <w:rPr>
          <w:rFonts w:ascii="Times New Roman" w:hAnsi="Times New Roman"/>
          <w:u w:val="single"/>
        </w:rPr>
        <w:t>obligations de service public (OSP)</w:t>
      </w:r>
      <w:r>
        <w:rPr>
          <w:rFonts w:ascii="Times New Roman" w:hAnsi="Times New Roman"/>
        </w:rPr>
        <w:t>, le Parlement européen demande d’améliorer le cadre de marché non discriminatoire pour les services commerciaux et d’assurer la continuité des services transfrontaliers, de garantir l’accessibilité des destinations présentant un intérêt et de maintenir un réseau ferroviaire dense, régulier, fiable et de qualité (paragraphes 65 et 66).</w:t>
      </w:r>
    </w:p>
    <w:p w14:paraId="1AB6D683"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Le Parlement européen invite également la Commission et les États membres à </w:t>
      </w:r>
      <w:r>
        <w:rPr>
          <w:rFonts w:ascii="Times New Roman" w:hAnsi="Times New Roman"/>
          <w:u w:val="single"/>
        </w:rPr>
        <w:t xml:space="preserve">encourager </w:t>
      </w:r>
      <w:r>
        <w:rPr>
          <w:rFonts w:ascii="Times New Roman" w:hAnsi="Times New Roman"/>
          <w:u w:val="single"/>
        </w:rPr>
        <w:lastRenderedPageBreak/>
        <w:t>les jeunes à voyager en train et à les attirer vers les métiers du secteur ferroviaire</w:t>
      </w:r>
      <w:r>
        <w:rPr>
          <w:rFonts w:ascii="Times New Roman" w:hAnsi="Times New Roman"/>
        </w:rPr>
        <w:t xml:space="preserve"> (paragraphe 67).</w:t>
      </w:r>
    </w:p>
    <w:p w14:paraId="73500EF1" w14:textId="77777777" w:rsidR="00EA5216" w:rsidRPr="00687CD4" w:rsidRDefault="00EA5216" w:rsidP="00EA5216">
      <w:pPr>
        <w:widowControl w:val="0"/>
        <w:numPr>
          <w:ilvl w:val="0"/>
          <w:numId w:val="1"/>
        </w:numPr>
        <w:ind w:left="567" w:hanging="567"/>
        <w:rPr>
          <w:rFonts w:ascii="Times New Roman" w:hAnsi="Times New Roman"/>
          <w:b/>
          <w:bCs/>
        </w:rPr>
      </w:pPr>
      <w:r>
        <w:rPr>
          <w:rFonts w:ascii="Times New Roman" w:hAnsi="Times New Roman"/>
          <w:b/>
        </w:rPr>
        <w:t xml:space="preserve">Réponse à ces demandes et aperçu des mesures que la Commission a prises ou envisage de prendre: </w:t>
      </w:r>
    </w:p>
    <w:p w14:paraId="615A2BF5"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Services transfrontaliers pilotes</w:t>
      </w:r>
      <w:r>
        <w:rPr>
          <w:rFonts w:ascii="Times New Roman" w:hAnsi="Times New Roman"/>
        </w:rPr>
        <w:t xml:space="preserve"> (paragraphe 3)</w:t>
      </w:r>
    </w:p>
    <w:p w14:paraId="5B55524F" w14:textId="77777777" w:rsidR="00EA5216" w:rsidRPr="00687CD4" w:rsidRDefault="00EA5216" w:rsidP="00EA5216">
      <w:pPr>
        <w:widowControl w:val="0"/>
        <w:spacing w:after="120"/>
        <w:rPr>
          <w:rFonts w:ascii="Times New Roman" w:hAnsi="Times New Roman"/>
        </w:rPr>
      </w:pPr>
      <w:r>
        <w:rPr>
          <w:rFonts w:ascii="Times New Roman" w:hAnsi="Times New Roman"/>
        </w:rPr>
        <w:t>Le 31 janvier 2023, la Commission a annoncé qu’elle soutiendrait 10 services pilotes</w:t>
      </w:r>
      <w:r>
        <w:rPr>
          <w:rStyle w:val="FootnoteReference"/>
          <w:rFonts w:ascii="Times New Roman" w:hAnsi="Times New Roman"/>
        </w:rPr>
        <w:footnoteReference w:id="2"/>
      </w:r>
      <w:r>
        <w:rPr>
          <w:rFonts w:ascii="Times New Roman" w:hAnsi="Times New Roman"/>
        </w:rPr>
        <w:t>. Aucune nouvelle ressource financière ne sera mise à disposition et la Commission aidera les proposants à éliminer les obstacles transfrontaliers. Des réunions de lancement visant à définir des étapes et un calendrier sont en cours de préparation.</w:t>
      </w:r>
    </w:p>
    <w:p w14:paraId="734387A6"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Horaires coordonnés</w:t>
      </w:r>
      <w:r>
        <w:rPr>
          <w:rFonts w:ascii="Times New Roman" w:hAnsi="Times New Roman"/>
        </w:rPr>
        <w:t xml:space="preserve"> (paragraphe 14)</w:t>
      </w:r>
    </w:p>
    <w:p w14:paraId="00B7DB2D" w14:textId="77777777" w:rsidR="00EA5216" w:rsidRPr="00687CD4" w:rsidRDefault="00EA5216" w:rsidP="00EA5216">
      <w:pPr>
        <w:widowControl w:val="0"/>
        <w:spacing w:after="120"/>
        <w:rPr>
          <w:rFonts w:ascii="Times New Roman" w:hAnsi="Times New Roman"/>
        </w:rPr>
      </w:pPr>
      <w:r>
        <w:rPr>
          <w:rFonts w:ascii="Times New Roman" w:hAnsi="Times New Roman"/>
        </w:rPr>
        <w:t>L’évaluation des besoins du marché et la réponse apportée à ceux-ci par la mise en place de services ferroviaires définis par des caractéristiques opérationnelles et de service relèvent de la responsabilité des entreprises ferroviaires et/ou des autorités compétentes. La Commission a connaissance de réseaux qui ont une longue expérience positive en matière d’horaires coordonnés au niveau central (et souvent cadencés) tout en sachant que d’autres solutions peuvent également apporter une réponse adéquate du marché. Quel que soit le modèle utilisé, le respect de la législation de l’UE, notamment en ce qui concerne l’attribution des capacités et le libre accès, doit être garanti. À cet égard, la proposition de révision du cadre de gestion et de répartition des capacités (voir ci-dessous) permettra aux gestionnaires d’infrastructure de mieux prendre en compte les besoins du trafic ferroviaire transfrontalier.</w:t>
      </w:r>
    </w:p>
    <w:p w14:paraId="2860082B" w14:textId="77777777" w:rsidR="00EA5216" w:rsidRPr="00687CD4" w:rsidRDefault="00EA5216" w:rsidP="00EA5216">
      <w:pPr>
        <w:spacing w:after="120"/>
        <w:rPr>
          <w:rFonts w:ascii="Times New Roman" w:hAnsi="Times New Roman"/>
        </w:rPr>
      </w:pPr>
      <w:r>
        <w:rPr>
          <w:rFonts w:ascii="Times New Roman" w:hAnsi="Times New Roman"/>
          <w:u w:val="single"/>
        </w:rPr>
        <w:t>ERTMS</w:t>
      </w:r>
      <w:r>
        <w:rPr>
          <w:rFonts w:ascii="Times New Roman" w:hAnsi="Times New Roman"/>
        </w:rPr>
        <w:t xml:space="preserve"> (paragraphe 5)</w:t>
      </w:r>
    </w:p>
    <w:p w14:paraId="072623A8" w14:textId="77777777" w:rsidR="00EA5216" w:rsidRPr="00687CD4" w:rsidRDefault="00EA5216" w:rsidP="00EA5216">
      <w:pPr>
        <w:spacing w:after="120"/>
        <w:rPr>
          <w:rFonts w:ascii="Times New Roman" w:hAnsi="Times New Roman"/>
        </w:rPr>
      </w:pPr>
      <w:r>
        <w:rPr>
          <w:rFonts w:ascii="Times New Roman" w:hAnsi="Times New Roman"/>
        </w:rPr>
        <w:t>La Commission partage l’avis du Parlement selon lequel l’ERTMS devrait devenir un pilier central du système ferroviaire numérique en Europe. Un délai réglementaire pour la mise hors service des systèmes de classe B au sol devrait venir compléter le déploiement de l’ERTMS, faisant dès lors de ce dernier l’unique système de signalisation employé dans les États membres. Grâce à cette mise hors service des systèmes de classe B au sol, d’importantes économies seront réalisées sur les coûts d’entretien pour les gestionnaires d’infrastructure, car il est très onéreux et compliqué de déployer l’ERTMS tout en conservant des systèmes au sol supplémentaires pendant une période prolongée. Le retrait des systèmes de classe B devrait se faire de manière coordonnée et au cours d’une période de transition suffisamment longue, laissant ainsi une marge aux entreprises ferroviaires pour qu’elles anticipent le changement et adoptent la stratégie de migration la plus adéquate. En tant que système, l’ERTMS requiert un déploiement synchronisé aussi bien au sol qu’à bord, et ce n’est que lorsque les trains et les bords de voie sont équipés que les avantages au niveau de l’ensemble du système se font sentir. Les entreprises ferroviaires, en particulier les opérateurs de fret, mais aussi les opérateurs internationaux de transport de voyageurs, ne peuvent être seules chargées d’équiper leur parc. Il est essentiel d’améliorer le soutien au renouvellement du parc ou au réaménagement des véhicules existants, quelle que soit la solution qui présente un meilleur rapport coûts-avantages dans un contexte donné.</w:t>
      </w:r>
    </w:p>
    <w:p w14:paraId="5D328E54" w14:textId="77777777" w:rsidR="00EA5216" w:rsidRPr="00687CD4" w:rsidRDefault="00EA5216" w:rsidP="00EA5216">
      <w:pPr>
        <w:spacing w:after="120"/>
        <w:rPr>
          <w:rFonts w:ascii="Times New Roman" w:hAnsi="Times New Roman"/>
        </w:rPr>
      </w:pPr>
      <w:r>
        <w:rPr>
          <w:rFonts w:ascii="Times New Roman" w:hAnsi="Times New Roman"/>
        </w:rPr>
        <w:t xml:space="preserve">L’ERTMS bénéficie déjà d’un niveau important de soutien de l’UE. Ce soutien doit être préservé, voire renforcé, afin d’atteindre l’objectif de déploiement de l’ERTMS pour 2030 sur le réseau central défini dans le règlement relatif au réseau transeuropéen de transport (RTE-T) et le nouvel objectif envisagé pour le déploiement de l’ERTMS sur l’ensemble du </w:t>
      </w:r>
      <w:r>
        <w:rPr>
          <w:rFonts w:ascii="Times New Roman" w:hAnsi="Times New Roman"/>
        </w:rPr>
        <w:lastRenderedPageBreak/>
        <w:t>RTE-T d’ici à 2040. Toutefois, le niveau des ressources disponibles au niveau de l’UE dépendra en premier lieu de la volonté des États membres de fournir un financement approprié. La Commission considère que les financements de l’UE devraient contribuer à mobiliser d’autres sources telles que des financements publics et privés nationaux. La Commission partage l’avis selon lequel la gouvernance de l’ERTMS devrait être renforcée. Dans ce contexte, il conviendrait de renforcer le rôle du coordonnateur européen pour l’ERTMS, étant donné que celui-ci devrait disposer d’une prérogative lui permettant d’établir et de présider un forum consultatif. Chaque État membre devrait désigner un coordonnateur national pour l’ERTMS qui participerait à un tel forum. Le coordonnateur national de l’ERTMS devrait devenir un guichet unique ERTMS dans chaque État membre. Le coordonnateur national devrait être un partenaire de discussion direct tant pour le coordonnateur européen que pour leurs collègues d’autres pays.</w:t>
      </w:r>
    </w:p>
    <w:p w14:paraId="778B07BD" w14:textId="77777777" w:rsidR="00EA5216" w:rsidRPr="00687CD4" w:rsidRDefault="00EA5216" w:rsidP="00EA5216">
      <w:pPr>
        <w:spacing w:after="120"/>
        <w:rPr>
          <w:rFonts w:ascii="Times New Roman" w:hAnsi="Times New Roman"/>
        </w:rPr>
      </w:pPr>
      <w:r>
        <w:rPr>
          <w:rFonts w:ascii="Times New Roman" w:hAnsi="Times New Roman"/>
          <w:u w:val="single"/>
        </w:rPr>
        <w:t>RTE-T</w:t>
      </w:r>
      <w:r>
        <w:rPr>
          <w:rFonts w:ascii="Times New Roman" w:hAnsi="Times New Roman"/>
        </w:rPr>
        <w:t xml:space="preserve"> (paragraphes 15 et 17)</w:t>
      </w:r>
    </w:p>
    <w:p w14:paraId="2BB4D04D" w14:textId="77777777" w:rsidR="00EA5216" w:rsidRPr="00687CD4" w:rsidRDefault="00EA5216" w:rsidP="00EA5216">
      <w:pPr>
        <w:spacing w:after="120"/>
        <w:rPr>
          <w:rFonts w:ascii="Times New Roman" w:hAnsi="Times New Roman"/>
        </w:rPr>
      </w:pPr>
      <w:r>
        <w:rPr>
          <w:rFonts w:ascii="Times New Roman" w:hAnsi="Times New Roman"/>
        </w:rPr>
        <w:t>L’objectif général du développement du réseau transeuropéen est de mettre en place, à l’échelle de l’Union, un réseau multimodal répondant à des normes de qualité élevées. La Commission considère que le réseau central, dont le délai est fixé à 2030, et le réseau central étendu, dont le délai est fixé à 2040, devraient constituer le socle du réseau de transport multimodal durable, représentant les nœuds et chaînons du réseau transeuropéen de transport les plus importants d’un point de vue stratégique, en fonction des besoins en matière de circulation. Ils devraient stimuler le développement de la totalité du réseau global et permettre que l’action de l’Union se concentre sur les composants du réseau transeuropéen de transport présentant le plus de valeur ajoutée européenne, notamment les tronçons transfrontières, les chaînons manquants, les nœuds multimodaux et les principaux goulets d’étranglement. Le réseau transeuropéen de transport renforce la cohésion sociale, économique et territoriale de l'Union et contribue à la création d'un espace européen unique des transports durable, efficient et résilient, qui accroît les avantages qu'en retirent les utilisateurs et favorise une croissance qui profite à tous.</w:t>
      </w:r>
    </w:p>
    <w:p w14:paraId="52A7F084" w14:textId="77777777" w:rsidR="00EA5216" w:rsidRPr="00D32307" w:rsidRDefault="00EA5216" w:rsidP="00EA5216">
      <w:pPr>
        <w:spacing w:after="120"/>
        <w:rPr>
          <w:rFonts w:ascii="Times New Roman" w:hAnsi="Times New Roman"/>
          <w:u w:val="single"/>
        </w:rPr>
      </w:pPr>
      <w:r>
        <w:rPr>
          <w:rFonts w:ascii="Times New Roman" w:hAnsi="Times New Roman"/>
          <w:u w:val="single"/>
        </w:rPr>
        <w:t>Révision du RTE-T</w:t>
      </w:r>
      <w:r>
        <w:rPr>
          <w:rFonts w:ascii="Times New Roman" w:hAnsi="Times New Roman"/>
        </w:rPr>
        <w:t xml:space="preserve"> (paragraphes 5 et 8)</w:t>
      </w:r>
    </w:p>
    <w:p w14:paraId="0FC2C9EE" w14:textId="77777777" w:rsidR="00EA5216" w:rsidRPr="00687CD4" w:rsidRDefault="00EA5216" w:rsidP="00EA5216">
      <w:pPr>
        <w:spacing w:after="120"/>
        <w:rPr>
          <w:rFonts w:ascii="Times New Roman" w:hAnsi="Times New Roman"/>
        </w:rPr>
      </w:pPr>
      <w:r>
        <w:rPr>
          <w:rFonts w:ascii="Times New Roman" w:hAnsi="Times New Roman"/>
        </w:rPr>
        <w:t>La proposition de la Commission relative à la révision du règlement RTE-T contient une disposition obligeant les États membres à réaliser une étude afin d’analyser la faisabilité et la pertinence économique de vitesses plus élevées (c’est-à-dire 160 km/h et plus) et à construire ou à moderniser la ligne située sur le réseau central ou le réseau central étendu à cette vitesse plus élevée lorsque sa faisabilité et sa pertinence économique sont démontrées.</w:t>
      </w:r>
    </w:p>
    <w:p w14:paraId="3EC957FF" w14:textId="77777777" w:rsidR="00EA5216" w:rsidRPr="00687CD4" w:rsidRDefault="00EA5216" w:rsidP="00EA5216">
      <w:pPr>
        <w:spacing w:after="120"/>
        <w:rPr>
          <w:rFonts w:ascii="Times New Roman" w:hAnsi="Times New Roman"/>
        </w:rPr>
      </w:pPr>
      <w:r>
        <w:rPr>
          <w:rFonts w:ascii="Times New Roman" w:hAnsi="Times New Roman"/>
        </w:rPr>
        <w:t>La Commission considère que l’intégration des corridors de réseau central actuels et des corridors de fret ferroviaire dans les «corridors de transport européens» est nécessaire pour consolider les synergies entre la planification des infrastructures et l’exploitation des transports. Il conviendrait que les corridors de transport européens deviennent l’instrument au service du développement de flux de transport de fret et de voyageurs durables et multimodaux et du développement d’infrastructures interopérables de haute qualité et de performances opérationnelles. En tant que tels, ils devraient également servir à concrétiser la vision de la création d’un réseau ferroviaire hautement compétitif dans l’ensemble de l’Union avec des retombées sur les régions périphériques.</w:t>
      </w:r>
    </w:p>
    <w:p w14:paraId="4D41B5BE" w14:textId="77777777" w:rsidR="00EA5216" w:rsidRPr="00687CD4" w:rsidRDefault="00EA5216" w:rsidP="00EA5216">
      <w:pPr>
        <w:spacing w:after="120"/>
        <w:rPr>
          <w:rFonts w:ascii="Times New Roman" w:hAnsi="Times New Roman"/>
        </w:rPr>
      </w:pPr>
      <w:r>
        <w:rPr>
          <w:rFonts w:ascii="Times New Roman" w:hAnsi="Times New Roman"/>
          <w:u w:val="single"/>
        </w:rPr>
        <w:t>Financement de l’UE</w:t>
      </w:r>
      <w:r>
        <w:rPr>
          <w:rFonts w:ascii="Times New Roman" w:hAnsi="Times New Roman"/>
        </w:rPr>
        <w:t xml:space="preserve"> (paragraphes18 et 19)</w:t>
      </w:r>
    </w:p>
    <w:p w14:paraId="6CE60746" w14:textId="77777777" w:rsidR="00EA5216" w:rsidRPr="009B59BF" w:rsidRDefault="00EA5216" w:rsidP="00EA5216">
      <w:pPr>
        <w:spacing w:after="120"/>
        <w:rPr>
          <w:rFonts w:ascii="Times New Roman" w:hAnsi="Times New Roman"/>
        </w:rPr>
      </w:pPr>
      <w:r>
        <w:rPr>
          <w:rFonts w:ascii="Times New Roman" w:hAnsi="Times New Roman"/>
        </w:rPr>
        <w:t xml:space="preserve">Le mécanisme pour l’interconnexion en Europe est le principal instrument de l’UE consacré au financement du réseau RTE-T. Malgré son budget limité, il peut avoir un effet de levier important tant sur les financements publics nationaux que sur les financements privés en faveur des investissements dans les infrastructures à forte valeur ajoutée européenne. En </w:t>
      </w:r>
      <w:r>
        <w:rPr>
          <w:rFonts w:ascii="Times New Roman" w:hAnsi="Times New Roman"/>
        </w:rPr>
        <w:lastRenderedPageBreak/>
        <w:t>outre, d’autres instruments de l’UE, en particulier les fonds de la politique de cohésion et la facilité pour la reprise et la résilience, soutiennent également des projets RTE-T. Par exemple, plus de 15 milliards d’euros sont consacrés à des projets d’infrastructures ferroviaires sur le réseau RTE-T dans le cadre des plans nationaux pour la reprise et la résilience, les fonds de la politique de cohésion ajoutant 10,6 milliards d’euros supplémentaires pour la période 2021-2027.</w:t>
      </w:r>
    </w:p>
    <w:p w14:paraId="4FB1ECAF" w14:textId="77777777" w:rsidR="00EA5216" w:rsidRPr="00687CD4" w:rsidRDefault="00EA5216" w:rsidP="00EA5216">
      <w:pPr>
        <w:spacing w:after="120"/>
        <w:rPr>
          <w:rFonts w:ascii="Times New Roman" w:hAnsi="Times New Roman"/>
        </w:rPr>
      </w:pPr>
      <w:r>
        <w:rPr>
          <w:rFonts w:ascii="Times New Roman" w:hAnsi="Times New Roman"/>
        </w:rPr>
        <w:t>En ce qui concerne la nécessité d’améliorer l’utilisation des fonds de l’Union en faveur d’infrastructures de transport durables et efficaces, la Commission partage l’objectif du Parlement d’améliorer autant que possible l’utilisation des différents instruments de l’Union contribuant aux investissements dans les infrastructures de transport. Elle vise à assurer à la fois la synergie et la complémentarité entre ces instruments. Elle y parvient notamment au moyen d’orientations appropriées à l’intention des États membres et dans le cadre de son dialogue avec eux au cours des processus de programmation.</w:t>
      </w:r>
    </w:p>
    <w:p w14:paraId="77D1D0E9"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Lien avec les Balkans occidentaux, l’Ukraine et la Moldavie</w:t>
      </w:r>
      <w:r>
        <w:rPr>
          <w:rFonts w:ascii="Times New Roman" w:hAnsi="Times New Roman"/>
        </w:rPr>
        <w:t xml:space="preserve"> (paragraphe 21)</w:t>
      </w:r>
    </w:p>
    <w:p w14:paraId="47486498" w14:textId="77777777" w:rsidR="00EA5216" w:rsidRPr="00687CD4" w:rsidRDefault="00EA5216" w:rsidP="00EA5216">
      <w:pPr>
        <w:widowControl w:val="0"/>
        <w:spacing w:after="120"/>
        <w:rPr>
          <w:rFonts w:ascii="Times New Roman" w:hAnsi="Times New Roman"/>
        </w:rPr>
      </w:pPr>
      <w:r>
        <w:rPr>
          <w:rFonts w:ascii="Times New Roman" w:hAnsi="Times New Roman"/>
        </w:rPr>
        <w:t>La Commission travaille en étroite collaboration avec le secrétariat permanent du traité instituant la Communauté des transports afin de stimuler le développement du transport ferroviaire dans les Balkans occidentaux. Un plan d’action ferroviaire spécifique a été élaboré pour les Balkans occidentaux, jetant les bases d’une intégration plus poussée avec le marché ferroviaire de l’UE. Il contribue à la mise en place d’un système ferroviaire sûr, inclusif, fiable, écologiquement et socialement durable et interconnecté au sein de la région. En outre, le secrétariat permanent de la Communauté des transports s’emploie à étendre le concept de voies réservées à la région des Balkans occidentaux, ce qui devrait favoriser une connectivité sans discontinuité aux frontières entre l’UE et la région, ainsi qu’à l’intérieur de la région.</w:t>
      </w:r>
    </w:p>
    <w:p w14:paraId="3F47EF10"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Matériel roulant</w:t>
      </w:r>
      <w:r>
        <w:rPr>
          <w:rFonts w:ascii="Times New Roman" w:hAnsi="Times New Roman"/>
        </w:rPr>
        <w:t xml:space="preserve"> (paragraphes 27 et 29)</w:t>
      </w:r>
    </w:p>
    <w:p w14:paraId="45AB1C78" w14:textId="77777777" w:rsidR="00EA5216" w:rsidRPr="00687CD4" w:rsidRDefault="00EA5216" w:rsidP="00EA5216">
      <w:pPr>
        <w:widowControl w:val="0"/>
        <w:spacing w:after="120"/>
        <w:rPr>
          <w:rFonts w:ascii="Times New Roman" w:hAnsi="Times New Roman"/>
        </w:rPr>
      </w:pPr>
      <w:r>
        <w:rPr>
          <w:rFonts w:ascii="Times New Roman" w:hAnsi="Times New Roman"/>
        </w:rPr>
        <w:t>Afin de permettre aux entreprises ferroviaires d’acquérir suffisamment de matériel roulant à la hauteur des ambitions du pacte vert pour l’Europe, la Commission et la BEI disposent d’instruments financiers coordonnés [plateforme d’investissement en faveur du rail vert (GRIP de la BEI) et InvestEU] et la Commission soutient la ratification du protocole de Luxembourg, qui aide les investisseurs à sécuriser leurs investissements dans le matériel roulant, à l’échelle mondiale. Une nouvelle spécification technique d’interopérabilité (STI) facilitant la construction et le déploiement du matériel roulant «passe-partout» pour le transport ferroviaire de voyageurs permet aux sociétés de location de matériel roulant de constituer des parcs de matériel roulant multiréseaux.</w:t>
      </w:r>
    </w:p>
    <w:p w14:paraId="506FF166"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Transport des vélos dans les trains transfrontaliers</w:t>
      </w:r>
      <w:r>
        <w:rPr>
          <w:rFonts w:ascii="Times New Roman" w:hAnsi="Times New Roman"/>
        </w:rPr>
        <w:t xml:space="preserve"> (paragraphe 35)</w:t>
      </w:r>
    </w:p>
    <w:p w14:paraId="718CACAB" w14:textId="77777777" w:rsidR="00EA5216" w:rsidRPr="00687CD4" w:rsidRDefault="00EA5216" w:rsidP="00EA5216">
      <w:pPr>
        <w:widowControl w:val="0"/>
        <w:spacing w:after="120"/>
        <w:rPr>
          <w:rFonts w:ascii="Times New Roman" w:hAnsi="Times New Roman"/>
        </w:rPr>
      </w:pPr>
      <w:r>
        <w:rPr>
          <w:rFonts w:ascii="Times New Roman" w:hAnsi="Times New Roman"/>
        </w:rPr>
        <w:t>La Commission surveillera la mise en œuvre par les États membres du règlement sur les droits des voyageurs ferroviaires, qui entrera en application le 7 juin 2023, y compris en ce qui concerne les nouvelles exigences applicables au transport des vélos à bord des trains ainsi que les procédures de passation de marchés publics pour le nouveau matériel roulant et les modernisations importantes du matériel roulant existant.</w:t>
      </w:r>
    </w:p>
    <w:p w14:paraId="3CC91B6D"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Les femmes dans le secteur ferroviaire</w:t>
      </w:r>
      <w:r>
        <w:rPr>
          <w:rFonts w:ascii="Times New Roman" w:hAnsi="Times New Roman"/>
        </w:rPr>
        <w:t xml:space="preserve"> (paragraphe 43)</w:t>
      </w:r>
    </w:p>
    <w:p w14:paraId="0A2DEF74" w14:textId="77777777" w:rsidR="00EA5216" w:rsidRPr="00687CD4" w:rsidRDefault="00EA5216" w:rsidP="00EA5216">
      <w:pPr>
        <w:widowControl w:val="0"/>
        <w:spacing w:after="120"/>
        <w:rPr>
          <w:rFonts w:ascii="Times New Roman" w:hAnsi="Times New Roman"/>
        </w:rPr>
      </w:pPr>
      <w:r>
        <w:rPr>
          <w:rFonts w:ascii="Times New Roman" w:hAnsi="Times New Roman"/>
        </w:rPr>
        <w:t xml:space="preserve">De nombreuses initiatives visent à encourager les femmes à exercer des métiers dans le secteur ferroviaire. L’action 70 de la stratégie pour une mobilité intelligente et durable (SSMS) s’engage à lancer des initiatives visant à accroître l’attractivité du secteur des transports, telles que la plateforme «Les femmes dans les transports» et le réseau des «ambassadeurs de la diversité dans les transports», afin d’encourager et d’échanger les bonnes pratiques. </w:t>
      </w:r>
    </w:p>
    <w:p w14:paraId="1F47FA3A" w14:textId="77777777" w:rsidR="00EA5216" w:rsidRPr="00687CD4" w:rsidRDefault="00EA5216" w:rsidP="00EA5216">
      <w:pPr>
        <w:widowControl w:val="0"/>
        <w:spacing w:after="120"/>
        <w:rPr>
          <w:rFonts w:ascii="Times New Roman" w:hAnsi="Times New Roman"/>
        </w:rPr>
      </w:pPr>
      <w:r>
        <w:rPr>
          <w:rFonts w:ascii="Times New Roman" w:hAnsi="Times New Roman"/>
          <w:u w:val="single"/>
        </w:rPr>
        <w:lastRenderedPageBreak/>
        <w:t>Capacité ferroviaire</w:t>
      </w:r>
      <w:r>
        <w:rPr>
          <w:rFonts w:ascii="Times New Roman" w:hAnsi="Times New Roman"/>
        </w:rPr>
        <w:t xml:space="preserve"> (paragraphes 46, 48 et 50)</w:t>
      </w:r>
    </w:p>
    <w:p w14:paraId="275748AE" w14:textId="77777777" w:rsidR="00EA5216" w:rsidRPr="00687CD4" w:rsidRDefault="00EA5216" w:rsidP="00EA5216">
      <w:pPr>
        <w:widowControl w:val="0"/>
        <w:spacing w:after="120"/>
        <w:rPr>
          <w:rFonts w:ascii="Times New Roman" w:hAnsi="Times New Roman"/>
        </w:rPr>
      </w:pPr>
      <w:r>
        <w:rPr>
          <w:rFonts w:ascii="Times New Roman" w:hAnsi="Times New Roman"/>
        </w:rPr>
        <w:t>La Commission partage le point de vue du Parlement sur la question de l’attribution des capacités et achève actuellement l’analyse d’impact relative à une proposition législative, qui se concentrera sur la modification des règles relatives à la gestion et à l’allocation des capacités. Cette proposition fera partie du paquet «Écologisation du transport de marchandises». Elle permettra une planification et une utilisation plus efficientes des capacités de l’infrastructure ferroviaire, améliorera l’efficacité du processus d’attribution et permettra une meilleure coordination des sillons ferroviaires entre les États membres. Les services transfrontaliers de transport de voyageurs et de marchandises bénéficieront d’un meilleur accès au réseau ferroviaire et seront les principaux bénéficiaires de cette initiative.</w:t>
      </w:r>
    </w:p>
    <w:p w14:paraId="5A8C0B3C" w14:textId="77777777" w:rsidR="00EA5216" w:rsidRPr="00687CD4" w:rsidRDefault="00EA5216" w:rsidP="00EA5216">
      <w:pPr>
        <w:widowControl w:val="0"/>
        <w:spacing w:after="120"/>
        <w:rPr>
          <w:rFonts w:ascii="Times New Roman" w:hAnsi="Times New Roman"/>
        </w:rPr>
      </w:pPr>
      <w:r>
        <w:rPr>
          <w:rFonts w:ascii="Times New Roman" w:hAnsi="Times New Roman"/>
        </w:rPr>
        <w:t>La Commission a réalisé une étude de faisabilité pour l’élaboration d’un indice de connectivité ferroviaire. L’indice élaboré dans le cadre de ce processus évalue les services ferroviaires. Pour la planification des infrastructures, la Commission a coopéré étroitement avec les États membres et d’autres outils sont disponibles.</w:t>
      </w:r>
    </w:p>
    <w:p w14:paraId="4997D656"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Redevances d’accès aux voies</w:t>
      </w:r>
      <w:r>
        <w:rPr>
          <w:rFonts w:ascii="Times New Roman" w:hAnsi="Times New Roman"/>
        </w:rPr>
        <w:t xml:space="preserve"> (paragraphes 51 et 52)</w:t>
      </w:r>
    </w:p>
    <w:p w14:paraId="61067D67" w14:textId="77777777" w:rsidR="00EA5216" w:rsidRPr="00687CD4" w:rsidRDefault="00EA5216" w:rsidP="00EA5216">
      <w:pPr>
        <w:widowControl w:val="0"/>
        <w:spacing w:after="120"/>
        <w:rPr>
          <w:rFonts w:ascii="Times New Roman" w:hAnsi="Times New Roman"/>
        </w:rPr>
      </w:pPr>
      <w:r>
        <w:rPr>
          <w:rFonts w:ascii="Times New Roman" w:hAnsi="Times New Roman"/>
        </w:rPr>
        <w:t>Des travaux sont en cours dans le cadre de PRIME (la plateforme des gestionnaires d’infrastructure ferroviaire en Europe) et la Commission a l’intention d’adopter des lignes directrices au cours du quatrième trimestre de 2023.</w:t>
      </w:r>
    </w:p>
    <w:p w14:paraId="5105C24A"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 xml:space="preserve">Services de mobilité numérique multimodale </w:t>
      </w:r>
      <w:r>
        <w:rPr>
          <w:rFonts w:ascii="Times New Roman" w:hAnsi="Times New Roman"/>
        </w:rPr>
        <w:t>(MDMS) (paragraphes 55, 56 et 57)</w:t>
      </w:r>
    </w:p>
    <w:p w14:paraId="64FB83F9" w14:textId="77777777" w:rsidR="00EA5216" w:rsidRPr="00687CD4" w:rsidRDefault="00EA5216" w:rsidP="00EA5216">
      <w:pPr>
        <w:widowControl w:val="0"/>
        <w:spacing w:after="120"/>
        <w:rPr>
          <w:rFonts w:ascii="Times New Roman" w:hAnsi="Times New Roman"/>
        </w:rPr>
      </w:pPr>
      <w:r>
        <w:rPr>
          <w:rFonts w:ascii="Times New Roman" w:hAnsi="Times New Roman"/>
        </w:rPr>
        <w:t>La proposition MDMS vise à faciliter l’accès à tous les billets; facilitera la coopération entre les MDMS et les opérateurs et établira des conditions de concurrence équitables pour les opérateurs à afficher sur les plateformes. Elle examinera également les moyens de fournir des informations sur les émissions de gaz à effet de serre dans le cadre de MDMS.</w:t>
      </w:r>
    </w:p>
    <w:p w14:paraId="2002C14C"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Droits des voyageurs ferroviaires</w:t>
      </w:r>
      <w:r>
        <w:rPr>
          <w:rFonts w:ascii="Times New Roman" w:hAnsi="Times New Roman"/>
        </w:rPr>
        <w:t xml:space="preserve"> (paragraphes 55 et 60)</w:t>
      </w:r>
    </w:p>
    <w:p w14:paraId="24BE5249" w14:textId="77777777" w:rsidR="00EA5216" w:rsidRPr="00687CD4" w:rsidRDefault="00EA5216" w:rsidP="00EA5216">
      <w:pPr>
        <w:widowControl w:val="0"/>
        <w:spacing w:after="120"/>
        <w:rPr>
          <w:rFonts w:ascii="Times New Roman" w:hAnsi="Times New Roman"/>
        </w:rPr>
      </w:pPr>
      <w:r>
        <w:rPr>
          <w:rFonts w:ascii="Times New Roman" w:hAnsi="Times New Roman"/>
        </w:rPr>
        <w:t>La Commission surveillera la mise en œuvre par les États membres du règlement sur les droits des voyageurs ferroviaires, qui entrera en application le 7 juin 2023, y compris en ce qui concerne les nouvelles règles encourageant l’utilisation de billets directs et garantissant la protection des voyageurs disposant de tels billets en cas de retard et de correspondance manquée.</w:t>
      </w:r>
    </w:p>
    <w:p w14:paraId="34676D8C" w14:textId="77777777" w:rsidR="00EA5216" w:rsidRPr="00687CD4" w:rsidRDefault="00EA5216" w:rsidP="00EA5216">
      <w:pPr>
        <w:widowControl w:val="0"/>
        <w:spacing w:after="120"/>
        <w:rPr>
          <w:rFonts w:ascii="Times New Roman" w:hAnsi="Times New Roman"/>
        </w:rPr>
      </w:pPr>
      <w:r>
        <w:rPr>
          <w:rFonts w:ascii="Times New Roman" w:hAnsi="Times New Roman"/>
        </w:rPr>
        <w:t>La Commission continuera de suivre la mise en œuvre par les États membres du règlement sur les droits des voyageurs ferroviaires, qui entrera en application le 7 juin 2023.</w:t>
      </w:r>
    </w:p>
    <w:p w14:paraId="7EE26215" w14:textId="77777777" w:rsidR="00EA5216" w:rsidRPr="00687CD4" w:rsidRDefault="00EA5216" w:rsidP="00EA5216">
      <w:pPr>
        <w:keepNext/>
        <w:keepLines/>
        <w:spacing w:after="120"/>
        <w:rPr>
          <w:rFonts w:ascii="Times New Roman" w:hAnsi="Times New Roman"/>
        </w:rPr>
      </w:pPr>
      <w:r>
        <w:rPr>
          <w:rFonts w:ascii="Times New Roman" w:hAnsi="Times New Roman"/>
          <w:u w:val="single"/>
        </w:rPr>
        <w:lastRenderedPageBreak/>
        <w:t>Obligations de service public</w:t>
      </w:r>
      <w:r>
        <w:rPr>
          <w:rFonts w:ascii="Times New Roman" w:hAnsi="Times New Roman"/>
        </w:rPr>
        <w:t xml:space="preserve"> (OSP) (paragraphes 65 et 66)</w:t>
      </w:r>
    </w:p>
    <w:p w14:paraId="4DD9B1BF" w14:textId="77777777" w:rsidR="00EA5216" w:rsidRPr="00687CD4" w:rsidRDefault="00EA5216" w:rsidP="00EA5216">
      <w:pPr>
        <w:keepNext/>
        <w:keepLines/>
        <w:spacing w:after="120"/>
        <w:rPr>
          <w:rFonts w:ascii="Times New Roman" w:hAnsi="Times New Roman"/>
        </w:rPr>
      </w:pPr>
      <w:r>
        <w:rPr>
          <w:rFonts w:ascii="Times New Roman" w:hAnsi="Times New Roman"/>
        </w:rPr>
        <w:t>La Commission se félicite que la résolution souligne l’importance de renforcer le cadre du marché du libre accès qui a été adopté par le législateur européen dans le cadre du 4</w:t>
      </w:r>
      <w:r>
        <w:rPr>
          <w:rFonts w:ascii="Times New Roman" w:hAnsi="Times New Roman"/>
          <w:vertAlign w:val="superscript"/>
        </w:rPr>
        <w:t>e</w:t>
      </w:r>
      <w:r>
        <w:rPr>
          <w:rFonts w:ascii="Times New Roman" w:hAnsi="Times New Roman"/>
        </w:rPr>
        <w:t xml:space="preserve"> paquet ferroviaire en vue de promouvoir des services ferroviaires compétitifs de transport ferroviaire de voyageurs longue distance et transfrontaliers répondant aux besoins de la population. La Commission convient que, lorsque les opérateurs du marché ne sont pas en mesure de fournir les services souhaités, l’attribution de contrats de service public peut constituer un moyen efficace de garantir la fourniture de la quantité et de la qualité souhaitées des services de transport ferroviaire. Avant d’accorder de tels contrats, les autorités compétentes devraient évaluer la demande de services de transport public et procéder à une analyse du marché afin de déterminer dans quelle mesure les opérateurs du marché peuvent fournir les services ferroviaires souhaités. Si la fourniture de services internationaux de transport de voyageurs par chemin de fer ne reçoit pas l’accord de tous les États membres concernés, ces services peuvent être fournis sur une base hybride (c’est-à-dire en partie dans le cadre d’un accès libre, en partie sur la base d’un contrat de service public). Toutefois, il appartient aux États membres de veiller à ce que ces services ne faussent pas la concurrence et, en particulier, à ce qu’il n’y ait pas de subventions croisées entre les segments indemnisés et les segments commerciaux du voyage.</w:t>
      </w:r>
    </w:p>
    <w:p w14:paraId="3384B871" w14:textId="77777777" w:rsidR="00EA5216" w:rsidRPr="00687CD4" w:rsidRDefault="00EA5216" w:rsidP="00EA5216">
      <w:pPr>
        <w:widowControl w:val="0"/>
        <w:spacing w:after="120"/>
        <w:rPr>
          <w:rFonts w:ascii="Times New Roman" w:hAnsi="Times New Roman"/>
        </w:rPr>
      </w:pPr>
      <w:r>
        <w:rPr>
          <w:rFonts w:ascii="Times New Roman" w:hAnsi="Times New Roman"/>
          <w:u w:val="single"/>
        </w:rPr>
        <w:t>Donner aux jeunes les moyens d’agir</w:t>
      </w:r>
      <w:r>
        <w:rPr>
          <w:rFonts w:ascii="Times New Roman" w:hAnsi="Times New Roman"/>
        </w:rPr>
        <w:t xml:space="preserve"> (paragraphe 67)</w:t>
      </w:r>
    </w:p>
    <w:p w14:paraId="5E96E635" w14:textId="05A4888B" w:rsidR="000A4F77" w:rsidRPr="00EA5216" w:rsidRDefault="00EA5216" w:rsidP="00EA5216">
      <w:r>
        <w:rPr>
          <w:rFonts w:ascii="Times New Roman" w:hAnsi="Times New Roman"/>
        </w:rPr>
        <w:t>La Commission a mis au point des boîtes à outils pédagogiques pour aider les apprenants des écoles primaires et secondaires à identifier et à remettre en question les stéréotypes sexistes et à découvrir les possibilités de carrière dans le secteur des transports, y compris dans le secteur ferroviaire. Ces boîtes à outils montrent que les possibilités offertes dans un secteur des transports en mutation rapide ne se limitent pas à un sexe particulier. Les boîtes à outils sont disponibles en 24 langues et peuvent être utilisées dans tous les États membres de l’UE.</w:t>
      </w:r>
    </w:p>
    <w:sectPr w:rsidR="000A4F77" w:rsidRPr="00EA5216" w:rsidSect="00775A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06BF" w14:textId="77777777" w:rsidR="00962CC2" w:rsidRDefault="00962CC2" w:rsidP="008D2B07">
      <w:pPr>
        <w:spacing w:after="0"/>
      </w:pPr>
      <w:r>
        <w:separator/>
      </w:r>
    </w:p>
  </w:endnote>
  <w:endnote w:type="continuationSeparator" w:id="0">
    <w:p w14:paraId="56A04EF6" w14:textId="77777777" w:rsidR="00962CC2" w:rsidRDefault="00962CC2" w:rsidP="008D2B07">
      <w:pPr>
        <w:spacing w:after="0"/>
      </w:pPr>
      <w:r>
        <w:continuationSeparator/>
      </w:r>
    </w:p>
  </w:endnote>
  <w:endnote w:type="continuationNotice" w:id="1">
    <w:p w14:paraId="6F2E5FFD" w14:textId="77777777" w:rsidR="00962CC2" w:rsidRDefault="00962C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B1E7" w14:textId="77777777" w:rsidR="00FF74D5" w:rsidRDefault="00FF7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43654"/>
      <w:docPartObj>
        <w:docPartGallery w:val="Page Numbers (Bottom of Page)"/>
        <w:docPartUnique/>
      </w:docPartObj>
    </w:sdtPr>
    <w:sdtEndPr>
      <w:rPr>
        <w:noProof/>
      </w:rPr>
    </w:sdtEndPr>
    <w:sdtContent>
      <w:p w14:paraId="7BB437E9" w14:textId="65870657" w:rsidR="00FF74D5" w:rsidRDefault="00FF74D5">
        <w:pPr>
          <w:pStyle w:val="Footer"/>
          <w:jc w:val="center"/>
        </w:pPr>
        <w:r>
          <w:fldChar w:fldCharType="begin"/>
        </w:r>
        <w:r>
          <w:instrText xml:space="preserve"> PAGE   \* MERGEFORMAT </w:instrText>
        </w:r>
        <w:r>
          <w:fldChar w:fldCharType="separate"/>
        </w:r>
        <w:r w:rsidR="00A03234">
          <w:rPr>
            <w:noProof/>
          </w:rPr>
          <w:t>5</w:t>
        </w:r>
        <w:r>
          <w:fldChar w:fldCharType="end"/>
        </w:r>
      </w:p>
    </w:sdtContent>
  </w:sdt>
  <w:p w14:paraId="75535D34" w14:textId="03084925" w:rsidR="034F695E" w:rsidRDefault="034F695E" w:rsidP="034F6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408C" w14:textId="77777777" w:rsidR="00FF74D5" w:rsidRDefault="00FF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F116" w14:textId="77777777" w:rsidR="00962CC2" w:rsidRDefault="00962CC2" w:rsidP="008D2B07">
      <w:pPr>
        <w:spacing w:after="0"/>
      </w:pPr>
      <w:r>
        <w:separator/>
      </w:r>
    </w:p>
  </w:footnote>
  <w:footnote w:type="continuationSeparator" w:id="0">
    <w:p w14:paraId="41C143E0" w14:textId="77777777" w:rsidR="00962CC2" w:rsidRDefault="00962CC2" w:rsidP="008D2B07">
      <w:pPr>
        <w:spacing w:after="0"/>
      </w:pPr>
      <w:r>
        <w:continuationSeparator/>
      </w:r>
    </w:p>
  </w:footnote>
  <w:footnote w:type="continuationNotice" w:id="1">
    <w:p w14:paraId="29B558EA" w14:textId="77777777" w:rsidR="00962CC2" w:rsidRDefault="00962CC2">
      <w:pPr>
        <w:spacing w:after="0"/>
      </w:pPr>
    </w:p>
  </w:footnote>
  <w:footnote w:id="2">
    <w:p w14:paraId="1416E689" w14:textId="77777777" w:rsidR="00EA5216" w:rsidRPr="00DD5D4D" w:rsidRDefault="00EA5216" w:rsidP="00EA521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Connecter l’Europe par le train:</w:t>
        </w:r>
      </w:hyperlink>
      <w:hyperlink r:id="rId2">
        <w:r>
          <w:rPr>
            <w:rStyle w:val="Hyperlink"/>
            <w:rFonts w:ascii="Times New Roman" w:hAnsi="Times New Roman"/>
          </w:rPr>
          <w:t>10 services pilotes de l’UE pour stimuler le transport ferroviaire transfrontalier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DE6E" w14:textId="77777777" w:rsidR="00FF74D5" w:rsidRDefault="00FF7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34F695E" w14:paraId="61FE57E6" w14:textId="77777777" w:rsidTr="034F695E">
      <w:trPr>
        <w:trHeight w:val="300"/>
      </w:trPr>
      <w:tc>
        <w:tcPr>
          <w:tcW w:w="3005" w:type="dxa"/>
        </w:tcPr>
        <w:p w14:paraId="7FA11886" w14:textId="3351855A" w:rsidR="034F695E" w:rsidRDefault="034F695E" w:rsidP="034F695E">
          <w:pPr>
            <w:pStyle w:val="Header"/>
            <w:ind w:left="-115"/>
            <w:jc w:val="left"/>
          </w:pPr>
        </w:p>
      </w:tc>
      <w:tc>
        <w:tcPr>
          <w:tcW w:w="3005" w:type="dxa"/>
        </w:tcPr>
        <w:p w14:paraId="7B08A52A" w14:textId="4C61FDD4" w:rsidR="034F695E" w:rsidRDefault="034F695E" w:rsidP="034F695E">
          <w:pPr>
            <w:pStyle w:val="Header"/>
            <w:jc w:val="center"/>
          </w:pPr>
        </w:p>
      </w:tc>
      <w:tc>
        <w:tcPr>
          <w:tcW w:w="3005" w:type="dxa"/>
        </w:tcPr>
        <w:p w14:paraId="3BDE72C0" w14:textId="1BB1AA10" w:rsidR="034F695E" w:rsidRDefault="034F695E" w:rsidP="034F695E">
          <w:pPr>
            <w:pStyle w:val="Header"/>
            <w:ind w:right="-115"/>
            <w:jc w:val="right"/>
          </w:pPr>
        </w:p>
      </w:tc>
    </w:tr>
  </w:tbl>
  <w:p w14:paraId="7E6E6EE2" w14:textId="4E665449" w:rsidR="034F695E" w:rsidRDefault="034F695E" w:rsidP="034F6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D9F6" w14:textId="77777777" w:rsidR="00FF74D5" w:rsidRDefault="00FF7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553E"/>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num w:numId="1" w16cid:durableId="51276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67679"/>
    <w:rsid w:val="00000FEA"/>
    <w:rsid w:val="0001515A"/>
    <w:rsid w:val="00031EAD"/>
    <w:rsid w:val="00072732"/>
    <w:rsid w:val="000A219E"/>
    <w:rsid w:val="000A31AB"/>
    <w:rsid w:val="000A4F77"/>
    <w:rsid w:val="000B18B1"/>
    <w:rsid w:val="00147D21"/>
    <w:rsid w:val="00151A24"/>
    <w:rsid w:val="001700BD"/>
    <w:rsid w:val="0017C89C"/>
    <w:rsid w:val="001C52C2"/>
    <w:rsid w:val="001C7F0E"/>
    <w:rsid w:val="001E184E"/>
    <w:rsid w:val="001E3969"/>
    <w:rsid w:val="00235FDE"/>
    <w:rsid w:val="002420B8"/>
    <w:rsid w:val="002426E9"/>
    <w:rsid w:val="00245E3D"/>
    <w:rsid w:val="0028502D"/>
    <w:rsid w:val="002A5D7D"/>
    <w:rsid w:val="002E01A4"/>
    <w:rsid w:val="002E05E3"/>
    <w:rsid w:val="002ED082"/>
    <w:rsid w:val="0031225E"/>
    <w:rsid w:val="00320717"/>
    <w:rsid w:val="00385BE8"/>
    <w:rsid w:val="003B7968"/>
    <w:rsid w:val="003D20A8"/>
    <w:rsid w:val="003F2C72"/>
    <w:rsid w:val="004543C8"/>
    <w:rsid w:val="00467AA3"/>
    <w:rsid w:val="004919C0"/>
    <w:rsid w:val="00494439"/>
    <w:rsid w:val="004B5192"/>
    <w:rsid w:val="004C085D"/>
    <w:rsid w:val="004E2CD8"/>
    <w:rsid w:val="005C51B9"/>
    <w:rsid w:val="005F0275"/>
    <w:rsid w:val="00664B34"/>
    <w:rsid w:val="0066514D"/>
    <w:rsid w:val="0068496C"/>
    <w:rsid w:val="00687CD4"/>
    <w:rsid w:val="00775A32"/>
    <w:rsid w:val="007D057D"/>
    <w:rsid w:val="007D1D99"/>
    <w:rsid w:val="007F6A72"/>
    <w:rsid w:val="00807650"/>
    <w:rsid w:val="008105F3"/>
    <w:rsid w:val="00814333"/>
    <w:rsid w:val="0082045D"/>
    <w:rsid w:val="00870095"/>
    <w:rsid w:val="00892970"/>
    <w:rsid w:val="008D2B07"/>
    <w:rsid w:val="008D35EA"/>
    <w:rsid w:val="009109F3"/>
    <w:rsid w:val="0092305D"/>
    <w:rsid w:val="00927D48"/>
    <w:rsid w:val="00962CC2"/>
    <w:rsid w:val="0097F839"/>
    <w:rsid w:val="0099422B"/>
    <w:rsid w:val="009B59BF"/>
    <w:rsid w:val="009F2577"/>
    <w:rsid w:val="00A03234"/>
    <w:rsid w:val="00A67679"/>
    <w:rsid w:val="00A75D17"/>
    <w:rsid w:val="00A83396"/>
    <w:rsid w:val="00B62B37"/>
    <w:rsid w:val="00BC4286"/>
    <w:rsid w:val="00C358A2"/>
    <w:rsid w:val="00C47479"/>
    <w:rsid w:val="00C54841"/>
    <w:rsid w:val="00CA0749"/>
    <w:rsid w:val="00CE6027"/>
    <w:rsid w:val="00D32307"/>
    <w:rsid w:val="00D512F0"/>
    <w:rsid w:val="00D72121"/>
    <w:rsid w:val="00D969B3"/>
    <w:rsid w:val="00DA091B"/>
    <w:rsid w:val="00DB25BA"/>
    <w:rsid w:val="00DD5D4D"/>
    <w:rsid w:val="00DE75BD"/>
    <w:rsid w:val="00EA5216"/>
    <w:rsid w:val="00EE6273"/>
    <w:rsid w:val="00F36EF5"/>
    <w:rsid w:val="00F5DF5C"/>
    <w:rsid w:val="00F92DB9"/>
    <w:rsid w:val="00F93315"/>
    <w:rsid w:val="00FF7167"/>
    <w:rsid w:val="00FF74D5"/>
    <w:rsid w:val="0126C484"/>
    <w:rsid w:val="0136B266"/>
    <w:rsid w:val="0195C26C"/>
    <w:rsid w:val="01ACAB6E"/>
    <w:rsid w:val="01CFF8A5"/>
    <w:rsid w:val="022DBDE3"/>
    <w:rsid w:val="026BEE1A"/>
    <w:rsid w:val="0291AFBD"/>
    <w:rsid w:val="02D11848"/>
    <w:rsid w:val="032DB229"/>
    <w:rsid w:val="034F695E"/>
    <w:rsid w:val="03ECE803"/>
    <w:rsid w:val="0449B02F"/>
    <w:rsid w:val="0462E10B"/>
    <w:rsid w:val="04D3358F"/>
    <w:rsid w:val="05927FE6"/>
    <w:rsid w:val="05A70FAD"/>
    <w:rsid w:val="078D7443"/>
    <w:rsid w:val="0841C9DF"/>
    <w:rsid w:val="092CADC5"/>
    <w:rsid w:val="093EB768"/>
    <w:rsid w:val="0A9D24F5"/>
    <w:rsid w:val="0AA1AB2F"/>
    <w:rsid w:val="0AC9776F"/>
    <w:rsid w:val="0B3D6185"/>
    <w:rsid w:val="0B796AA1"/>
    <w:rsid w:val="0C3D7B90"/>
    <w:rsid w:val="0C51CF90"/>
    <w:rsid w:val="0C6E8B44"/>
    <w:rsid w:val="0C8581E2"/>
    <w:rsid w:val="0C8B15C9"/>
    <w:rsid w:val="0CA73092"/>
    <w:rsid w:val="0DCA92CB"/>
    <w:rsid w:val="0DFCB5C7"/>
    <w:rsid w:val="0E2E20DE"/>
    <w:rsid w:val="0E41BAC0"/>
    <w:rsid w:val="0F24C0E1"/>
    <w:rsid w:val="0F50ED2C"/>
    <w:rsid w:val="0F66632C"/>
    <w:rsid w:val="0F7047F5"/>
    <w:rsid w:val="0F988628"/>
    <w:rsid w:val="107320BE"/>
    <w:rsid w:val="1102338D"/>
    <w:rsid w:val="11062977"/>
    <w:rsid w:val="110C1856"/>
    <w:rsid w:val="11CCC23C"/>
    <w:rsid w:val="11E8AB80"/>
    <w:rsid w:val="129D3FB3"/>
    <w:rsid w:val="12BFED6E"/>
    <w:rsid w:val="13B9F0F6"/>
    <w:rsid w:val="13BA95DD"/>
    <w:rsid w:val="1443B918"/>
    <w:rsid w:val="14867E28"/>
    <w:rsid w:val="14974D02"/>
    <w:rsid w:val="14CE7F7C"/>
    <w:rsid w:val="15303190"/>
    <w:rsid w:val="154691E1"/>
    <w:rsid w:val="15DF8979"/>
    <w:rsid w:val="160EF21B"/>
    <w:rsid w:val="1618CFB2"/>
    <w:rsid w:val="16CC01F1"/>
    <w:rsid w:val="1855DF40"/>
    <w:rsid w:val="1867D252"/>
    <w:rsid w:val="19507074"/>
    <w:rsid w:val="1973C088"/>
    <w:rsid w:val="1983A332"/>
    <w:rsid w:val="19DA95AD"/>
    <w:rsid w:val="1A989A58"/>
    <w:rsid w:val="1AE8654C"/>
    <w:rsid w:val="1B76660E"/>
    <w:rsid w:val="1D03ADEF"/>
    <w:rsid w:val="1D12366F"/>
    <w:rsid w:val="1D2B5ECC"/>
    <w:rsid w:val="1D387B69"/>
    <w:rsid w:val="1D72B0B0"/>
    <w:rsid w:val="1E49CD0A"/>
    <w:rsid w:val="1E8F3C39"/>
    <w:rsid w:val="1EBA83CD"/>
    <w:rsid w:val="2049D731"/>
    <w:rsid w:val="20722A94"/>
    <w:rsid w:val="20C621A0"/>
    <w:rsid w:val="20E7DBC3"/>
    <w:rsid w:val="21B7ED53"/>
    <w:rsid w:val="21FF68BB"/>
    <w:rsid w:val="2201AB13"/>
    <w:rsid w:val="223E8D93"/>
    <w:rsid w:val="22789524"/>
    <w:rsid w:val="23C0E54A"/>
    <w:rsid w:val="245982D3"/>
    <w:rsid w:val="251D4854"/>
    <w:rsid w:val="252535DA"/>
    <w:rsid w:val="2532FC27"/>
    <w:rsid w:val="2620EFF0"/>
    <w:rsid w:val="262A33A4"/>
    <w:rsid w:val="26B918B5"/>
    <w:rsid w:val="27586B77"/>
    <w:rsid w:val="28616F36"/>
    <w:rsid w:val="28CFA6D1"/>
    <w:rsid w:val="28EB10E9"/>
    <w:rsid w:val="291B1CFF"/>
    <w:rsid w:val="294D44A3"/>
    <w:rsid w:val="295890B2"/>
    <w:rsid w:val="296E81C4"/>
    <w:rsid w:val="2980B372"/>
    <w:rsid w:val="299DE348"/>
    <w:rsid w:val="29DDA900"/>
    <w:rsid w:val="2A0F9BB2"/>
    <w:rsid w:val="2A3026CE"/>
    <w:rsid w:val="2A7CD9AC"/>
    <w:rsid w:val="2AF99F59"/>
    <w:rsid w:val="2B125E7D"/>
    <w:rsid w:val="2B80ABD6"/>
    <w:rsid w:val="2B98BF14"/>
    <w:rsid w:val="2D1C18AB"/>
    <w:rsid w:val="2D1C7C37"/>
    <w:rsid w:val="2DB7416B"/>
    <w:rsid w:val="2E08ACAE"/>
    <w:rsid w:val="2E3820AD"/>
    <w:rsid w:val="2ED0B0BA"/>
    <w:rsid w:val="2FD5D96F"/>
    <w:rsid w:val="316BB45F"/>
    <w:rsid w:val="3293830A"/>
    <w:rsid w:val="329638E7"/>
    <w:rsid w:val="3346948A"/>
    <w:rsid w:val="3395FE00"/>
    <w:rsid w:val="33AF93B1"/>
    <w:rsid w:val="346684A7"/>
    <w:rsid w:val="369F3FC4"/>
    <w:rsid w:val="36BECB96"/>
    <w:rsid w:val="36D2449F"/>
    <w:rsid w:val="36D72A05"/>
    <w:rsid w:val="3769C455"/>
    <w:rsid w:val="385F2EDE"/>
    <w:rsid w:val="394B6468"/>
    <w:rsid w:val="394D94FC"/>
    <w:rsid w:val="397DBDC9"/>
    <w:rsid w:val="39C07761"/>
    <w:rsid w:val="3A829038"/>
    <w:rsid w:val="3B019C33"/>
    <w:rsid w:val="3B14220E"/>
    <w:rsid w:val="3B1D57E9"/>
    <w:rsid w:val="3B7F37DB"/>
    <w:rsid w:val="3BC1CA4C"/>
    <w:rsid w:val="3C1B48EE"/>
    <w:rsid w:val="3CAE42C4"/>
    <w:rsid w:val="3CB6C7C5"/>
    <w:rsid w:val="3D3AD4F2"/>
    <w:rsid w:val="3F48BAAF"/>
    <w:rsid w:val="3FBCD680"/>
    <w:rsid w:val="40ABDE65"/>
    <w:rsid w:val="40F1D1BC"/>
    <w:rsid w:val="41386AC4"/>
    <w:rsid w:val="4181B3E7"/>
    <w:rsid w:val="4291CD34"/>
    <w:rsid w:val="42EC1AFA"/>
    <w:rsid w:val="4305E8AF"/>
    <w:rsid w:val="4329A82F"/>
    <w:rsid w:val="43850FFC"/>
    <w:rsid w:val="43D49B03"/>
    <w:rsid w:val="44376517"/>
    <w:rsid w:val="443EA9AE"/>
    <w:rsid w:val="445C3F2C"/>
    <w:rsid w:val="45651B38"/>
    <w:rsid w:val="46045386"/>
    <w:rsid w:val="4618499F"/>
    <w:rsid w:val="4747EAE3"/>
    <w:rsid w:val="475E05D9"/>
    <w:rsid w:val="47886DD1"/>
    <w:rsid w:val="48A04D54"/>
    <w:rsid w:val="48CE7F3C"/>
    <w:rsid w:val="49447844"/>
    <w:rsid w:val="497D3438"/>
    <w:rsid w:val="49C8AA66"/>
    <w:rsid w:val="49EBA660"/>
    <w:rsid w:val="4A130E6D"/>
    <w:rsid w:val="4A769C98"/>
    <w:rsid w:val="4B0CD382"/>
    <w:rsid w:val="4B16FB9C"/>
    <w:rsid w:val="4B3C862E"/>
    <w:rsid w:val="4BD23C45"/>
    <w:rsid w:val="4C11A38E"/>
    <w:rsid w:val="4C9B5988"/>
    <w:rsid w:val="4CB0C852"/>
    <w:rsid w:val="4CD3060F"/>
    <w:rsid w:val="4D7B50F3"/>
    <w:rsid w:val="4E2B4BE7"/>
    <w:rsid w:val="4EEC81B2"/>
    <w:rsid w:val="4EF2D521"/>
    <w:rsid w:val="4FC71C48"/>
    <w:rsid w:val="4FE86914"/>
    <w:rsid w:val="4FF93F44"/>
    <w:rsid w:val="4FFB4DAD"/>
    <w:rsid w:val="507FDBAF"/>
    <w:rsid w:val="508366D6"/>
    <w:rsid w:val="50CB55D7"/>
    <w:rsid w:val="5151DCAE"/>
    <w:rsid w:val="5162ECA9"/>
    <w:rsid w:val="51950FA5"/>
    <w:rsid w:val="5201B83D"/>
    <w:rsid w:val="525ED627"/>
    <w:rsid w:val="52A4E374"/>
    <w:rsid w:val="52FEBD0A"/>
    <w:rsid w:val="531F2A4F"/>
    <w:rsid w:val="53C1E4AD"/>
    <w:rsid w:val="53C64644"/>
    <w:rsid w:val="543E67AE"/>
    <w:rsid w:val="54CCB067"/>
    <w:rsid w:val="557E764D"/>
    <w:rsid w:val="55FE3D78"/>
    <w:rsid w:val="566880C8"/>
    <w:rsid w:val="56B6013F"/>
    <w:rsid w:val="573B5B96"/>
    <w:rsid w:val="57DE0C2F"/>
    <w:rsid w:val="58045129"/>
    <w:rsid w:val="58E1B3CB"/>
    <w:rsid w:val="590B79D8"/>
    <w:rsid w:val="59262A90"/>
    <w:rsid w:val="592CCF8F"/>
    <w:rsid w:val="598726EB"/>
    <w:rsid w:val="59BFAB54"/>
    <w:rsid w:val="59C79AD6"/>
    <w:rsid w:val="5A2A228D"/>
    <w:rsid w:val="5A547D34"/>
    <w:rsid w:val="5AD2E0BB"/>
    <w:rsid w:val="5BED0092"/>
    <w:rsid w:val="5BF04787"/>
    <w:rsid w:val="5C07617B"/>
    <w:rsid w:val="5CA59F50"/>
    <w:rsid w:val="5D341522"/>
    <w:rsid w:val="5D8C1DF6"/>
    <w:rsid w:val="5DA331DC"/>
    <w:rsid w:val="5DB91731"/>
    <w:rsid w:val="5E416FB1"/>
    <w:rsid w:val="5EF75C3B"/>
    <w:rsid w:val="5F27EE57"/>
    <w:rsid w:val="5F4DDAD4"/>
    <w:rsid w:val="5FEBF938"/>
    <w:rsid w:val="60C45F8E"/>
    <w:rsid w:val="61CF64D4"/>
    <w:rsid w:val="6242F691"/>
    <w:rsid w:val="625F8F19"/>
    <w:rsid w:val="633E1B26"/>
    <w:rsid w:val="633FA297"/>
    <w:rsid w:val="63FB5F7A"/>
    <w:rsid w:val="64329D63"/>
    <w:rsid w:val="6469DEE3"/>
    <w:rsid w:val="64993154"/>
    <w:rsid w:val="6509CC93"/>
    <w:rsid w:val="653ED5B6"/>
    <w:rsid w:val="65972FDB"/>
    <w:rsid w:val="65A47428"/>
    <w:rsid w:val="65BD6EC7"/>
    <w:rsid w:val="65C64F09"/>
    <w:rsid w:val="665E2661"/>
    <w:rsid w:val="669A154A"/>
    <w:rsid w:val="66B2FCAC"/>
    <w:rsid w:val="67F73F22"/>
    <w:rsid w:val="67F864A9"/>
    <w:rsid w:val="6814283C"/>
    <w:rsid w:val="684ECD0D"/>
    <w:rsid w:val="686B4FD5"/>
    <w:rsid w:val="68F56C63"/>
    <w:rsid w:val="6926E4D0"/>
    <w:rsid w:val="6937ACE1"/>
    <w:rsid w:val="69EA9D6E"/>
    <w:rsid w:val="6A56FA91"/>
    <w:rsid w:val="6B5AF94C"/>
    <w:rsid w:val="6BC0FDDC"/>
    <w:rsid w:val="6E01C5AB"/>
    <w:rsid w:val="6E075B58"/>
    <w:rsid w:val="6E828E27"/>
    <w:rsid w:val="6F3BFDAA"/>
    <w:rsid w:val="713CFE86"/>
    <w:rsid w:val="723E8ADE"/>
    <w:rsid w:val="7275ACD5"/>
    <w:rsid w:val="72E2EEDB"/>
    <w:rsid w:val="7307C8F0"/>
    <w:rsid w:val="7373C692"/>
    <w:rsid w:val="7400425F"/>
    <w:rsid w:val="7437C230"/>
    <w:rsid w:val="74596483"/>
    <w:rsid w:val="74EC1DDA"/>
    <w:rsid w:val="755D13B9"/>
    <w:rsid w:val="759C12C0"/>
    <w:rsid w:val="7673BC45"/>
    <w:rsid w:val="77242759"/>
    <w:rsid w:val="776F62F2"/>
    <w:rsid w:val="77C2E32D"/>
    <w:rsid w:val="78431EFC"/>
    <w:rsid w:val="786AC2FE"/>
    <w:rsid w:val="786CDE5D"/>
    <w:rsid w:val="78D84C1C"/>
    <w:rsid w:val="7A10B2C0"/>
    <w:rsid w:val="7CE5593E"/>
    <w:rsid w:val="7DC0A5A9"/>
    <w:rsid w:val="7F42F506"/>
    <w:rsid w:val="7F478DA0"/>
    <w:rsid w:val="7F718C2D"/>
    <w:rsid w:val="7F9EF3DB"/>
    <w:rsid w:val="7FA4E9A2"/>
    <w:rsid w:val="7FBDB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1932"/>
  <w15:chartTrackingRefBased/>
  <w15:docId w15:val="{1EC8B67F-A0B3-4E9E-9883-93C9D39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79"/>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67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ListParagraph">
    <w:name w:val="List Paragraph"/>
    <w:basedOn w:val="Normal"/>
    <w:uiPriority w:val="34"/>
    <w:qFormat/>
    <w:rsid w:val="0001515A"/>
    <w:pPr>
      <w:ind w:left="720"/>
      <w:contextualSpacing/>
    </w:pPr>
  </w:style>
  <w:style w:type="paragraph" w:customStyle="1" w:styleId="NormalHanging12a">
    <w:name w:val="NormalHanging12a"/>
    <w:basedOn w:val="Normal"/>
    <w:link w:val="NormalHanging12aChar"/>
    <w:rsid w:val="002A5D7D"/>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
    <w:rsid w:val="002A5D7D"/>
    <w:rPr>
      <w:rFonts w:ascii="Times New Roman" w:eastAsia="Times New Roman" w:hAnsi="Times New Roman" w:cs="Times New Roman"/>
      <w:sz w:val="24"/>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uiPriority w:val="99"/>
    <w:semiHidden/>
    <w:rPr>
      <w:sz w:val="20"/>
      <w:szCs w:val="20"/>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unhideWhenUsed/>
    <w:qFormat/>
    <w:pPr>
      <w:spacing w:after="0"/>
    </w:pPr>
    <w:rPr>
      <w:sz w:val="20"/>
    </w:rPr>
  </w:style>
  <w:style w:type="paragraph" w:styleId="Revision">
    <w:name w:val="Revision"/>
    <w:hidden/>
    <w:uiPriority w:val="99"/>
    <w:semiHidden/>
    <w:rsid w:val="0031225E"/>
    <w:pPr>
      <w:spacing w:after="0" w:line="240" w:lineRule="auto"/>
    </w:pPr>
    <w:rPr>
      <w:rFonts w:ascii="Courier New" w:eastAsia="Times New Roman" w:hAnsi="Courier New" w:cs="Times New Roman"/>
      <w:sz w:val="24"/>
      <w:szCs w:val="20"/>
      <w:lang w:eastAsia="en-GB"/>
    </w:rPr>
  </w:style>
  <w:style w:type="paragraph" w:styleId="BalloonText">
    <w:name w:val="Balloon Text"/>
    <w:basedOn w:val="Normal"/>
    <w:link w:val="BalloonTextChar"/>
    <w:uiPriority w:val="99"/>
    <w:semiHidden/>
    <w:unhideWhenUsed/>
    <w:rsid w:val="0045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C8"/>
    <w:rPr>
      <w:rFonts w:ascii="Segoe UI" w:eastAsia="Times New Roman" w:hAnsi="Segoe UI" w:cs="Segoe UI"/>
      <w:sz w:val="18"/>
      <w:szCs w:val="18"/>
      <w:lang w:eastAsia="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5A32"/>
    <w:rPr>
      <w:b/>
      <w:bCs/>
    </w:rPr>
  </w:style>
  <w:style w:type="character" w:customStyle="1" w:styleId="CommentSubjectChar">
    <w:name w:val="Comment Subject Char"/>
    <w:basedOn w:val="CommentTextChar"/>
    <w:link w:val="CommentSubject"/>
    <w:uiPriority w:val="99"/>
    <w:semiHidden/>
    <w:rsid w:val="00775A32"/>
    <w:rPr>
      <w:rFonts w:ascii="Courier New" w:eastAsia="Times New Roman" w:hAnsi="Courier New" w:cs="Times New Roman"/>
      <w:b/>
      <w:bCs/>
      <w:sz w:val="20"/>
      <w:szCs w:val="20"/>
      <w:lang w:eastAsia="en-GB"/>
    </w:rPr>
  </w:style>
  <w:style w:type="character" w:styleId="FollowedHyperlink">
    <w:name w:val="FollowedHyperlink"/>
    <w:basedOn w:val="DefaultParagraphFont"/>
    <w:uiPriority w:val="99"/>
    <w:semiHidden/>
    <w:unhideWhenUsed/>
    <w:rsid w:val="00DD5D4D"/>
    <w:rPr>
      <w:color w:val="954F72" w:themeColor="followedHyperlink"/>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uiPriority w:val="99"/>
    <w:qFormat/>
    <w:rsid w:val="00EA5216"/>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EA5216"/>
    <w:pPr>
      <w:spacing w:after="160" w:line="240" w:lineRule="exact"/>
      <w:jc w:val="lef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ransport.ec.europa.eu/news/connecting-europe-train-10-eu-pilot-services-boost-cross-border-rail-2023-01-31_en" TargetMode="External"/><Relationship Id="rId1" Type="http://schemas.openxmlformats.org/officeDocument/2006/relationships/hyperlink" Target="https://transport.ec.europa.eu/news/connecting-europe-train-10-eu-pilot-services-boost-cross-border-rail-2023-01-31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6AD53B0573632408C97076259666C45" ma:contentTypeVersion="7" ma:contentTypeDescription="Create a new document in this library." ma:contentTypeScope="" ma:versionID="5472e6050a6a080c610c8f7d23129982">
  <xsd:schema xmlns:xsd="http://www.w3.org/2001/XMLSchema" xmlns:xs="http://www.w3.org/2001/XMLSchema" xmlns:p="http://schemas.microsoft.com/office/2006/metadata/properties" xmlns:ns3="d263b782-df17-406e-a14d-23f02ff98c36" xmlns:ns4="b9a1bbf4-3872-40cb-a1a3-b88a292b9176" xmlns:ns5="118d912a-375e-4e59-9f78-0e591e440620" targetNamespace="http://schemas.microsoft.com/office/2006/metadata/properties" ma:root="true" ma:fieldsID="b4613647f9118e14c930fea0a21af656" ns3:_="" ns4:_="" ns5:_="">
    <xsd:import namespace="d263b782-df17-406e-a14d-23f02ff98c36"/>
    <xsd:import namespace="b9a1bbf4-3872-40cb-a1a3-b88a292b9176"/>
    <xsd:import namespace="118d912a-375e-4e59-9f78-0e591e440620"/>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3b782-df17-406e-a14d-23f02ff98c3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d912a-375e-4e59-9f78-0e591e44062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Status xmlns="d263b782-df17-406e-a14d-23f02ff98c36">Not Started</EC_Collab_Status>
    <EC_Collab_Reference xmlns="d263b782-df17-406e-a14d-23f02ff98c36" xsi:nil="true"/>
    <EC_ARES_TRANSFERRED_BY xmlns="d263b782-df17-406e-a14d-23f02ff98c36" xsi:nil="true"/>
    <EC_ARES_DATE_TRANSFERRED xmlns="d263b782-df17-406e-a14d-23f02ff98c36" xsi:nil="true"/>
    <EC_ARES_NUMBER xmlns="d263b782-df17-406e-a14d-23f02ff98c36">
      <Url xsi:nil="true"/>
      <Description xsi:nil="true"/>
    </EC_ARES_NUMBER>
    <EC_Collab_DocumentLanguage xmlns="d263b782-df17-406e-a14d-23f02ff98c36">EN</EC_Collab_DocumentLanguage>
    <_dlc_DocId xmlns="b9a1bbf4-3872-40cb-a1a3-b88a292b9176">NHRUTF4F6DR2-1057533941-8861</_dlc_DocId>
    <_dlc_DocIdUrl xmlns="b9a1bbf4-3872-40cb-a1a3-b88a292b9176">
      <Url>https://myintracomm-collab.ec.europa.eu/dg/budg/GRIfiches/_layouts/15/DocIdRedir.aspx?ID=NHRUTF4F6DR2-1057533941-8861</Url>
      <Description>NHRUTF4F6DR2-1057533941-8861</Description>
    </_dlc_DocIdUrl>
  </documentManagement>
</p:properties>
</file>

<file path=customXml/itemProps1.xml><?xml version="1.0" encoding="utf-8"?>
<ds:datastoreItem xmlns:ds="http://schemas.openxmlformats.org/officeDocument/2006/customXml" ds:itemID="{FB42CD31-7841-4785-B528-60CC14813B65}">
  <ds:schemaRefs>
    <ds:schemaRef ds:uri="http://schemas.microsoft.com/sharepoint/v3/contenttype/forms"/>
  </ds:schemaRefs>
</ds:datastoreItem>
</file>

<file path=customXml/itemProps2.xml><?xml version="1.0" encoding="utf-8"?>
<ds:datastoreItem xmlns:ds="http://schemas.openxmlformats.org/officeDocument/2006/customXml" ds:itemID="{80F519FF-047B-4B58-A9DA-B535E03FD31C}">
  <ds:schemaRefs>
    <ds:schemaRef ds:uri="http://schemas.microsoft.com/sharepoint/events"/>
  </ds:schemaRefs>
</ds:datastoreItem>
</file>

<file path=customXml/itemProps3.xml><?xml version="1.0" encoding="utf-8"?>
<ds:datastoreItem xmlns:ds="http://schemas.openxmlformats.org/officeDocument/2006/customXml" ds:itemID="{83E21120-607C-4673-A5C8-21A20E666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3b782-df17-406e-a14d-23f02ff98c36"/>
    <ds:schemaRef ds:uri="b9a1bbf4-3872-40cb-a1a3-b88a292b9176"/>
    <ds:schemaRef ds:uri="118d912a-375e-4e59-9f78-0e591e440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9FEBB-2CB9-425F-8CBC-B343807C859B}">
  <ds:schemaRefs>
    <ds:schemaRef ds:uri="http://purl.org/dc/elements/1.1/"/>
    <ds:schemaRef ds:uri="d263b782-df17-406e-a14d-23f02ff98c36"/>
    <ds:schemaRef ds:uri="http://schemas.microsoft.com/office/infopath/2007/PartnerControls"/>
    <ds:schemaRef ds:uri="http://purl.org/dc/terms/"/>
    <ds:schemaRef ds:uri="http://schemas.microsoft.com/office/2006/metadata/properties"/>
    <ds:schemaRef ds:uri="http://schemas.microsoft.com/office/2006/documentManagement/types"/>
    <ds:schemaRef ds:uri="b9a1bbf4-3872-40cb-a1a3-b88a292b9176"/>
    <ds:schemaRef ds:uri="http://schemas.openxmlformats.org/package/2006/metadata/core-properties"/>
    <ds:schemaRef ds:uri="118d912a-375e-4e59-9f78-0e591e4406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3433</Words>
  <Characters>19743</Characters>
  <Application>Microsoft Office Word</Application>
  <DocSecurity>0</DocSecurity>
  <Lines>282</Lines>
  <Paragraphs>67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Phillip (MOVE)</dc:creator>
  <cp:keywords/>
  <dc:description/>
  <cp:lastModifiedBy>DELBAER Gerda (SG)</cp:lastModifiedBy>
  <cp:revision>2</cp:revision>
  <dcterms:created xsi:type="dcterms:W3CDTF">2023-04-20T08:27:00Z</dcterms:created>
  <dcterms:modified xsi:type="dcterms:W3CDTF">2023-04-20T08:27:00Z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2023-01-30T19:36:54Z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f62b9792-0c51-4c40-9f70-fc44dc24c041</vt:lpwstr>
  </property>
  <property fmtid="{D5CDD505-2E9C-101B-9397-08002B2CF9AE}" pid="8" name="MSIP_Label_6bd9ddd1-4d20-43f6-abfa-fc3c07406f94_ContentBits">
    <vt:lpwstr>0</vt:lpwstr>
  </property>
  <property fmtid="{D5CDD505-2E9C-101B-9397-08002B2CF9AE}" pid="9" name="ContentTypeId">
    <vt:lpwstr>0x010100258AA79CEB83498886A3A086811232500056AD53B0573632408C97076259666C45</vt:lpwstr>
  </property>
  <property fmtid="{D5CDD505-2E9C-101B-9397-08002B2CF9AE}" pid="10" name="_dlc_DocIdItemGuid">
    <vt:lpwstr>1746177c-4898-40cb-8aa6-152e44386dbb</vt:lpwstr>
  </property>
</Properties>
</file>