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68F6" w14:textId="3EEC920F" w:rsidR="000C26BB" w:rsidRPr="00D078F7" w:rsidRDefault="000C26BB" w:rsidP="000C26BB">
      <w:pPr>
        <w:spacing w:after="720"/>
        <w:jc w:val="center"/>
        <w:rPr>
          <w:rFonts w:ascii="Times New Roman" w:hAnsi="Times New Roman"/>
          <w:b/>
          <w:szCs w:val="24"/>
        </w:rPr>
      </w:pPr>
      <w:r w:rsidRPr="00D078F7">
        <w:rPr>
          <w:rFonts w:ascii="Times New Roman" w:hAnsi="Times New Roman"/>
          <w:b/>
          <w:szCs w:val="24"/>
        </w:rPr>
        <w:t>Follow-up to the European Parliament non-legislative resolution on the outcome of the Committee on Pet</w:t>
      </w:r>
      <w:r w:rsidR="00E9031B" w:rsidRPr="00D078F7">
        <w:rPr>
          <w:rFonts w:ascii="Times New Roman" w:hAnsi="Times New Roman"/>
          <w:b/>
          <w:szCs w:val="24"/>
        </w:rPr>
        <w:t>itions’ deliberations during 202</w:t>
      </w:r>
      <w:r w:rsidR="009F1937" w:rsidRPr="00D078F7">
        <w:rPr>
          <w:rFonts w:ascii="Times New Roman" w:hAnsi="Times New Roman"/>
          <w:b/>
          <w:szCs w:val="24"/>
        </w:rPr>
        <w:t>1</w:t>
      </w:r>
    </w:p>
    <w:p w14:paraId="0F518368" w14:textId="2403474E" w:rsidR="000C26BB" w:rsidRPr="00D078F7" w:rsidRDefault="000C26BB" w:rsidP="001B1AB8">
      <w:pPr>
        <w:numPr>
          <w:ilvl w:val="0"/>
          <w:numId w:val="1"/>
        </w:numPr>
        <w:ind w:left="567" w:hanging="567"/>
        <w:rPr>
          <w:rFonts w:ascii="Times New Roman" w:hAnsi="Times New Roman"/>
          <w:i/>
          <w:szCs w:val="24"/>
          <w:lang w:val="fr-BE"/>
        </w:rPr>
      </w:pPr>
      <w:r w:rsidRPr="00D078F7">
        <w:rPr>
          <w:rFonts w:ascii="Times New Roman" w:hAnsi="Times New Roman"/>
          <w:b/>
          <w:szCs w:val="24"/>
          <w:lang w:val="fr-BE"/>
        </w:rPr>
        <w:t>Rapporteur:</w:t>
      </w:r>
      <w:r w:rsidRPr="00D078F7">
        <w:rPr>
          <w:rFonts w:ascii="Times New Roman" w:hAnsi="Times New Roman"/>
          <w:szCs w:val="24"/>
          <w:lang w:val="fr-BE"/>
        </w:rPr>
        <w:t xml:space="preserve"> </w:t>
      </w:r>
      <w:r w:rsidR="00185674" w:rsidRPr="00D078F7">
        <w:rPr>
          <w:rFonts w:ascii="Times New Roman" w:hAnsi="Times New Roman"/>
          <w:iCs/>
          <w:szCs w:val="24"/>
          <w:lang w:val="fr-BE"/>
        </w:rPr>
        <w:t>Loránt VINCZE</w:t>
      </w:r>
      <w:r w:rsidR="00185674" w:rsidRPr="00D078F7">
        <w:rPr>
          <w:rFonts w:ascii="Times New Roman" w:hAnsi="Times New Roman"/>
          <w:szCs w:val="24"/>
          <w:lang w:val="fr-BE"/>
        </w:rPr>
        <w:t xml:space="preserve"> </w:t>
      </w:r>
      <w:r w:rsidR="00E9031B" w:rsidRPr="00D078F7">
        <w:rPr>
          <w:rFonts w:ascii="Times New Roman" w:hAnsi="Times New Roman"/>
          <w:szCs w:val="24"/>
          <w:lang w:val="fr-BE"/>
        </w:rPr>
        <w:t>(EPP</w:t>
      </w:r>
      <w:r w:rsidR="0021639E">
        <w:rPr>
          <w:rFonts w:ascii="Times New Roman" w:hAnsi="Times New Roman"/>
          <w:szCs w:val="24"/>
          <w:lang w:val="fr-BE"/>
        </w:rPr>
        <w:t xml:space="preserve"> </w:t>
      </w:r>
      <w:r w:rsidR="00E9031B" w:rsidRPr="00D078F7">
        <w:rPr>
          <w:rFonts w:ascii="Times New Roman" w:hAnsi="Times New Roman"/>
          <w:szCs w:val="24"/>
          <w:lang w:val="fr-BE"/>
        </w:rPr>
        <w:t>/</w:t>
      </w:r>
      <w:r w:rsidR="0021639E">
        <w:rPr>
          <w:rFonts w:ascii="Times New Roman" w:hAnsi="Times New Roman"/>
          <w:szCs w:val="24"/>
          <w:lang w:val="fr-BE"/>
        </w:rPr>
        <w:t xml:space="preserve"> </w:t>
      </w:r>
      <w:r w:rsidR="00E9031B" w:rsidRPr="00D078F7">
        <w:rPr>
          <w:rFonts w:ascii="Times New Roman" w:hAnsi="Times New Roman"/>
          <w:szCs w:val="24"/>
          <w:lang w:val="fr-BE"/>
        </w:rPr>
        <w:t>RO)</w:t>
      </w:r>
    </w:p>
    <w:p w14:paraId="452ADEAF" w14:textId="4159CC7A" w:rsidR="000C26BB" w:rsidRPr="00D078F7" w:rsidRDefault="000C26BB" w:rsidP="001B1AB8">
      <w:pPr>
        <w:pStyle w:val="Default"/>
        <w:numPr>
          <w:ilvl w:val="0"/>
          <w:numId w:val="1"/>
        </w:numPr>
        <w:spacing w:after="240"/>
        <w:ind w:left="567" w:hanging="567"/>
        <w:jc w:val="both"/>
        <w:rPr>
          <w:color w:val="auto"/>
          <w:lang w:val="en-GB"/>
        </w:rPr>
      </w:pPr>
      <w:r w:rsidRPr="00D078F7">
        <w:rPr>
          <w:b/>
          <w:color w:val="auto"/>
          <w:lang w:val="en-GB"/>
        </w:rPr>
        <w:t>Reference number:</w:t>
      </w:r>
      <w:r w:rsidR="00185674" w:rsidRPr="00D078F7">
        <w:rPr>
          <w:b/>
          <w:color w:val="auto"/>
          <w:lang w:val="en-GB"/>
        </w:rPr>
        <w:t xml:space="preserve"> </w:t>
      </w:r>
      <w:r w:rsidR="00185674" w:rsidRPr="0021639E">
        <w:rPr>
          <w:lang w:val="en-GB"/>
        </w:rPr>
        <w:t>2022/2024</w:t>
      </w:r>
      <w:r w:rsidR="0021639E">
        <w:rPr>
          <w:lang w:val="en-GB"/>
        </w:rPr>
        <w:t xml:space="preserve"> </w:t>
      </w:r>
      <w:r w:rsidR="00185674" w:rsidRPr="0021639E">
        <w:rPr>
          <w:lang w:val="en-GB"/>
        </w:rPr>
        <w:t>(INI)</w:t>
      </w:r>
      <w:r w:rsidR="0021639E">
        <w:rPr>
          <w:lang w:val="en-GB"/>
        </w:rPr>
        <w:t xml:space="preserve"> / A9-0271/2022 / </w:t>
      </w:r>
      <w:r w:rsidR="0021639E">
        <w:t>P9_TA(2022)0451</w:t>
      </w:r>
    </w:p>
    <w:p w14:paraId="18ADB85E" w14:textId="552696FD" w:rsidR="000C26BB" w:rsidRPr="00D078F7" w:rsidRDefault="000C26BB" w:rsidP="001B1AB8">
      <w:pPr>
        <w:numPr>
          <w:ilvl w:val="0"/>
          <w:numId w:val="1"/>
        </w:numPr>
        <w:ind w:left="567" w:hanging="567"/>
        <w:rPr>
          <w:rFonts w:ascii="Times New Roman" w:hAnsi="Times New Roman"/>
          <w:szCs w:val="24"/>
        </w:rPr>
      </w:pPr>
      <w:r w:rsidRPr="00D078F7">
        <w:rPr>
          <w:rFonts w:ascii="Times New Roman" w:hAnsi="Times New Roman"/>
          <w:b/>
          <w:szCs w:val="24"/>
        </w:rPr>
        <w:t>Date of adoption of the resolution:</w:t>
      </w:r>
      <w:r w:rsidRPr="00D078F7">
        <w:rPr>
          <w:rFonts w:ascii="Times New Roman" w:hAnsi="Times New Roman"/>
          <w:szCs w:val="24"/>
        </w:rPr>
        <w:t xml:space="preserve"> </w:t>
      </w:r>
      <w:r w:rsidRPr="00D078F7">
        <w:rPr>
          <w:rFonts w:ascii="Times New Roman" w:hAnsi="Times New Roman"/>
          <w:bCs/>
          <w:szCs w:val="24"/>
        </w:rPr>
        <w:t>1</w:t>
      </w:r>
      <w:r w:rsidR="00185674" w:rsidRPr="00D078F7">
        <w:rPr>
          <w:rFonts w:ascii="Times New Roman" w:hAnsi="Times New Roman"/>
          <w:bCs/>
          <w:szCs w:val="24"/>
        </w:rPr>
        <w:t>5</w:t>
      </w:r>
      <w:r w:rsidRPr="00D078F7">
        <w:rPr>
          <w:rFonts w:ascii="Times New Roman" w:hAnsi="Times New Roman"/>
          <w:bCs/>
          <w:szCs w:val="24"/>
        </w:rPr>
        <w:t xml:space="preserve"> December 202</w:t>
      </w:r>
      <w:r w:rsidR="00185674" w:rsidRPr="00D078F7">
        <w:rPr>
          <w:rFonts w:ascii="Times New Roman" w:hAnsi="Times New Roman"/>
          <w:bCs/>
          <w:szCs w:val="24"/>
        </w:rPr>
        <w:t>2</w:t>
      </w:r>
    </w:p>
    <w:p w14:paraId="5B86AAFD" w14:textId="77777777" w:rsidR="000C26BB" w:rsidRPr="00D078F7" w:rsidRDefault="000C26BB" w:rsidP="001B1AB8">
      <w:pPr>
        <w:numPr>
          <w:ilvl w:val="0"/>
          <w:numId w:val="1"/>
        </w:numPr>
        <w:ind w:left="567" w:hanging="567"/>
        <w:rPr>
          <w:rFonts w:ascii="Times New Roman" w:hAnsi="Times New Roman"/>
          <w:i/>
          <w:szCs w:val="24"/>
        </w:rPr>
      </w:pPr>
      <w:r w:rsidRPr="00D078F7">
        <w:rPr>
          <w:rFonts w:ascii="Times New Roman" w:hAnsi="Times New Roman"/>
          <w:b/>
          <w:szCs w:val="24"/>
        </w:rPr>
        <w:t xml:space="preserve">Competent Parliamentary Committee: </w:t>
      </w:r>
      <w:r w:rsidRPr="00D078F7">
        <w:rPr>
          <w:rFonts w:ascii="Times New Roman" w:hAnsi="Times New Roman"/>
          <w:szCs w:val="24"/>
        </w:rPr>
        <w:t>Committee on Petitions</w:t>
      </w:r>
    </w:p>
    <w:p w14:paraId="585A98A1" w14:textId="77777777" w:rsidR="000C26BB" w:rsidRPr="00D078F7" w:rsidRDefault="000C26BB" w:rsidP="001B1AB8">
      <w:pPr>
        <w:widowControl w:val="0"/>
        <w:numPr>
          <w:ilvl w:val="0"/>
          <w:numId w:val="1"/>
        </w:numPr>
        <w:ind w:left="567" w:hanging="567"/>
        <w:rPr>
          <w:rFonts w:ascii="Times New Roman" w:hAnsi="Times New Roman"/>
          <w:b/>
          <w:szCs w:val="24"/>
        </w:rPr>
      </w:pPr>
      <w:r w:rsidRPr="00D078F7">
        <w:rPr>
          <w:rFonts w:ascii="Times New Roman" w:hAnsi="Times New Roman"/>
          <w:b/>
          <w:szCs w:val="24"/>
        </w:rPr>
        <w:t xml:space="preserve">Brief analysis/ assessment of the resolution and requests made in it: </w:t>
      </w:r>
    </w:p>
    <w:p w14:paraId="269E47D5" w14:textId="314D4954" w:rsidR="00A22E42" w:rsidRPr="00D078F7" w:rsidRDefault="00A22E42" w:rsidP="0021639E">
      <w:pPr>
        <w:widowControl w:val="0"/>
        <w:spacing w:after="120"/>
        <w:rPr>
          <w:rFonts w:ascii="Times New Roman" w:hAnsi="Times New Roman"/>
          <w:szCs w:val="24"/>
        </w:rPr>
      </w:pPr>
      <w:r w:rsidRPr="00D078F7">
        <w:rPr>
          <w:rFonts w:ascii="Times New Roman" w:hAnsi="Times New Roman"/>
          <w:szCs w:val="24"/>
        </w:rPr>
        <w:t>This is a regular own-initiative re</w:t>
      </w:r>
      <w:r w:rsidR="0021639E">
        <w:rPr>
          <w:rFonts w:ascii="Times New Roman" w:hAnsi="Times New Roman"/>
          <w:szCs w:val="24"/>
        </w:rPr>
        <w:t>solution</w:t>
      </w:r>
      <w:r w:rsidRPr="00D078F7">
        <w:rPr>
          <w:rFonts w:ascii="Times New Roman" w:hAnsi="Times New Roman"/>
          <w:szCs w:val="24"/>
        </w:rPr>
        <w:t xml:space="preserve"> prepared by the Committee on Petitions with regard to</w:t>
      </w:r>
      <w:r w:rsidR="0021639E">
        <w:rPr>
          <w:rFonts w:ascii="Times New Roman" w:hAnsi="Times New Roman"/>
          <w:szCs w:val="24"/>
        </w:rPr>
        <w:t xml:space="preserve"> its</w:t>
      </w:r>
      <w:r w:rsidRPr="00D078F7">
        <w:rPr>
          <w:rFonts w:ascii="Times New Roman" w:hAnsi="Times New Roman"/>
          <w:szCs w:val="24"/>
        </w:rPr>
        <w:t xml:space="preserve"> work and the petitions handled during the previous year, namely 20</w:t>
      </w:r>
      <w:r w:rsidR="00243D65" w:rsidRPr="00D078F7">
        <w:rPr>
          <w:rFonts w:ascii="Times New Roman" w:hAnsi="Times New Roman"/>
          <w:szCs w:val="24"/>
        </w:rPr>
        <w:t>2</w:t>
      </w:r>
      <w:r w:rsidR="00185674" w:rsidRPr="00D078F7">
        <w:rPr>
          <w:rFonts w:ascii="Times New Roman" w:hAnsi="Times New Roman"/>
          <w:szCs w:val="24"/>
        </w:rPr>
        <w:t>1</w:t>
      </w:r>
      <w:r w:rsidRPr="00D078F7">
        <w:rPr>
          <w:rFonts w:ascii="Times New Roman" w:hAnsi="Times New Roman"/>
          <w:szCs w:val="24"/>
        </w:rPr>
        <w:t>.</w:t>
      </w:r>
    </w:p>
    <w:p w14:paraId="21368D13" w14:textId="05BC36FE" w:rsidR="00243D65" w:rsidRPr="00D078F7" w:rsidRDefault="00A22E42" w:rsidP="0021639E">
      <w:pPr>
        <w:widowControl w:val="0"/>
        <w:spacing w:after="120"/>
        <w:rPr>
          <w:rFonts w:ascii="Times New Roman" w:hAnsi="Times New Roman"/>
          <w:szCs w:val="24"/>
        </w:rPr>
      </w:pPr>
      <w:r w:rsidRPr="00D078F7">
        <w:rPr>
          <w:rFonts w:ascii="Times New Roman" w:hAnsi="Times New Roman"/>
          <w:szCs w:val="24"/>
        </w:rPr>
        <w:t>The re</w:t>
      </w:r>
      <w:r w:rsidR="0021639E">
        <w:rPr>
          <w:rFonts w:ascii="Times New Roman" w:hAnsi="Times New Roman"/>
          <w:szCs w:val="24"/>
        </w:rPr>
        <w:t>solution</w:t>
      </w:r>
      <w:r w:rsidRPr="00D078F7">
        <w:rPr>
          <w:rFonts w:ascii="Times New Roman" w:hAnsi="Times New Roman"/>
          <w:szCs w:val="24"/>
        </w:rPr>
        <w:t xml:space="preserve"> </w:t>
      </w:r>
      <w:r w:rsidR="00243D65" w:rsidRPr="00D078F7">
        <w:rPr>
          <w:rFonts w:ascii="Times New Roman" w:hAnsi="Times New Roman"/>
          <w:szCs w:val="24"/>
        </w:rPr>
        <w:t xml:space="preserve">stresses the pivotal importance of petitions in promoting the principles of direct democracy and improving the active participation of EU citizens. </w:t>
      </w:r>
      <w:r w:rsidR="0021639E">
        <w:rPr>
          <w:rFonts w:ascii="Times New Roman" w:hAnsi="Times New Roman"/>
          <w:szCs w:val="24"/>
        </w:rPr>
        <w:t>It</w:t>
      </w:r>
      <w:r w:rsidR="00185674" w:rsidRPr="00D078F7">
        <w:rPr>
          <w:rFonts w:ascii="Times New Roman" w:hAnsi="Times New Roman"/>
          <w:szCs w:val="24"/>
        </w:rPr>
        <w:t xml:space="preserve"> notes that the European Parliament received 1 392 petitions in 2021, which represents a decrease by 11.5% compared to the 1 573 petitions submitted in 2020. The number of petitions on COVID-19 in 2021 increased compared to 2020 (242 in 2021 and 209 in 2020). In 2021, 79% of the petitions were submitted via the Petitions Web Portal while 21% of petitions were submitted by post. The re</w:t>
      </w:r>
      <w:r w:rsidR="0021639E">
        <w:rPr>
          <w:rFonts w:ascii="Times New Roman" w:hAnsi="Times New Roman"/>
          <w:szCs w:val="24"/>
        </w:rPr>
        <w:t>solution</w:t>
      </w:r>
      <w:r w:rsidR="00185674" w:rsidRPr="00D078F7">
        <w:rPr>
          <w:rFonts w:ascii="Times New Roman" w:hAnsi="Times New Roman"/>
          <w:szCs w:val="24"/>
        </w:rPr>
        <w:t xml:space="preserve"> deplores, however, that the overall number of petitions remains modest in relation to the total population of the EU. Therefore, </w:t>
      </w:r>
      <w:r w:rsidR="0021639E">
        <w:rPr>
          <w:rFonts w:ascii="Times New Roman" w:hAnsi="Times New Roman"/>
          <w:szCs w:val="24"/>
        </w:rPr>
        <w:t>it</w:t>
      </w:r>
      <w:r w:rsidR="00185674" w:rsidRPr="00D078F7">
        <w:rPr>
          <w:rFonts w:ascii="Times New Roman" w:hAnsi="Times New Roman"/>
          <w:szCs w:val="24"/>
        </w:rPr>
        <w:t xml:space="preserve"> considers that more efforts are needed to increase citizens’ awareness about their right to petition, further promote this instrument and increase the geographical representation of petitions submitted per Member State. It also calls to increase awareness of petitions’ possible usefulness as a means of drawing the attention of the EU institutions and Member States to matters that affect and concern citizens directly.</w:t>
      </w:r>
    </w:p>
    <w:p w14:paraId="58F31185" w14:textId="3ACEAE33" w:rsidR="00185674" w:rsidRPr="00D078F7" w:rsidRDefault="00185674" w:rsidP="0021639E">
      <w:pPr>
        <w:widowControl w:val="0"/>
        <w:spacing w:after="120"/>
        <w:rPr>
          <w:rFonts w:ascii="Times New Roman" w:hAnsi="Times New Roman"/>
          <w:szCs w:val="24"/>
        </w:rPr>
      </w:pPr>
      <w:r w:rsidRPr="00D078F7">
        <w:rPr>
          <w:rFonts w:ascii="Times New Roman" w:hAnsi="Times New Roman"/>
          <w:szCs w:val="24"/>
        </w:rPr>
        <w:t>In addition to the statistics on petitions received and processed in 2021, the re</w:t>
      </w:r>
      <w:r w:rsidR="0021639E">
        <w:rPr>
          <w:rFonts w:ascii="Times New Roman" w:hAnsi="Times New Roman"/>
          <w:szCs w:val="24"/>
        </w:rPr>
        <w:t>solution</w:t>
      </w:r>
      <w:r w:rsidRPr="00D078F7">
        <w:rPr>
          <w:rFonts w:ascii="Times New Roman" w:hAnsi="Times New Roman"/>
          <w:szCs w:val="24"/>
        </w:rPr>
        <w:t xml:space="preserve"> takes stock of all other parliamentary activities</w:t>
      </w:r>
      <w:r w:rsidR="00E8785B">
        <w:rPr>
          <w:rFonts w:ascii="Times New Roman" w:hAnsi="Times New Roman"/>
          <w:szCs w:val="24"/>
        </w:rPr>
        <w:t>,</w:t>
      </w:r>
      <w:r w:rsidRPr="00D078F7">
        <w:rPr>
          <w:rFonts w:ascii="Times New Roman" w:hAnsi="Times New Roman"/>
          <w:szCs w:val="24"/>
        </w:rPr>
        <w:t xml:space="preserve"> such as the adoption of reports and opinions, the organisation of hearings and the committee’s relations with other EU institutions.</w:t>
      </w:r>
    </w:p>
    <w:p w14:paraId="44CECB73" w14:textId="6E6EFE3C" w:rsidR="00D078F7" w:rsidRDefault="00117811" w:rsidP="0021639E">
      <w:pPr>
        <w:widowControl w:val="0"/>
        <w:rPr>
          <w:rFonts w:ascii="Times New Roman" w:hAnsi="Times New Roman"/>
          <w:szCs w:val="24"/>
        </w:rPr>
      </w:pPr>
      <w:r w:rsidRPr="00D078F7">
        <w:rPr>
          <w:rFonts w:ascii="Times New Roman" w:hAnsi="Times New Roman"/>
          <w:szCs w:val="24"/>
        </w:rPr>
        <w:t>The re</w:t>
      </w:r>
      <w:r w:rsidR="0021639E">
        <w:rPr>
          <w:rFonts w:ascii="Times New Roman" w:hAnsi="Times New Roman"/>
          <w:szCs w:val="24"/>
        </w:rPr>
        <w:t>solution</w:t>
      </w:r>
      <w:r w:rsidR="00243D65" w:rsidRPr="00D078F7">
        <w:rPr>
          <w:rFonts w:ascii="Times New Roman" w:hAnsi="Times New Roman"/>
          <w:szCs w:val="24"/>
        </w:rPr>
        <w:t xml:space="preserve"> recognises that the Commission, as the guardian of the Treaties, </w:t>
      </w:r>
      <w:r w:rsidR="00185674" w:rsidRPr="00D078F7">
        <w:rPr>
          <w:rFonts w:ascii="Times New Roman" w:hAnsi="Times New Roman"/>
          <w:szCs w:val="24"/>
        </w:rPr>
        <w:t>remains the natural partner of the Committee on Petitions in processing petitions as the responsible EU institution for ensuring the implementation of and compliance with EU law. It also recognises that the two institutions have a well-established and consistently maintained level of cooperation. However, the re</w:t>
      </w:r>
      <w:r w:rsidR="0021639E">
        <w:rPr>
          <w:rFonts w:ascii="Times New Roman" w:hAnsi="Times New Roman"/>
          <w:szCs w:val="24"/>
        </w:rPr>
        <w:t>solution</w:t>
      </w:r>
      <w:r w:rsidR="00185674" w:rsidRPr="00D078F7">
        <w:rPr>
          <w:rFonts w:ascii="Times New Roman" w:hAnsi="Times New Roman"/>
          <w:szCs w:val="24"/>
        </w:rPr>
        <w:t xml:space="preserve"> notes that the Commission has not changed its policy on complaints and infringements</w:t>
      </w:r>
      <w:r w:rsidR="002755B2" w:rsidRPr="00D078F7">
        <w:rPr>
          <w:rFonts w:ascii="Times New Roman" w:hAnsi="Times New Roman"/>
          <w:szCs w:val="24"/>
        </w:rPr>
        <w:t xml:space="preserve"> and</w:t>
      </w:r>
      <w:r w:rsidR="00185674" w:rsidRPr="00D078F7">
        <w:rPr>
          <w:rFonts w:ascii="Times New Roman" w:hAnsi="Times New Roman"/>
          <w:szCs w:val="24"/>
        </w:rPr>
        <w:t xml:space="preserve"> remains critical as regards its 2016 ‘</w:t>
      </w:r>
      <w:hyperlink r:id="rId8" w:history="1">
        <w:r w:rsidR="00185674" w:rsidRPr="00D078F7">
          <w:rPr>
            <w:rStyle w:val="Hyperlink"/>
            <w:rFonts w:ascii="Times New Roman" w:hAnsi="Times New Roman"/>
            <w:szCs w:val="24"/>
          </w:rPr>
          <w:t>EU Law: Better Results through Better Application</w:t>
        </w:r>
      </w:hyperlink>
      <w:r w:rsidR="00185674" w:rsidRPr="00D078F7">
        <w:rPr>
          <w:rFonts w:ascii="Times New Roman" w:hAnsi="Times New Roman"/>
          <w:szCs w:val="24"/>
        </w:rPr>
        <w:t>’</w:t>
      </w:r>
      <w:r w:rsidR="00E8785B">
        <w:rPr>
          <w:rFonts w:ascii="Times New Roman" w:hAnsi="Times New Roman"/>
          <w:szCs w:val="24"/>
        </w:rPr>
        <w:t xml:space="preserve"> C</w:t>
      </w:r>
      <w:r w:rsidR="002755B2" w:rsidRPr="00D078F7">
        <w:rPr>
          <w:rFonts w:ascii="Times New Roman" w:hAnsi="Times New Roman"/>
          <w:szCs w:val="24"/>
        </w:rPr>
        <w:t>ommunication</w:t>
      </w:r>
      <w:r w:rsidR="00185674" w:rsidRPr="00D078F7">
        <w:rPr>
          <w:rFonts w:ascii="Times New Roman" w:hAnsi="Times New Roman"/>
          <w:szCs w:val="24"/>
        </w:rPr>
        <w:t xml:space="preserve">, which aims to direct citizens to the national level when complaints or petitions do not raise issues of wider principle or systematic failure to comply with EU law. In this regard, </w:t>
      </w:r>
      <w:r w:rsidR="00A050E7" w:rsidRPr="00D078F7">
        <w:rPr>
          <w:rFonts w:ascii="Times New Roman" w:hAnsi="Times New Roman"/>
          <w:szCs w:val="24"/>
        </w:rPr>
        <w:t xml:space="preserve">the </w:t>
      </w:r>
      <w:r w:rsidR="00185674" w:rsidRPr="00D078F7">
        <w:rPr>
          <w:rFonts w:ascii="Times New Roman" w:hAnsi="Times New Roman"/>
          <w:szCs w:val="24"/>
        </w:rPr>
        <w:t>re</w:t>
      </w:r>
      <w:r w:rsidR="0021639E">
        <w:rPr>
          <w:rFonts w:ascii="Times New Roman" w:hAnsi="Times New Roman"/>
          <w:szCs w:val="24"/>
        </w:rPr>
        <w:t>solution</w:t>
      </w:r>
      <w:r w:rsidR="00185674" w:rsidRPr="00D078F7">
        <w:rPr>
          <w:rFonts w:ascii="Times New Roman" w:hAnsi="Times New Roman"/>
          <w:szCs w:val="24"/>
        </w:rPr>
        <w:t xml:space="preserve"> calls </w:t>
      </w:r>
      <w:r w:rsidR="0021639E">
        <w:rPr>
          <w:rFonts w:ascii="Times New Roman" w:hAnsi="Times New Roman"/>
          <w:szCs w:val="24"/>
        </w:rPr>
        <w:t xml:space="preserve">on </w:t>
      </w:r>
      <w:r w:rsidR="00185674" w:rsidRPr="00D078F7">
        <w:rPr>
          <w:rFonts w:ascii="Times New Roman" w:hAnsi="Times New Roman"/>
          <w:szCs w:val="24"/>
        </w:rPr>
        <w:t>the Commission to check whether national authorities take the necessary steps to respond to citizens’ concerns as expressed in their petitions. Additionally, the re</w:t>
      </w:r>
      <w:r w:rsidR="0021639E">
        <w:rPr>
          <w:rFonts w:ascii="Times New Roman" w:hAnsi="Times New Roman"/>
          <w:szCs w:val="24"/>
        </w:rPr>
        <w:t>solution</w:t>
      </w:r>
      <w:r w:rsidR="00185674" w:rsidRPr="00D078F7">
        <w:rPr>
          <w:rFonts w:ascii="Times New Roman" w:hAnsi="Times New Roman"/>
          <w:szCs w:val="24"/>
        </w:rPr>
        <w:t xml:space="preserve"> reiterates previous calls for regular updates on developments in infringement proceedings and for transparency and access to documents in relation to infringement and EU pilot procedures, which relate to open petitions.</w:t>
      </w:r>
    </w:p>
    <w:p w14:paraId="4C5FC16F" w14:textId="77777777" w:rsidR="000C26BB" w:rsidRPr="0021639E" w:rsidRDefault="000C26BB" w:rsidP="0021639E">
      <w:pPr>
        <w:keepNext/>
        <w:keepLines/>
        <w:widowControl w:val="0"/>
        <w:numPr>
          <w:ilvl w:val="0"/>
          <w:numId w:val="1"/>
        </w:numPr>
        <w:spacing w:after="120"/>
        <w:ind w:left="567" w:hanging="567"/>
        <w:rPr>
          <w:rFonts w:ascii="Times New Roman" w:hAnsi="Times New Roman"/>
          <w:b/>
          <w:szCs w:val="24"/>
        </w:rPr>
      </w:pPr>
      <w:r w:rsidRPr="0021639E">
        <w:rPr>
          <w:rFonts w:ascii="Times New Roman" w:hAnsi="Times New Roman"/>
          <w:b/>
          <w:szCs w:val="24"/>
        </w:rPr>
        <w:lastRenderedPageBreak/>
        <w:t xml:space="preserve">Response to requests and overview of action taken, or intended to be taken, by the Commission: </w:t>
      </w:r>
    </w:p>
    <w:p w14:paraId="4858BBEA" w14:textId="74BEC4CA" w:rsidR="00405AED" w:rsidRPr="0021639E" w:rsidRDefault="004D54D1" w:rsidP="0021639E">
      <w:pPr>
        <w:keepNext/>
        <w:keepLines/>
        <w:spacing w:after="120"/>
        <w:rPr>
          <w:rFonts w:ascii="Times New Roman" w:hAnsi="Times New Roman"/>
          <w:i/>
          <w:szCs w:val="24"/>
        </w:rPr>
      </w:pPr>
      <w:r w:rsidRPr="0021639E">
        <w:rPr>
          <w:rFonts w:ascii="Times New Roman" w:hAnsi="Times New Roman"/>
          <w:i/>
          <w:szCs w:val="24"/>
        </w:rPr>
        <w:t>Paragraph</w:t>
      </w:r>
      <w:r w:rsidR="00BE7E6C" w:rsidRPr="0021639E">
        <w:rPr>
          <w:rFonts w:ascii="Times New Roman" w:hAnsi="Times New Roman"/>
          <w:i/>
          <w:szCs w:val="24"/>
        </w:rPr>
        <w:t>s</w:t>
      </w:r>
      <w:r w:rsidRPr="0021639E">
        <w:rPr>
          <w:rFonts w:ascii="Times New Roman" w:hAnsi="Times New Roman"/>
          <w:i/>
          <w:szCs w:val="24"/>
        </w:rPr>
        <w:t xml:space="preserve"> 6</w:t>
      </w:r>
      <w:r w:rsidR="00BE7E6C" w:rsidRPr="0021639E">
        <w:rPr>
          <w:rFonts w:ascii="Times New Roman" w:hAnsi="Times New Roman"/>
          <w:i/>
          <w:szCs w:val="24"/>
        </w:rPr>
        <w:t xml:space="preserve"> </w:t>
      </w:r>
      <w:r w:rsidR="00405AED" w:rsidRPr="0021639E">
        <w:rPr>
          <w:rFonts w:ascii="Times New Roman" w:hAnsi="Times New Roman"/>
          <w:i/>
          <w:szCs w:val="24"/>
        </w:rPr>
        <w:t xml:space="preserve">and </w:t>
      </w:r>
      <w:r w:rsidR="00BE7E6C" w:rsidRPr="0021639E">
        <w:rPr>
          <w:rFonts w:ascii="Times New Roman" w:hAnsi="Times New Roman"/>
          <w:i/>
          <w:szCs w:val="24"/>
        </w:rPr>
        <w:t>9</w:t>
      </w:r>
    </w:p>
    <w:p w14:paraId="7315D192" w14:textId="6B986F53" w:rsidR="00405AED" w:rsidRPr="00D078F7" w:rsidRDefault="00405AED" w:rsidP="0021639E">
      <w:pPr>
        <w:keepNext/>
        <w:keepLines/>
        <w:spacing w:after="120"/>
        <w:rPr>
          <w:rFonts w:ascii="Times New Roman" w:hAnsi="Times New Roman"/>
          <w:iCs/>
          <w:szCs w:val="24"/>
        </w:rPr>
      </w:pPr>
      <w:r w:rsidRPr="0021639E">
        <w:rPr>
          <w:rFonts w:ascii="Times New Roman" w:hAnsi="Times New Roman"/>
          <w:iCs/>
          <w:szCs w:val="24"/>
        </w:rPr>
        <w:t>The Commission has already replied to this call in its responses to the resolutions adopted in 2020 (</w:t>
      </w:r>
      <w:hyperlink r:id="rId9" w:history="1">
        <w:r w:rsidRPr="0021639E">
          <w:rPr>
            <w:rStyle w:val="Hyperlink"/>
            <w:rFonts w:ascii="Times New Roman" w:hAnsi="Times New Roman"/>
            <w:iCs/>
            <w:szCs w:val="24"/>
          </w:rPr>
          <w:t>SP(2021)190</w:t>
        </w:r>
      </w:hyperlink>
      <w:r w:rsidRPr="00D078F7">
        <w:rPr>
          <w:rFonts w:ascii="Times New Roman" w:hAnsi="Times New Roman"/>
          <w:iCs/>
          <w:szCs w:val="24"/>
        </w:rPr>
        <w:t>) and 2021(</w:t>
      </w:r>
      <w:hyperlink r:id="rId10" w:history="1">
        <w:r w:rsidRPr="00D078F7">
          <w:rPr>
            <w:rStyle w:val="Hyperlink"/>
            <w:rFonts w:ascii="Times New Roman" w:hAnsi="Times New Roman"/>
            <w:iCs/>
            <w:szCs w:val="24"/>
          </w:rPr>
          <w:t>SP(2022)123</w:t>
        </w:r>
      </w:hyperlink>
      <w:r w:rsidRPr="00D078F7">
        <w:rPr>
          <w:rFonts w:ascii="Times New Roman" w:hAnsi="Times New Roman"/>
          <w:iCs/>
          <w:szCs w:val="24"/>
        </w:rPr>
        <w:t xml:space="preserve">). </w:t>
      </w:r>
    </w:p>
    <w:p w14:paraId="51F3B651" w14:textId="159ADD2E" w:rsidR="00405AED" w:rsidRPr="00D078F7" w:rsidRDefault="00405AED" w:rsidP="0021639E">
      <w:pPr>
        <w:spacing w:after="120"/>
        <w:rPr>
          <w:rFonts w:ascii="Times New Roman" w:hAnsi="Times New Roman"/>
          <w:iCs/>
          <w:szCs w:val="24"/>
        </w:rPr>
      </w:pPr>
      <w:r w:rsidRPr="00D078F7">
        <w:rPr>
          <w:rFonts w:ascii="Times New Roman" w:hAnsi="Times New Roman"/>
          <w:iCs/>
          <w:szCs w:val="24"/>
        </w:rPr>
        <w:t xml:space="preserve">As regards an interinstitutional agreement, please see Commission’s reply </w:t>
      </w:r>
      <w:hyperlink r:id="rId11" w:history="1">
        <w:r w:rsidRPr="00D078F7">
          <w:rPr>
            <w:rStyle w:val="Hyperlink"/>
            <w:rFonts w:ascii="Times New Roman" w:hAnsi="Times New Roman"/>
            <w:iCs/>
            <w:szCs w:val="24"/>
          </w:rPr>
          <w:t>SP(2022)271</w:t>
        </w:r>
      </w:hyperlink>
    </w:p>
    <w:p w14:paraId="272831AD" w14:textId="559070F8" w:rsidR="002755B2" w:rsidRPr="00D078F7" w:rsidRDefault="002755B2" w:rsidP="0021639E">
      <w:pPr>
        <w:spacing w:after="120"/>
        <w:rPr>
          <w:rFonts w:ascii="Times New Roman" w:hAnsi="Times New Roman"/>
          <w:i/>
          <w:szCs w:val="24"/>
        </w:rPr>
      </w:pPr>
      <w:r w:rsidRPr="00D078F7">
        <w:rPr>
          <w:rFonts w:ascii="Times New Roman" w:hAnsi="Times New Roman"/>
          <w:i/>
          <w:szCs w:val="24"/>
        </w:rPr>
        <w:t>Paragraph 8</w:t>
      </w:r>
    </w:p>
    <w:p w14:paraId="36AAE06B" w14:textId="11D73C6E" w:rsidR="002755B2" w:rsidRPr="00D078F7" w:rsidRDefault="00331A20" w:rsidP="0021639E">
      <w:pPr>
        <w:spacing w:after="120"/>
        <w:rPr>
          <w:rFonts w:ascii="Times New Roman" w:hAnsi="Times New Roman"/>
          <w:iCs/>
          <w:szCs w:val="24"/>
        </w:rPr>
      </w:pPr>
      <w:r w:rsidRPr="00D078F7">
        <w:rPr>
          <w:rFonts w:ascii="Times New Roman" w:hAnsi="Times New Roman"/>
          <w:iCs/>
          <w:szCs w:val="24"/>
        </w:rPr>
        <w:t xml:space="preserve">The Commission is ready to assess the feasibility of an </w:t>
      </w:r>
      <w:r w:rsidR="00627701" w:rsidRPr="00D078F7">
        <w:rPr>
          <w:rFonts w:ascii="Times New Roman" w:hAnsi="Times New Roman"/>
          <w:iCs/>
          <w:szCs w:val="24"/>
        </w:rPr>
        <w:t xml:space="preserve">interinstitutional IT tool between the Commission and Parliament, </w:t>
      </w:r>
      <w:r w:rsidRPr="00D078F7">
        <w:rPr>
          <w:rFonts w:ascii="Times New Roman" w:hAnsi="Times New Roman"/>
          <w:iCs/>
          <w:szCs w:val="24"/>
        </w:rPr>
        <w:t xml:space="preserve">provided that </w:t>
      </w:r>
      <w:r w:rsidR="00627701" w:rsidRPr="00D078F7">
        <w:rPr>
          <w:rFonts w:ascii="Times New Roman" w:hAnsi="Times New Roman"/>
          <w:iCs/>
          <w:szCs w:val="24"/>
        </w:rPr>
        <w:t xml:space="preserve">the budgetary resources, as well as the technical solutions </w:t>
      </w:r>
      <w:r w:rsidRPr="00D078F7">
        <w:rPr>
          <w:rFonts w:ascii="Times New Roman" w:hAnsi="Times New Roman"/>
          <w:iCs/>
          <w:szCs w:val="24"/>
        </w:rPr>
        <w:t>would</w:t>
      </w:r>
      <w:r w:rsidR="00627701" w:rsidRPr="00D078F7">
        <w:rPr>
          <w:rFonts w:ascii="Times New Roman" w:hAnsi="Times New Roman"/>
          <w:iCs/>
          <w:szCs w:val="24"/>
        </w:rPr>
        <w:t xml:space="preserve"> be identified. As a first step, a link between the Europa pages and the Petition web portal could be set up to help citizens to be regularly informed on how the Commission is already addressing their petitions via infringements procedures. The Commission publishes its decisions on every step of an infringement procedure on the Europa webpage. This ensures transparency on the decision-making process, on the type of infringement pursued and on benefits that the resolution of these cases can bring to citizens and businesses.</w:t>
      </w:r>
    </w:p>
    <w:p w14:paraId="4A35F985" w14:textId="3B14E5A0" w:rsidR="005E4AC7" w:rsidRPr="00D078F7" w:rsidRDefault="005E4AC7" w:rsidP="0021639E">
      <w:pPr>
        <w:spacing w:after="120"/>
        <w:rPr>
          <w:rFonts w:ascii="Times New Roman" w:hAnsi="Times New Roman"/>
          <w:i/>
          <w:szCs w:val="24"/>
        </w:rPr>
      </w:pPr>
      <w:r w:rsidRPr="00D078F7">
        <w:rPr>
          <w:rFonts w:ascii="Times New Roman" w:hAnsi="Times New Roman"/>
          <w:i/>
          <w:szCs w:val="24"/>
        </w:rPr>
        <w:t>Paragraph 12</w:t>
      </w:r>
    </w:p>
    <w:p w14:paraId="471CDCF7" w14:textId="04709B13" w:rsidR="00EE5897" w:rsidRPr="00D078F7" w:rsidRDefault="00EE5897" w:rsidP="0021639E">
      <w:pPr>
        <w:spacing w:after="120"/>
        <w:rPr>
          <w:rFonts w:ascii="Times New Roman" w:hAnsi="Times New Roman"/>
          <w:iCs/>
          <w:szCs w:val="24"/>
        </w:rPr>
      </w:pPr>
      <w:r w:rsidRPr="00D078F7">
        <w:rPr>
          <w:rFonts w:ascii="Times New Roman" w:hAnsi="Times New Roman"/>
          <w:iCs/>
          <w:szCs w:val="24"/>
        </w:rPr>
        <w:t xml:space="preserve">The </w:t>
      </w:r>
      <w:r w:rsidR="00E4312F">
        <w:rPr>
          <w:rFonts w:ascii="Times New Roman" w:hAnsi="Times New Roman"/>
          <w:iCs/>
          <w:szCs w:val="24"/>
        </w:rPr>
        <w:t xml:space="preserve">implementation of </w:t>
      </w:r>
      <w:r w:rsidRPr="00D078F7">
        <w:rPr>
          <w:rFonts w:ascii="Times New Roman" w:hAnsi="Times New Roman"/>
          <w:iCs/>
          <w:szCs w:val="24"/>
        </w:rPr>
        <w:t>EU law is a shared responsibility, where Member States take the necessary steps to avoid or correct any breach and the Commission, as the guardian of the Treaties, uses different tools to promote and enforce its correct application, including infringement proceedings. The Commission’s 2022 Communication ‘Enforcing EU law for a Europe that delivers’ (</w:t>
      </w:r>
      <w:hyperlink r:id="rId12" w:history="1">
        <w:r w:rsidRPr="00D078F7">
          <w:rPr>
            <w:rStyle w:val="Hyperlink"/>
            <w:rFonts w:ascii="Times New Roman" w:hAnsi="Times New Roman"/>
            <w:iCs/>
            <w:szCs w:val="24"/>
          </w:rPr>
          <w:t>COM (2022) 518 final</w:t>
        </w:r>
      </w:hyperlink>
      <w:r w:rsidRPr="00D078F7">
        <w:rPr>
          <w:rFonts w:ascii="Times New Roman" w:hAnsi="Times New Roman"/>
          <w:iCs/>
          <w:szCs w:val="24"/>
        </w:rPr>
        <w:t>) sets out in detail how the Commission fulfils this task.</w:t>
      </w:r>
    </w:p>
    <w:p w14:paraId="3955C320" w14:textId="3C2FDCFC" w:rsidR="00EE5897" w:rsidRPr="00D078F7" w:rsidRDefault="00EE5897" w:rsidP="0021639E">
      <w:pPr>
        <w:spacing w:after="120"/>
        <w:rPr>
          <w:rFonts w:ascii="Times New Roman" w:hAnsi="Times New Roman"/>
          <w:iCs/>
          <w:szCs w:val="24"/>
        </w:rPr>
      </w:pPr>
      <w:r w:rsidRPr="00D078F7">
        <w:rPr>
          <w:rFonts w:ascii="Times New Roman" w:hAnsi="Times New Roman"/>
          <w:iCs/>
          <w:szCs w:val="24"/>
        </w:rPr>
        <w:t xml:space="preserve">Repeated cases of misapplication of EU law do not necessarily </w:t>
      </w:r>
      <w:r w:rsidR="008C634F" w:rsidRPr="00D078F7">
        <w:rPr>
          <w:rFonts w:ascii="Times New Roman" w:hAnsi="Times New Roman"/>
          <w:iCs/>
          <w:szCs w:val="24"/>
        </w:rPr>
        <w:t>represent</w:t>
      </w:r>
      <w:r w:rsidRPr="00D078F7">
        <w:rPr>
          <w:rFonts w:ascii="Times New Roman" w:hAnsi="Times New Roman"/>
          <w:iCs/>
          <w:szCs w:val="24"/>
        </w:rPr>
        <w:t xml:space="preserve"> systemic problems raising issues of general principle that the Commission can pursue. When petitions raise a systemic problem in one or more Member States, the Commission does investigate the matter and may open infringement procedures if there is no spontaneous compliance or quick remedy to the breach. In all these cases, when Member States commit to adopting adequate remedies, the Commission monitors the progress made, generally by agreeing milestones with the national authorities.</w:t>
      </w:r>
    </w:p>
    <w:p w14:paraId="2A2B82D6" w14:textId="2BB9FD2C" w:rsidR="00EE5897" w:rsidRPr="00D078F7" w:rsidRDefault="00EE5897" w:rsidP="0021639E">
      <w:pPr>
        <w:spacing w:after="120"/>
        <w:rPr>
          <w:rFonts w:ascii="Times New Roman" w:hAnsi="Times New Roman"/>
          <w:iCs/>
          <w:szCs w:val="24"/>
        </w:rPr>
      </w:pPr>
      <w:r w:rsidRPr="00D078F7">
        <w:rPr>
          <w:rFonts w:ascii="Times New Roman" w:hAnsi="Times New Roman"/>
          <w:iCs/>
          <w:szCs w:val="24"/>
        </w:rPr>
        <w:t xml:space="preserve">The Commission’s intervention is most useful when it is clear that national remedies are either not available or not effective. To enable citizens and businesses to find the necessary solutions in a legal environment that is closer to them, </w:t>
      </w:r>
      <w:r w:rsidR="00D52AFE">
        <w:rPr>
          <w:rFonts w:ascii="Times New Roman" w:hAnsi="Times New Roman"/>
          <w:iCs/>
          <w:szCs w:val="24"/>
          <w:lang w:val="en-IE"/>
        </w:rPr>
        <w:t>t</w:t>
      </w:r>
      <w:r w:rsidR="00D52AFE" w:rsidRPr="00D52AFE">
        <w:rPr>
          <w:rFonts w:ascii="Times New Roman" w:hAnsi="Times New Roman"/>
          <w:iCs/>
          <w:szCs w:val="24"/>
          <w:lang w:val="en-IE"/>
        </w:rPr>
        <w:t>he Commission focuses its enforcement action on ensuring that national authorities are sufficiently equipped and able to carry out their duties by looking at conflicts of interest, independence and staffing of such authorities</w:t>
      </w:r>
      <w:r w:rsidR="00D52AFE">
        <w:rPr>
          <w:rFonts w:ascii="Times New Roman" w:hAnsi="Times New Roman"/>
          <w:iCs/>
          <w:szCs w:val="24"/>
          <w:lang w:val="en-IE"/>
        </w:rPr>
        <w:t>.</w:t>
      </w:r>
    </w:p>
    <w:p w14:paraId="624707E8" w14:textId="3B3AC92E" w:rsidR="00EE5897" w:rsidRPr="00D078F7" w:rsidRDefault="00EE5897" w:rsidP="0021639E">
      <w:pPr>
        <w:spacing w:after="120"/>
        <w:rPr>
          <w:rFonts w:ascii="Times New Roman" w:hAnsi="Times New Roman"/>
          <w:iCs/>
          <w:szCs w:val="24"/>
        </w:rPr>
      </w:pPr>
      <w:r w:rsidRPr="00D078F7">
        <w:rPr>
          <w:rFonts w:ascii="Times New Roman" w:hAnsi="Times New Roman"/>
          <w:iCs/>
          <w:szCs w:val="24"/>
        </w:rPr>
        <w:t>Therefore, while the Commission is unable to monitor each case, petitioners can indicate whether facts that are brought to its attention are likely to constitute a breach of EU law.</w:t>
      </w:r>
      <w:r w:rsidR="00430A3D" w:rsidRPr="00D078F7">
        <w:rPr>
          <w:rFonts w:ascii="Times New Roman" w:hAnsi="Times New Roman"/>
          <w:iCs/>
          <w:szCs w:val="24"/>
        </w:rPr>
        <w:t xml:space="preserve"> The Commission replies to complaints received from citizens and takes into account their input as well as from non-governmental organisations, social partners or any other stakeholders.</w:t>
      </w:r>
    </w:p>
    <w:p w14:paraId="0DC47710" w14:textId="5944B756" w:rsidR="005E4AC7" w:rsidRPr="00D078F7" w:rsidRDefault="005E4AC7" w:rsidP="0021639E">
      <w:pPr>
        <w:spacing w:after="120"/>
        <w:rPr>
          <w:rFonts w:ascii="Times New Roman" w:hAnsi="Times New Roman"/>
          <w:i/>
          <w:szCs w:val="24"/>
        </w:rPr>
      </w:pPr>
      <w:r w:rsidRPr="00D078F7">
        <w:rPr>
          <w:rFonts w:ascii="Times New Roman" w:hAnsi="Times New Roman"/>
          <w:i/>
          <w:szCs w:val="24"/>
        </w:rPr>
        <w:t>Paragraph 1</w:t>
      </w:r>
      <w:r w:rsidR="006653D6" w:rsidRPr="00D078F7">
        <w:rPr>
          <w:rFonts w:ascii="Times New Roman" w:hAnsi="Times New Roman"/>
          <w:i/>
          <w:szCs w:val="24"/>
        </w:rPr>
        <w:t xml:space="preserve"> </w:t>
      </w:r>
    </w:p>
    <w:p w14:paraId="0EDF7393" w14:textId="75024306" w:rsidR="00430A3D" w:rsidRPr="00D078F7" w:rsidRDefault="00430A3D" w:rsidP="0021639E">
      <w:pPr>
        <w:spacing w:after="120"/>
        <w:rPr>
          <w:rFonts w:ascii="Times New Roman" w:hAnsi="Times New Roman"/>
          <w:iCs/>
          <w:szCs w:val="24"/>
        </w:rPr>
      </w:pPr>
      <w:r w:rsidRPr="00D078F7">
        <w:rPr>
          <w:rFonts w:ascii="Times New Roman" w:hAnsi="Times New Roman"/>
          <w:iCs/>
          <w:szCs w:val="24"/>
        </w:rPr>
        <w:t xml:space="preserve">The 2021 </w:t>
      </w:r>
      <w:hyperlink r:id="rId13" w:history="1">
        <w:r w:rsidRPr="00FD4EB6">
          <w:rPr>
            <w:rStyle w:val="Hyperlink"/>
            <w:rFonts w:ascii="Times New Roman" w:hAnsi="Times New Roman"/>
            <w:iCs/>
            <w:szCs w:val="24"/>
          </w:rPr>
          <w:t>Annual Report on monitoring the application of EU law provides</w:t>
        </w:r>
      </w:hyperlink>
      <w:r w:rsidRPr="00D078F7">
        <w:rPr>
          <w:rFonts w:ascii="Times New Roman" w:hAnsi="Times New Roman"/>
          <w:iCs/>
          <w:szCs w:val="24"/>
        </w:rPr>
        <w:t xml:space="preserve"> an overview of the follow-up given by the Commission to petitions in 2021 in the policy areas most concerned.</w:t>
      </w:r>
      <w:r w:rsidR="005722FE" w:rsidRPr="00D078F7">
        <w:rPr>
          <w:rFonts w:ascii="Times New Roman" w:hAnsi="Times New Roman"/>
          <w:iCs/>
          <w:szCs w:val="24"/>
        </w:rPr>
        <w:t xml:space="preserve"> </w:t>
      </w:r>
      <w:r w:rsidRPr="00D078F7">
        <w:rPr>
          <w:rFonts w:ascii="Times New Roman" w:hAnsi="Times New Roman"/>
          <w:iCs/>
          <w:szCs w:val="24"/>
        </w:rPr>
        <w:t>While the annual report has limitations in terms of size and frequency, the Commission is ready to investigate ways to improve the information provided to the public on the link between petitions and Commission enforcement activities.</w:t>
      </w:r>
    </w:p>
    <w:p w14:paraId="2D618780" w14:textId="76CB3F2B" w:rsidR="00430A3D" w:rsidRPr="00D078F7" w:rsidRDefault="00430A3D" w:rsidP="0021639E">
      <w:pPr>
        <w:spacing w:after="120"/>
        <w:rPr>
          <w:rFonts w:ascii="Times New Roman" w:hAnsi="Times New Roman"/>
          <w:iCs/>
          <w:szCs w:val="24"/>
        </w:rPr>
      </w:pPr>
      <w:r w:rsidRPr="00D078F7">
        <w:rPr>
          <w:rFonts w:ascii="Times New Roman" w:hAnsi="Times New Roman"/>
          <w:iCs/>
          <w:szCs w:val="24"/>
        </w:rPr>
        <w:lastRenderedPageBreak/>
        <w:t>The Commission believes</w:t>
      </w:r>
      <w:r w:rsidR="005722FE" w:rsidRPr="00D078F7">
        <w:rPr>
          <w:rFonts w:ascii="Times New Roman" w:hAnsi="Times New Roman"/>
          <w:iCs/>
          <w:szCs w:val="24"/>
        </w:rPr>
        <w:t xml:space="preserve"> </w:t>
      </w:r>
      <w:r w:rsidRPr="00D078F7">
        <w:rPr>
          <w:rFonts w:ascii="Times New Roman" w:hAnsi="Times New Roman"/>
          <w:iCs/>
          <w:szCs w:val="24"/>
        </w:rPr>
        <w:t>that a link between the Petition web portal and the Commission’s public register on infringement procedures, as described above in reply to paragraph 8, will significantly improve transparency as regards the link between petitions and infringement procedures and provide timelier, and therefore more relevant, information to (potential) petitioners.</w:t>
      </w:r>
    </w:p>
    <w:p w14:paraId="0DD43235" w14:textId="3C3A3EFA" w:rsidR="005E4AC7" w:rsidRPr="00D078F7" w:rsidRDefault="005E4AC7" w:rsidP="0021639E">
      <w:pPr>
        <w:spacing w:after="120"/>
        <w:rPr>
          <w:rFonts w:ascii="Times New Roman" w:hAnsi="Times New Roman"/>
          <w:i/>
          <w:szCs w:val="24"/>
        </w:rPr>
      </w:pPr>
      <w:r w:rsidRPr="00D078F7">
        <w:rPr>
          <w:rFonts w:ascii="Times New Roman" w:hAnsi="Times New Roman"/>
          <w:i/>
          <w:szCs w:val="24"/>
        </w:rPr>
        <w:t>Paragraph 20</w:t>
      </w:r>
    </w:p>
    <w:p w14:paraId="7E80625D" w14:textId="587757D6" w:rsidR="009F1937" w:rsidRPr="00D078F7" w:rsidRDefault="009F1937" w:rsidP="0021639E">
      <w:pPr>
        <w:spacing w:after="120"/>
        <w:rPr>
          <w:rFonts w:ascii="Times New Roman" w:hAnsi="Times New Roman"/>
          <w:iCs/>
          <w:szCs w:val="24"/>
          <w:lang w:val="en-IE"/>
        </w:rPr>
      </w:pPr>
      <w:r w:rsidRPr="00D078F7">
        <w:rPr>
          <w:rFonts w:ascii="Times New Roman" w:hAnsi="Times New Roman"/>
          <w:iCs/>
          <w:szCs w:val="24"/>
          <w:lang w:val="en-IE"/>
        </w:rPr>
        <w:t xml:space="preserve">On behalf of </w:t>
      </w:r>
      <w:r w:rsidR="008F5059">
        <w:rPr>
          <w:rFonts w:ascii="Times New Roman" w:hAnsi="Times New Roman"/>
          <w:iCs/>
          <w:szCs w:val="24"/>
          <w:lang w:val="en-IE"/>
        </w:rPr>
        <w:t xml:space="preserve">the </w:t>
      </w:r>
      <w:r w:rsidRPr="00D078F7">
        <w:rPr>
          <w:rFonts w:ascii="Times New Roman" w:hAnsi="Times New Roman"/>
          <w:iCs/>
          <w:szCs w:val="24"/>
          <w:lang w:val="en-IE"/>
        </w:rPr>
        <w:t>Member States, the Commission secured up to 4.2 billion doses of vaccines. Eight Advance Purchase Agreements and three Purchase Agreements were signed with seven vaccine manufacturers (BioNTech Pfizer (3), Moderna (2), Johnson&amp;Johnson, AstraZeneca, CureVac, Novavax, Sanofi and Valneva). The contracts, as well as the negotiation process raised important public interest.</w:t>
      </w:r>
    </w:p>
    <w:p w14:paraId="1E4A8B0A" w14:textId="7571A081" w:rsidR="009F1937" w:rsidRPr="00D078F7" w:rsidRDefault="009F1937" w:rsidP="0021639E">
      <w:pPr>
        <w:spacing w:after="120"/>
        <w:rPr>
          <w:rFonts w:ascii="Times New Roman" w:hAnsi="Times New Roman"/>
          <w:iCs/>
          <w:szCs w:val="24"/>
          <w:lang w:val="en-IE"/>
        </w:rPr>
      </w:pPr>
      <w:r w:rsidRPr="00D078F7">
        <w:rPr>
          <w:rFonts w:ascii="Times New Roman" w:hAnsi="Times New Roman"/>
          <w:iCs/>
          <w:szCs w:val="24"/>
          <w:lang w:val="en-IE"/>
        </w:rPr>
        <w:t>The Commission has been striving to provide the largest possible transparency in the negotiations it had with the companies for the purchase of vaccines. The Commission has replied to numerous requests for access to documents under Regulation (EC) No 1049/2001 on the topic since the outbreak of the pandemic and has released several documents in this context. The Commission published redacted versions of the Advanced Purchase Agreements with CureVac AG, Sanofi Pasteur SA &amp; GlaxoSmithKline Biologicals SA, AstraZeneca AB, Pfizer Inc. and BioNTech Manufacturing GmbH, Moderna Switzerland GmbH, Janssen Pharmaceutica NV and Novavax. It also published the Purchase Agreement with Moderna Switzerland GmbH and the two Purchase Agreements with BioNTech Manufacturing GmbH and Pfizer Inc. They are available on the Commission’s website.</w:t>
      </w:r>
    </w:p>
    <w:p w14:paraId="2CC4BED9" w14:textId="3F15A8C9" w:rsidR="009F1937" w:rsidRPr="00D078F7" w:rsidRDefault="00FF4BBD" w:rsidP="0021639E">
      <w:pPr>
        <w:spacing w:after="120"/>
        <w:rPr>
          <w:rFonts w:ascii="Times New Roman" w:hAnsi="Times New Roman"/>
          <w:iCs/>
          <w:szCs w:val="24"/>
          <w:lang w:val="en-IE"/>
        </w:rPr>
      </w:pPr>
      <w:r>
        <w:rPr>
          <w:rFonts w:ascii="Times New Roman" w:hAnsi="Times New Roman"/>
          <w:iCs/>
          <w:szCs w:val="24"/>
          <w:lang w:val="en-IE"/>
        </w:rPr>
        <w:t>T</w:t>
      </w:r>
      <w:r w:rsidR="004A4D83" w:rsidRPr="004A4D83">
        <w:rPr>
          <w:rFonts w:ascii="Times New Roman" w:hAnsi="Times New Roman"/>
          <w:iCs/>
          <w:szCs w:val="24"/>
          <w:lang w:val="en-IE"/>
        </w:rPr>
        <w:t xml:space="preserve">he </w:t>
      </w:r>
      <w:r w:rsidR="004A4D83">
        <w:rPr>
          <w:rFonts w:ascii="Times New Roman" w:hAnsi="Times New Roman"/>
          <w:iCs/>
          <w:szCs w:val="24"/>
          <w:lang w:val="en-IE"/>
        </w:rPr>
        <w:t>General Court</w:t>
      </w:r>
      <w:r w:rsidR="004A4D83" w:rsidRPr="004A4D83">
        <w:rPr>
          <w:rFonts w:ascii="Times New Roman" w:hAnsi="Times New Roman"/>
          <w:iCs/>
          <w:szCs w:val="24"/>
          <w:lang w:val="en-IE"/>
        </w:rPr>
        <w:t xml:space="preserve"> has already </w:t>
      </w:r>
      <w:r w:rsidR="002C6830">
        <w:rPr>
          <w:rFonts w:ascii="Times New Roman" w:hAnsi="Times New Roman"/>
          <w:iCs/>
          <w:szCs w:val="24"/>
          <w:lang w:val="en-IE"/>
        </w:rPr>
        <w:t>dismissed actions for annulment</w:t>
      </w:r>
      <w:r>
        <w:rPr>
          <w:rFonts w:ascii="Times New Roman" w:hAnsi="Times New Roman"/>
          <w:iCs/>
          <w:szCs w:val="24"/>
          <w:lang w:val="en-IE"/>
        </w:rPr>
        <w:t xml:space="preserve"> </w:t>
      </w:r>
      <w:r w:rsidR="002C6830">
        <w:rPr>
          <w:rFonts w:ascii="Times New Roman" w:hAnsi="Times New Roman"/>
          <w:iCs/>
          <w:szCs w:val="24"/>
          <w:lang w:val="en-IE"/>
        </w:rPr>
        <w:t xml:space="preserve">of decisions </w:t>
      </w:r>
      <w:r w:rsidR="004A4D83">
        <w:rPr>
          <w:rFonts w:ascii="Times New Roman" w:hAnsi="Times New Roman"/>
          <w:iCs/>
          <w:szCs w:val="24"/>
          <w:lang w:val="en-IE"/>
        </w:rPr>
        <w:t>adopted under Regulation (EC) No 1049/2001</w:t>
      </w:r>
      <w:r>
        <w:rPr>
          <w:rFonts w:ascii="Times New Roman" w:hAnsi="Times New Roman"/>
          <w:iCs/>
          <w:szCs w:val="24"/>
          <w:lang w:val="en-IE"/>
        </w:rPr>
        <w:t xml:space="preserve"> introduced by applicants</w:t>
      </w:r>
      <w:r w:rsidR="00F174D4">
        <w:rPr>
          <w:rFonts w:ascii="Times New Roman" w:hAnsi="Times New Roman"/>
          <w:iCs/>
          <w:szCs w:val="24"/>
          <w:lang w:val="en-IE"/>
        </w:rPr>
        <w:t>, in which the Commission partially</w:t>
      </w:r>
      <w:r w:rsidR="004A4D83">
        <w:rPr>
          <w:rFonts w:ascii="Times New Roman" w:hAnsi="Times New Roman"/>
          <w:iCs/>
          <w:szCs w:val="24"/>
          <w:lang w:val="en-IE"/>
        </w:rPr>
        <w:t xml:space="preserve"> </w:t>
      </w:r>
      <w:r w:rsidR="004A4D83" w:rsidRPr="004A4D83">
        <w:rPr>
          <w:rFonts w:ascii="Times New Roman" w:hAnsi="Times New Roman"/>
          <w:iCs/>
          <w:szCs w:val="24"/>
          <w:lang w:val="en-IE"/>
        </w:rPr>
        <w:t>refus</w:t>
      </w:r>
      <w:r w:rsidR="00F174D4">
        <w:rPr>
          <w:rFonts w:ascii="Times New Roman" w:hAnsi="Times New Roman"/>
          <w:iCs/>
          <w:szCs w:val="24"/>
          <w:lang w:val="en-IE"/>
        </w:rPr>
        <w:t>ed</w:t>
      </w:r>
      <w:r w:rsidR="004A4D83" w:rsidRPr="004A4D83">
        <w:rPr>
          <w:rFonts w:ascii="Times New Roman" w:hAnsi="Times New Roman"/>
          <w:iCs/>
          <w:szCs w:val="24"/>
          <w:lang w:val="en-IE"/>
        </w:rPr>
        <w:t xml:space="preserve"> access to documents related to Covid-19 vaccine negotiations</w:t>
      </w:r>
      <w:r w:rsidR="004A4D83">
        <w:rPr>
          <w:rFonts w:ascii="Times New Roman" w:hAnsi="Times New Roman"/>
          <w:iCs/>
          <w:szCs w:val="24"/>
          <w:lang w:val="en-IE"/>
        </w:rPr>
        <w:t xml:space="preserve"> in the past</w:t>
      </w:r>
      <w:r w:rsidR="00E304D8">
        <w:rPr>
          <w:rStyle w:val="FootnoteReference"/>
          <w:rFonts w:ascii="Times New Roman" w:hAnsi="Times New Roman"/>
          <w:iCs/>
          <w:szCs w:val="24"/>
          <w:lang w:val="en-IE"/>
        </w:rPr>
        <w:footnoteReference w:id="2"/>
      </w:r>
      <w:r>
        <w:rPr>
          <w:rFonts w:ascii="Times New Roman" w:hAnsi="Times New Roman"/>
          <w:iCs/>
          <w:szCs w:val="24"/>
          <w:lang w:val="en-IE"/>
        </w:rPr>
        <w:t>.</w:t>
      </w:r>
      <w:r w:rsidR="00F966B1">
        <w:rPr>
          <w:rFonts w:ascii="Times New Roman" w:hAnsi="Times New Roman"/>
          <w:iCs/>
          <w:szCs w:val="24"/>
          <w:lang w:val="en-IE"/>
        </w:rPr>
        <w:t>T</w:t>
      </w:r>
      <w:r>
        <w:rPr>
          <w:rFonts w:ascii="Times New Roman" w:hAnsi="Times New Roman"/>
          <w:iCs/>
          <w:szCs w:val="24"/>
          <w:lang w:val="en-IE"/>
        </w:rPr>
        <w:t xml:space="preserve">he </w:t>
      </w:r>
      <w:r w:rsidRPr="00D078F7">
        <w:rPr>
          <w:rFonts w:ascii="Times New Roman" w:hAnsi="Times New Roman"/>
          <w:iCs/>
          <w:szCs w:val="24"/>
          <w:lang w:val="en-IE"/>
        </w:rPr>
        <w:t xml:space="preserve">latest redacted versions of the vaccine contracts are subject of </w:t>
      </w:r>
      <w:r>
        <w:rPr>
          <w:rFonts w:ascii="Times New Roman" w:hAnsi="Times New Roman"/>
          <w:iCs/>
          <w:szCs w:val="24"/>
          <w:lang w:val="en-IE"/>
        </w:rPr>
        <w:t>pending</w:t>
      </w:r>
      <w:r w:rsidRPr="00D078F7">
        <w:rPr>
          <w:rFonts w:ascii="Times New Roman" w:hAnsi="Times New Roman"/>
          <w:iCs/>
          <w:szCs w:val="24"/>
          <w:lang w:val="en-IE"/>
        </w:rPr>
        <w:t xml:space="preserve"> cases before the General Court</w:t>
      </w:r>
      <w:r w:rsidR="00665997">
        <w:rPr>
          <w:rStyle w:val="FootnoteReference"/>
          <w:rFonts w:ascii="Times New Roman" w:hAnsi="Times New Roman"/>
          <w:iCs/>
          <w:szCs w:val="24"/>
          <w:lang w:val="en-IE"/>
        </w:rPr>
        <w:footnoteReference w:id="3"/>
      </w:r>
      <w:r w:rsidR="00E8785B">
        <w:rPr>
          <w:rFonts w:ascii="Times New Roman" w:hAnsi="Times New Roman"/>
          <w:iCs/>
          <w:szCs w:val="24"/>
          <w:lang w:val="en-IE"/>
        </w:rPr>
        <w:t>.</w:t>
      </w:r>
    </w:p>
    <w:p w14:paraId="12DA57DD" w14:textId="55AD20AA" w:rsidR="009F1937" w:rsidRPr="00D078F7" w:rsidRDefault="009F1937" w:rsidP="0021639E">
      <w:pPr>
        <w:spacing w:after="120"/>
        <w:rPr>
          <w:rFonts w:ascii="Times New Roman" w:hAnsi="Times New Roman"/>
          <w:iCs/>
          <w:szCs w:val="24"/>
        </w:rPr>
      </w:pPr>
      <w:r w:rsidRPr="00D078F7">
        <w:rPr>
          <w:rFonts w:ascii="Times New Roman" w:hAnsi="Times New Roman"/>
          <w:iCs/>
          <w:szCs w:val="24"/>
        </w:rPr>
        <w:t xml:space="preserve">The Commission became aware of quality issues with the medical masks purchased for direct delivery from the producer to Member States. </w:t>
      </w:r>
      <w:r w:rsidR="008F5059">
        <w:rPr>
          <w:rFonts w:ascii="Times New Roman" w:hAnsi="Times New Roman"/>
          <w:iCs/>
          <w:szCs w:val="24"/>
        </w:rPr>
        <w:t>It</w:t>
      </w:r>
      <w:r w:rsidRPr="00D078F7">
        <w:rPr>
          <w:rFonts w:ascii="Times New Roman" w:hAnsi="Times New Roman"/>
          <w:iCs/>
          <w:szCs w:val="24"/>
        </w:rPr>
        <w:t xml:space="preserve"> thus recalled the defective products and organised physical quality checks prior to further distribution to </w:t>
      </w:r>
      <w:r w:rsidR="008F5059">
        <w:rPr>
          <w:rFonts w:ascii="Times New Roman" w:hAnsi="Times New Roman"/>
          <w:iCs/>
          <w:szCs w:val="24"/>
        </w:rPr>
        <w:t xml:space="preserve">the </w:t>
      </w:r>
      <w:r w:rsidRPr="00D078F7">
        <w:rPr>
          <w:rFonts w:ascii="Times New Roman" w:hAnsi="Times New Roman"/>
          <w:iCs/>
          <w:szCs w:val="24"/>
        </w:rPr>
        <w:t>Member States. Thanks to these rapid reactions, neither a health issue</w:t>
      </w:r>
      <w:r w:rsidR="005973F7" w:rsidRPr="00D078F7">
        <w:rPr>
          <w:rFonts w:ascii="Times New Roman" w:hAnsi="Times New Roman"/>
          <w:iCs/>
          <w:szCs w:val="24"/>
        </w:rPr>
        <w:t>,</w:t>
      </w:r>
      <w:r w:rsidRPr="00D078F7">
        <w:rPr>
          <w:rFonts w:ascii="Times New Roman" w:hAnsi="Times New Roman"/>
          <w:iCs/>
          <w:szCs w:val="24"/>
        </w:rPr>
        <w:t xml:space="preserve"> nor a financial loss </w:t>
      </w:r>
      <w:r w:rsidR="005973F7" w:rsidRPr="00D078F7">
        <w:rPr>
          <w:rFonts w:ascii="Times New Roman" w:hAnsi="Times New Roman"/>
          <w:iCs/>
          <w:szCs w:val="24"/>
        </w:rPr>
        <w:t>was</w:t>
      </w:r>
      <w:r w:rsidRPr="00D078F7">
        <w:rPr>
          <w:rFonts w:ascii="Times New Roman" w:hAnsi="Times New Roman"/>
          <w:iCs/>
          <w:szCs w:val="24"/>
        </w:rPr>
        <w:t xml:space="preserve"> caused by the incident.</w:t>
      </w:r>
    </w:p>
    <w:p w14:paraId="5D696245" w14:textId="6DCAF8FD" w:rsidR="009F1937" w:rsidRPr="00D078F7" w:rsidRDefault="00EB2DD6" w:rsidP="0021639E">
      <w:pPr>
        <w:spacing w:after="120"/>
        <w:rPr>
          <w:rFonts w:ascii="Times New Roman" w:hAnsi="Times New Roman"/>
          <w:iCs/>
          <w:szCs w:val="24"/>
        </w:rPr>
      </w:pPr>
      <w:r w:rsidRPr="00E8785B">
        <w:rPr>
          <w:rFonts w:ascii="Times New Roman" w:hAnsi="Times New Roman"/>
          <w:iCs/>
          <w:szCs w:val="24"/>
        </w:rPr>
        <w:t>The Commission received</w:t>
      </w:r>
      <w:r w:rsidR="00107C25" w:rsidRPr="00E8785B">
        <w:rPr>
          <w:rFonts w:ascii="Times New Roman" w:hAnsi="Times New Roman"/>
          <w:iCs/>
          <w:szCs w:val="24"/>
        </w:rPr>
        <w:t xml:space="preserve"> a request for </w:t>
      </w:r>
      <w:r w:rsidRPr="00E8785B">
        <w:rPr>
          <w:rFonts w:ascii="Times New Roman" w:hAnsi="Times New Roman"/>
          <w:iCs/>
          <w:szCs w:val="24"/>
        </w:rPr>
        <w:t xml:space="preserve">public access to </w:t>
      </w:r>
      <w:r w:rsidR="00107C25" w:rsidRPr="00E8785B">
        <w:rPr>
          <w:rFonts w:ascii="Times New Roman" w:hAnsi="Times New Roman"/>
          <w:iCs/>
          <w:szCs w:val="24"/>
        </w:rPr>
        <w:t>documen</w:t>
      </w:r>
      <w:r w:rsidR="004012BF" w:rsidRPr="00E8785B">
        <w:rPr>
          <w:rFonts w:ascii="Times New Roman" w:hAnsi="Times New Roman"/>
          <w:iCs/>
          <w:szCs w:val="24"/>
        </w:rPr>
        <w:t>ts relating to this</w:t>
      </w:r>
      <w:r w:rsidRPr="00E8785B">
        <w:rPr>
          <w:rFonts w:ascii="Times New Roman" w:hAnsi="Times New Roman"/>
          <w:iCs/>
          <w:szCs w:val="24"/>
        </w:rPr>
        <w:t xml:space="preserve"> matter. However,</w:t>
      </w:r>
      <w:r w:rsidR="00107C25" w:rsidRPr="00E8785B">
        <w:rPr>
          <w:rFonts w:ascii="Times New Roman" w:hAnsi="Times New Roman"/>
          <w:iCs/>
          <w:szCs w:val="24"/>
        </w:rPr>
        <w:t xml:space="preserve"> p</w:t>
      </w:r>
      <w:r w:rsidR="009F1937" w:rsidRPr="00E8785B">
        <w:rPr>
          <w:rFonts w:ascii="Times New Roman" w:hAnsi="Times New Roman"/>
          <w:iCs/>
          <w:szCs w:val="24"/>
        </w:rPr>
        <w:t>arts of the documents requested originated from a third party contained proprietary information from an identified company with which the Commission had no direct contractual relationship</w:t>
      </w:r>
      <w:r w:rsidR="000723F7" w:rsidRPr="00E8785B">
        <w:rPr>
          <w:rFonts w:ascii="Times New Roman" w:hAnsi="Times New Roman"/>
          <w:iCs/>
          <w:szCs w:val="24"/>
        </w:rPr>
        <w:t xml:space="preserve"> and that objected to the disclosure of the information</w:t>
      </w:r>
      <w:r w:rsidR="009F1937" w:rsidRPr="00E8785B">
        <w:rPr>
          <w:rFonts w:ascii="Times New Roman" w:hAnsi="Times New Roman"/>
          <w:iCs/>
          <w:szCs w:val="24"/>
        </w:rPr>
        <w:t>.</w:t>
      </w:r>
      <w:r w:rsidR="009F1937" w:rsidRPr="00D078F7">
        <w:rPr>
          <w:rFonts w:ascii="Times New Roman" w:hAnsi="Times New Roman"/>
          <w:iCs/>
          <w:szCs w:val="24"/>
        </w:rPr>
        <w:t xml:space="preserve"> The Commission concluded that their disclosure would undermine the protection of the interest laid down in the first indent (protection of commercial interests) of Article 4(2) of Regulation (EC) No 1049/2001. However, the Commission partially disclosed other documents under this request for public access.</w:t>
      </w:r>
    </w:p>
    <w:p w14:paraId="28E2004A" w14:textId="0B49B2F6" w:rsidR="009F1937" w:rsidRPr="00D078F7" w:rsidRDefault="009F1937" w:rsidP="0021639E">
      <w:pPr>
        <w:spacing w:after="120"/>
        <w:rPr>
          <w:rFonts w:ascii="Times New Roman" w:hAnsi="Times New Roman"/>
          <w:iCs/>
          <w:szCs w:val="24"/>
        </w:rPr>
      </w:pPr>
      <w:r w:rsidRPr="00D078F7">
        <w:rPr>
          <w:rFonts w:ascii="Times New Roman" w:hAnsi="Times New Roman"/>
          <w:iCs/>
          <w:szCs w:val="24"/>
        </w:rPr>
        <w:t xml:space="preserve">The Ombudsman recommended the Commission to reconsider its position to grant wider access to the documents. The Commission reassessed its decision and granted greater access to most of the documents at </w:t>
      </w:r>
      <w:r w:rsidR="005973F7" w:rsidRPr="00D078F7">
        <w:rPr>
          <w:rFonts w:ascii="Times New Roman" w:hAnsi="Times New Roman"/>
          <w:iCs/>
          <w:szCs w:val="24"/>
        </w:rPr>
        <w:t xml:space="preserve">stake </w:t>
      </w:r>
      <w:r w:rsidR="00CA3A63">
        <w:rPr>
          <w:rFonts w:ascii="Times New Roman" w:hAnsi="Times New Roman"/>
          <w:iCs/>
          <w:szCs w:val="24"/>
        </w:rPr>
        <w:t>r</w:t>
      </w:r>
      <w:r w:rsidR="005973F7" w:rsidRPr="00D078F7">
        <w:rPr>
          <w:rFonts w:ascii="Times New Roman" w:hAnsi="Times New Roman"/>
          <w:iCs/>
          <w:szCs w:val="24"/>
        </w:rPr>
        <w:t>efus</w:t>
      </w:r>
      <w:r w:rsidR="00CA3A63">
        <w:rPr>
          <w:rFonts w:ascii="Times New Roman" w:hAnsi="Times New Roman"/>
          <w:iCs/>
          <w:szCs w:val="24"/>
        </w:rPr>
        <w:t>ing</w:t>
      </w:r>
      <w:r w:rsidR="005973F7" w:rsidRPr="00D078F7">
        <w:rPr>
          <w:rFonts w:ascii="Times New Roman" w:hAnsi="Times New Roman"/>
          <w:iCs/>
          <w:szCs w:val="24"/>
        </w:rPr>
        <w:t xml:space="preserve"> access to</w:t>
      </w:r>
      <w:r w:rsidRPr="00D078F7">
        <w:rPr>
          <w:rFonts w:ascii="Times New Roman" w:hAnsi="Times New Roman"/>
          <w:iCs/>
          <w:szCs w:val="24"/>
        </w:rPr>
        <w:t xml:space="preserve"> only three documents. The Ombudsman confirmed her finding of maladministration and closed the inquiry </w:t>
      </w:r>
      <w:r w:rsidRPr="00D078F7">
        <w:rPr>
          <w:rFonts w:ascii="Times New Roman" w:hAnsi="Times New Roman"/>
          <w:iCs/>
          <w:szCs w:val="24"/>
          <w:lang w:val="en-IE"/>
        </w:rPr>
        <w:t xml:space="preserve">in May 2022, </w:t>
      </w:r>
      <w:r w:rsidRPr="00D078F7">
        <w:rPr>
          <w:rFonts w:ascii="Times New Roman" w:hAnsi="Times New Roman"/>
          <w:iCs/>
          <w:szCs w:val="24"/>
        </w:rPr>
        <w:t>arguing that the Commission had not given access to the three documents in their entirety.</w:t>
      </w:r>
    </w:p>
    <w:p w14:paraId="47258630" w14:textId="5541F2F6" w:rsidR="00405AED" w:rsidRPr="00D078F7" w:rsidRDefault="009F1937" w:rsidP="0021639E">
      <w:pPr>
        <w:spacing w:after="120"/>
        <w:rPr>
          <w:rFonts w:ascii="Times New Roman" w:hAnsi="Times New Roman"/>
          <w:iCs/>
          <w:szCs w:val="24"/>
        </w:rPr>
      </w:pPr>
      <w:r w:rsidRPr="00D078F7">
        <w:rPr>
          <w:rFonts w:ascii="Times New Roman" w:hAnsi="Times New Roman"/>
          <w:iCs/>
          <w:szCs w:val="24"/>
        </w:rPr>
        <w:t xml:space="preserve">The Commission </w:t>
      </w:r>
      <w:r w:rsidR="00EB2DD6">
        <w:rPr>
          <w:rFonts w:ascii="Times New Roman" w:hAnsi="Times New Roman"/>
          <w:iCs/>
          <w:szCs w:val="24"/>
        </w:rPr>
        <w:t xml:space="preserve">takes note </w:t>
      </w:r>
      <w:r w:rsidR="00E8785B">
        <w:rPr>
          <w:rFonts w:ascii="Times New Roman" w:hAnsi="Times New Roman"/>
          <w:iCs/>
          <w:szCs w:val="24"/>
        </w:rPr>
        <w:t xml:space="preserve">of </w:t>
      </w:r>
      <w:r w:rsidR="00E8785B" w:rsidRPr="00D078F7">
        <w:rPr>
          <w:rFonts w:ascii="Times New Roman" w:hAnsi="Times New Roman"/>
          <w:iCs/>
          <w:szCs w:val="24"/>
        </w:rPr>
        <w:t>the</w:t>
      </w:r>
      <w:r w:rsidRPr="00D078F7">
        <w:rPr>
          <w:rFonts w:ascii="Times New Roman" w:hAnsi="Times New Roman"/>
          <w:iCs/>
          <w:szCs w:val="24"/>
        </w:rPr>
        <w:t xml:space="preserve"> Ombudsman’s finding of maladministration</w:t>
      </w:r>
      <w:r w:rsidR="005973F7" w:rsidRPr="00D078F7">
        <w:rPr>
          <w:rFonts w:ascii="Times New Roman" w:hAnsi="Times New Roman"/>
          <w:iCs/>
          <w:szCs w:val="24"/>
        </w:rPr>
        <w:t xml:space="preserve"> and </w:t>
      </w:r>
      <w:r w:rsidRPr="00D078F7">
        <w:rPr>
          <w:rFonts w:ascii="Times New Roman" w:hAnsi="Times New Roman"/>
          <w:iCs/>
          <w:szCs w:val="24"/>
        </w:rPr>
        <w:t xml:space="preserve">would like to recall that the applicant’s public access request covered a large number of documents </w:t>
      </w:r>
      <w:r w:rsidRPr="00D078F7">
        <w:rPr>
          <w:rFonts w:ascii="Times New Roman" w:hAnsi="Times New Roman"/>
          <w:iCs/>
          <w:szCs w:val="24"/>
        </w:rPr>
        <w:lastRenderedPageBreak/>
        <w:t>(134) that were identified and analysed individually</w:t>
      </w:r>
      <w:r w:rsidR="005973F7" w:rsidRPr="00D078F7">
        <w:rPr>
          <w:rFonts w:ascii="Times New Roman" w:hAnsi="Times New Roman"/>
          <w:iCs/>
          <w:szCs w:val="24"/>
        </w:rPr>
        <w:t xml:space="preserve">. The Commission </w:t>
      </w:r>
      <w:r w:rsidRPr="00D078F7">
        <w:rPr>
          <w:rFonts w:ascii="Times New Roman" w:hAnsi="Times New Roman"/>
          <w:iCs/>
          <w:szCs w:val="24"/>
        </w:rPr>
        <w:t>consulted many third parties from which the</w:t>
      </w:r>
      <w:r w:rsidR="005973F7" w:rsidRPr="00D078F7">
        <w:rPr>
          <w:rFonts w:ascii="Times New Roman" w:hAnsi="Times New Roman"/>
          <w:iCs/>
          <w:szCs w:val="24"/>
        </w:rPr>
        <w:t xml:space="preserve"> documents</w:t>
      </w:r>
      <w:r w:rsidRPr="00D078F7">
        <w:rPr>
          <w:rFonts w:ascii="Times New Roman" w:hAnsi="Times New Roman"/>
          <w:iCs/>
          <w:szCs w:val="24"/>
        </w:rPr>
        <w:t xml:space="preserve"> originated. </w:t>
      </w:r>
      <w:r w:rsidR="00CA3A63">
        <w:rPr>
          <w:rFonts w:ascii="Times New Roman" w:hAnsi="Times New Roman"/>
          <w:iCs/>
          <w:szCs w:val="24"/>
        </w:rPr>
        <w:t>It</w:t>
      </w:r>
      <w:r w:rsidRPr="00D078F7">
        <w:rPr>
          <w:rFonts w:ascii="Times New Roman" w:hAnsi="Times New Roman"/>
          <w:iCs/>
          <w:szCs w:val="24"/>
        </w:rPr>
        <w:t xml:space="preserve"> granted wide public access to most of these documents and duly explained the reasons as to why access to the remaining</w:t>
      </w:r>
      <w:r w:rsidR="005973F7" w:rsidRPr="00D078F7">
        <w:rPr>
          <w:rFonts w:ascii="Times New Roman" w:hAnsi="Times New Roman"/>
          <w:iCs/>
          <w:szCs w:val="24"/>
        </w:rPr>
        <w:t xml:space="preserve"> three </w:t>
      </w:r>
      <w:r w:rsidRPr="00D078F7">
        <w:rPr>
          <w:rFonts w:ascii="Times New Roman" w:hAnsi="Times New Roman"/>
          <w:iCs/>
          <w:szCs w:val="24"/>
        </w:rPr>
        <w:t>documents could not be granted under Regulation (EC) No 1049/2001.</w:t>
      </w:r>
    </w:p>
    <w:p w14:paraId="188610A7" w14:textId="21E89103" w:rsidR="005E4AC7" w:rsidRPr="00D078F7" w:rsidRDefault="005E4AC7" w:rsidP="0021639E">
      <w:pPr>
        <w:spacing w:after="120"/>
        <w:rPr>
          <w:rFonts w:ascii="Times New Roman" w:hAnsi="Times New Roman"/>
          <w:i/>
          <w:szCs w:val="24"/>
        </w:rPr>
      </w:pPr>
      <w:r w:rsidRPr="00D078F7">
        <w:rPr>
          <w:rFonts w:ascii="Times New Roman" w:hAnsi="Times New Roman"/>
          <w:i/>
          <w:szCs w:val="24"/>
        </w:rPr>
        <w:t>Paragraph 22</w:t>
      </w:r>
    </w:p>
    <w:p w14:paraId="43FB8FB7" w14:textId="6727E748" w:rsidR="005E4AC7" w:rsidRPr="00D078F7" w:rsidRDefault="005E4AC7" w:rsidP="0021639E">
      <w:pPr>
        <w:spacing w:after="120"/>
        <w:rPr>
          <w:rFonts w:ascii="Times New Roman" w:hAnsi="Times New Roman"/>
          <w:iCs/>
          <w:szCs w:val="24"/>
        </w:rPr>
      </w:pPr>
      <w:r w:rsidRPr="00D078F7">
        <w:rPr>
          <w:rFonts w:ascii="Times New Roman" w:hAnsi="Times New Roman"/>
          <w:iCs/>
          <w:szCs w:val="24"/>
        </w:rPr>
        <w:t xml:space="preserve">The Commission has already replied to this call in its responses to the resolutions adopted in 2020 </w:t>
      </w:r>
      <w:r w:rsidR="009A3939" w:rsidRPr="00D078F7">
        <w:rPr>
          <w:rFonts w:ascii="Times New Roman" w:hAnsi="Times New Roman"/>
          <w:iCs/>
          <w:szCs w:val="24"/>
        </w:rPr>
        <w:t>(</w:t>
      </w:r>
      <w:hyperlink r:id="rId14" w:history="1">
        <w:r w:rsidR="009A3939" w:rsidRPr="00D078F7">
          <w:rPr>
            <w:rStyle w:val="Hyperlink"/>
            <w:rFonts w:ascii="Times New Roman" w:hAnsi="Times New Roman"/>
            <w:iCs/>
            <w:szCs w:val="24"/>
          </w:rPr>
          <w:t>SP(2021)190</w:t>
        </w:r>
      </w:hyperlink>
      <w:r w:rsidR="009A3939" w:rsidRPr="00D078F7">
        <w:rPr>
          <w:rFonts w:ascii="Times New Roman" w:hAnsi="Times New Roman"/>
          <w:iCs/>
          <w:szCs w:val="24"/>
        </w:rPr>
        <w:t xml:space="preserve">) </w:t>
      </w:r>
      <w:r w:rsidRPr="00D078F7">
        <w:rPr>
          <w:rFonts w:ascii="Times New Roman" w:hAnsi="Times New Roman"/>
          <w:iCs/>
          <w:szCs w:val="24"/>
        </w:rPr>
        <w:t>and 2021(</w:t>
      </w:r>
      <w:hyperlink r:id="rId15" w:history="1">
        <w:r w:rsidRPr="00D078F7">
          <w:rPr>
            <w:rStyle w:val="Hyperlink"/>
            <w:rFonts w:ascii="Times New Roman" w:hAnsi="Times New Roman"/>
            <w:iCs/>
            <w:szCs w:val="24"/>
          </w:rPr>
          <w:t>SP(2022)123</w:t>
        </w:r>
      </w:hyperlink>
      <w:r w:rsidRPr="00D078F7">
        <w:rPr>
          <w:rFonts w:ascii="Times New Roman" w:hAnsi="Times New Roman"/>
          <w:iCs/>
          <w:szCs w:val="24"/>
        </w:rPr>
        <w:t xml:space="preserve">). </w:t>
      </w:r>
    </w:p>
    <w:p w14:paraId="1D8A8350" w14:textId="5AD327D9" w:rsidR="005E4AC7" w:rsidRPr="00D078F7" w:rsidRDefault="005E4AC7" w:rsidP="0021639E">
      <w:pPr>
        <w:spacing w:after="120"/>
        <w:rPr>
          <w:rFonts w:ascii="Times New Roman" w:hAnsi="Times New Roman"/>
          <w:i/>
          <w:szCs w:val="24"/>
        </w:rPr>
      </w:pPr>
      <w:r w:rsidRPr="00D078F7">
        <w:rPr>
          <w:rFonts w:ascii="Times New Roman" w:hAnsi="Times New Roman"/>
          <w:i/>
          <w:szCs w:val="24"/>
        </w:rPr>
        <w:t>Paragraph 23</w:t>
      </w:r>
    </w:p>
    <w:p w14:paraId="325B0900" w14:textId="59D83EB8" w:rsidR="005E4AC7" w:rsidRPr="00D078F7" w:rsidRDefault="005E4AC7" w:rsidP="0021639E">
      <w:pPr>
        <w:spacing w:after="120"/>
        <w:rPr>
          <w:rFonts w:ascii="Times New Roman" w:hAnsi="Times New Roman"/>
          <w:iCs/>
          <w:szCs w:val="24"/>
        </w:rPr>
      </w:pPr>
      <w:r w:rsidRPr="00D078F7">
        <w:rPr>
          <w:rFonts w:ascii="Times New Roman" w:hAnsi="Times New Roman"/>
          <w:iCs/>
          <w:szCs w:val="24"/>
        </w:rPr>
        <w:t xml:space="preserve">The Commission has already replied to this call in its response to </w:t>
      </w:r>
      <w:r w:rsidR="00DC2D22" w:rsidRPr="00D078F7">
        <w:rPr>
          <w:rFonts w:ascii="Times New Roman" w:hAnsi="Times New Roman"/>
          <w:iCs/>
          <w:szCs w:val="24"/>
        </w:rPr>
        <w:t xml:space="preserve">the </w:t>
      </w:r>
      <w:r w:rsidR="00984C88" w:rsidRPr="00D078F7">
        <w:rPr>
          <w:rFonts w:ascii="Times New Roman" w:hAnsi="Times New Roman"/>
          <w:iCs/>
          <w:szCs w:val="24"/>
        </w:rPr>
        <w:t xml:space="preserve">Parliament’s resolution </w:t>
      </w:r>
      <w:r w:rsidRPr="00D078F7">
        <w:rPr>
          <w:rFonts w:ascii="Times New Roman" w:hAnsi="Times New Roman"/>
          <w:iCs/>
          <w:szCs w:val="24"/>
        </w:rPr>
        <w:t xml:space="preserve">adopted on 14 September 2021: see </w:t>
      </w:r>
      <w:hyperlink r:id="rId16" w:history="1">
        <w:r w:rsidRPr="00D078F7">
          <w:rPr>
            <w:rStyle w:val="Hyperlink"/>
            <w:rFonts w:ascii="Times New Roman" w:hAnsi="Times New Roman"/>
            <w:iCs/>
            <w:szCs w:val="24"/>
          </w:rPr>
          <w:t>SP(2021)709</w:t>
        </w:r>
      </w:hyperlink>
    </w:p>
    <w:p w14:paraId="7EF8AAB3" w14:textId="5E12B835" w:rsidR="00E473F9" w:rsidRPr="00D078F7" w:rsidRDefault="00E473F9" w:rsidP="0021639E">
      <w:pPr>
        <w:spacing w:after="120"/>
        <w:rPr>
          <w:rFonts w:ascii="Times New Roman" w:hAnsi="Times New Roman"/>
          <w:iCs/>
          <w:szCs w:val="24"/>
        </w:rPr>
      </w:pPr>
      <w:r w:rsidRPr="00D078F7">
        <w:rPr>
          <w:rFonts w:ascii="Times New Roman" w:hAnsi="Times New Roman"/>
          <w:iCs/>
          <w:szCs w:val="24"/>
        </w:rPr>
        <w:t>As regards rainbow families, on 7 December 2022, the Commission made a proposal for a Regulation on the recognition of parenthood between Member States.</w:t>
      </w:r>
    </w:p>
    <w:p w14:paraId="5B0101C2" w14:textId="0F31B83A" w:rsidR="009A3939" w:rsidRPr="00D078F7" w:rsidRDefault="009A3939" w:rsidP="0021639E">
      <w:pPr>
        <w:spacing w:after="120"/>
        <w:rPr>
          <w:rFonts w:ascii="Times New Roman" w:hAnsi="Times New Roman"/>
          <w:i/>
          <w:szCs w:val="24"/>
        </w:rPr>
      </w:pPr>
      <w:r w:rsidRPr="00D078F7">
        <w:rPr>
          <w:rFonts w:ascii="Times New Roman" w:hAnsi="Times New Roman"/>
          <w:i/>
          <w:szCs w:val="24"/>
        </w:rPr>
        <w:t>Paragraph</w:t>
      </w:r>
      <w:r w:rsidR="00BE7E6C">
        <w:rPr>
          <w:rFonts w:ascii="Times New Roman" w:hAnsi="Times New Roman"/>
          <w:i/>
          <w:szCs w:val="24"/>
        </w:rPr>
        <w:t>s</w:t>
      </w:r>
      <w:r w:rsidRPr="00D078F7">
        <w:rPr>
          <w:rFonts w:ascii="Times New Roman" w:hAnsi="Times New Roman"/>
          <w:i/>
          <w:szCs w:val="24"/>
        </w:rPr>
        <w:t xml:space="preserve"> 25 </w:t>
      </w:r>
      <w:r w:rsidR="00BE7E6C">
        <w:rPr>
          <w:rFonts w:ascii="Times New Roman" w:hAnsi="Times New Roman"/>
          <w:i/>
          <w:szCs w:val="24"/>
        </w:rPr>
        <w:t xml:space="preserve">and </w:t>
      </w:r>
      <w:r w:rsidRPr="00D078F7">
        <w:rPr>
          <w:rFonts w:ascii="Times New Roman" w:hAnsi="Times New Roman"/>
          <w:i/>
          <w:szCs w:val="24"/>
        </w:rPr>
        <w:t>29</w:t>
      </w:r>
    </w:p>
    <w:p w14:paraId="2A2BEAEE" w14:textId="7CA666D9" w:rsidR="00F808FD" w:rsidRPr="00D078F7" w:rsidRDefault="00F808FD" w:rsidP="0021639E">
      <w:pPr>
        <w:spacing w:after="120"/>
        <w:rPr>
          <w:rFonts w:ascii="Times New Roman" w:hAnsi="Times New Roman"/>
          <w:iCs/>
          <w:szCs w:val="24"/>
        </w:rPr>
      </w:pPr>
      <w:r w:rsidRPr="00D078F7">
        <w:rPr>
          <w:rFonts w:ascii="Times New Roman" w:hAnsi="Times New Roman"/>
          <w:iCs/>
          <w:szCs w:val="24"/>
        </w:rPr>
        <w:t xml:space="preserve">Together with </w:t>
      </w:r>
      <w:r w:rsidR="00CA3A63">
        <w:rPr>
          <w:rFonts w:ascii="Times New Roman" w:hAnsi="Times New Roman"/>
          <w:iCs/>
          <w:szCs w:val="24"/>
        </w:rPr>
        <w:t xml:space="preserve">the </w:t>
      </w:r>
      <w:r w:rsidRPr="00D078F7">
        <w:rPr>
          <w:rFonts w:ascii="Times New Roman" w:hAnsi="Times New Roman"/>
          <w:iCs/>
          <w:szCs w:val="24"/>
        </w:rPr>
        <w:t xml:space="preserve">Member States, the Commission is working to ensure the correct transposition and implementation of EU environmental law, as reiterated in the European Green Deal. The Commission is using the full range of tools to improve the situation on the ground in Member States, including financing, technical assistance and enforcement. A case in point is the </w:t>
      </w:r>
      <w:hyperlink r:id="rId17" w:history="1">
        <w:r w:rsidRPr="00FD4EB6">
          <w:rPr>
            <w:rStyle w:val="Hyperlink"/>
            <w:rFonts w:ascii="Times New Roman" w:hAnsi="Times New Roman"/>
            <w:iCs/>
            <w:szCs w:val="24"/>
          </w:rPr>
          <w:t>Environmental Implementation Review</w:t>
        </w:r>
      </w:hyperlink>
      <w:r w:rsidRPr="00D078F7">
        <w:rPr>
          <w:rFonts w:ascii="Times New Roman" w:hAnsi="Times New Roman"/>
          <w:iCs/>
          <w:szCs w:val="24"/>
        </w:rPr>
        <w:t xml:space="preserve"> (EIR). The European Green Deal underlined that the environmental implementation review should play a critical role in mapping the situation in each Member State. In addition, the European Green Deal investment plan stressed that the EIR (together with other instruments such as the European Semester and the national energy and climate plans under the Energy Union) will also serve to identify the investment needs of each Member State in the key sectors of environmental policy. While the 2022 EIR identified some progress in all environmental areas, it also showed the persistence of implementation and investment gaps across many Member States. The Commission is concerned about the state of our environment as illegal landfills still operate in the EU, wastewater infrastructure is lacking, air is polluted and precious biodiversity is in decline. Member States need to intensify their efforts to comply with commonly agreed rules and standards.</w:t>
      </w:r>
    </w:p>
    <w:p w14:paraId="49AD5643" w14:textId="5362FC49" w:rsidR="00F808FD" w:rsidRPr="00D078F7" w:rsidRDefault="00F808FD" w:rsidP="0021639E">
      <w:pPr>
        <w:spacing w:after="120"/>
        <w:rPr>
          <w:rFonts w:ascii="Times New Roman" w:hAnsi="Times New Roman"/>
          <w:iCs/>
          <w:szCs w:val="24"/>
        </w:rPr>
      </w:pPr>
      <w:r w:rsidRPr="00D078F7">
        <w:rPr>
          <w:rFonts w:ascii="Times New Roman" w:hAnsi="Times New Roman"/>
          <w:iCs/>
          <w:szCs w:val="24"/>
          <w:lang w:val="en-US"/>
        </w:rPr>
        <w:t>As regards enforcement of EU environmental legislation, the Commission follows the policy set in its Communications issued in December 2016</w:t>
      </w:r>
      <w:r w:rsidRPr="00D078F7">
        <w:rPr>
          <w:rFonts w:ascii="Times New Roman" w:hAnsi="Times New Roman"/>
          <w:iCs/>
          <w:szCs w:val="24"/>
          <w:vertAlign w:val="superscript"/>
        </w:rPr>
        <w:footnoteReference w:id="4"/>
      </w:r>
      <w:r w:rsidRPr="00D078F7">
        <w:rPr>
          <w:rFonts w:ascii="Times New Roman" w:hAnsi="Times New Roman"/>
          <w:iCs/>
          <w:szCs w:val="24"/>
          <w:lang w:val="en-US"/>
        </w:rPr>
        <w:t xml:space="preserve"> and October 2022</w:t>
      </w:r>
      <w:r w:rsidRPr="00D078F7">
        <w:rPr>
          <w:rFonts w:ascii="Times New Roman" w:hAnsi="Times New Roman"/>
          <w:iCs/>
          <w:szCs w:val="24"/>
          <w:vertAlign w:val="superscript"/>
        </w:rPr>
        <w:footnoteReference w:id="5"/>
      </w:r>
      <w:r w:rsidRPr="00D078F7">
        <w:rPr>
          <w:rFonts w:ascii="Times New Roman" w:hAnsi="Times New Roman"/>
          <w:iCs/>
          <w:szCs w:val="24"/>
          <w:lang w:val="en-US"/>
        </w:rPr>
        <w:t xml:space="preserve">. </w:t>
      </w:r>
      <w:r w:rsidRPr="00D078F7">
        <w:rPr>
          <w:rFonts w:ascii="Times New Roman" w:hAnsi="Times New Roman"/>
          <w:iCs/>
          <w:szCs w:val="24"/>
        </w:rPr>
        <w:t xml:space="preserve">The Commission prioritises enforcement related to the incorrect transposition of EU environmental legislation as well as </w:t>
      </w:r>
      <w:r w:rsidRPr="00D078F7">
        <w:rPr>
          <w:rFonts w:ascii="Times New Roman" w:hAnsi="Times New Roman"/>
        </w:rPr>
        <w:t>environmental governance</w:t>
      </w:r>
      <w:r w:rsidRPr="00D078F7">
        <w:rPr>
          <w:rFonts w:ascii="Times New Roman" w:hAnsi="Times New Roman"/>
          <w:iCs/>
          <w:szCs w:val="24"/>
        </w:rPr>
        <w:t xml:space="preserve"> issues, a crosscutting area underpinning the delivery of the European Green Deal priorities. Tackling governance issues is crucial for improving enforcement at national level, so that citizens can access national mechanisms and judicial systems to resolve local cases.</w:t>
      </w:r>
    </w:p>
    <w:p w14:paraId="19D32421" w14:textId="54A3AEF2" w:rsidR="00F808FD" w:rsidRPr="00D078F7" w:rsidRDefault="00F808FD" w:rsidP="0021639E">
      <w:pPr>
        <w:spacing w:after="120"/>
        <w:rPr>
          <w:rFonts w:ascii="Times New Roman" w:hAnsi="Times New Roman"/>
          <w:iCs/>
          <w:szCs w:val="24"/>
        </w:rPr>
      </w:pPr>
      <w:r w:rsidRPr="00D078F7">
        <w:rPr>
          <w:rFonts w:ascii="Times New Roman" w:hAnsi="Times New Roman"/>
          <w:iCs/>
          <w:szCs w:val="24"/>
        </w:rPr>
        <w:t xml:space="preserve">The Commission also pays particular attention to cases revealing systemic failures in the implementation of the </w:t>
      </w:r>
      <w:r w:rsidRPr="00D078F7">
        <w:rPr>
          <w:rFonts w:ascii="Times New Roman" w:hAnsi="Times New Roman"/>
          <w:i/>
          <w:szCs w:val="24"/>
        </w:rPr>
        <w:t>acquis</w:t>
      </w:r>
      <w:r w:rsidRPr="00D078F7">
        <w:rPr>
          <w:rFonts w:ascii="Times New Roman" w:hAnsi="Times New Roman"/>
          <w:iCs/>
          <w:szCs w:val="24"/>
        </w:rPr>
        <w:t xml:space="preserve"> as well as to projects that may cause irreversible environmental or public health damage on a significant scale. The </w:t>
      </w:r>
      <w:hyperlink r:id="rId18" w:history="1">
        <w:r w:rsidRPr="00FD4EB6">
          <w:rPr>
            <w:rStyle w:val="Hyperlink"/>
            <w:rFonts w:ascii="Times New Roman" w:hAnsi="Times New Roman"/>
            <w:iCs/>
            <w:szCs w:val="24"/>
          </w:rPr>
          <w:t>2021 Annual Activity Report</w:t>
        </w:r>
      </w:hyperlink>
      <w:r w:rsidRPr="00D078F7">
        <w:rPr>
          <w:rFonts w:ascii="Times New Roman" w:hAnsi="Times New Roman"/>
          <w:iCs/>
          <w:szCs w:val="24"/>
        </w:rPr>
        <w:t xml:space="preserve"> contains several examples of the Commission enforcement action as regards the environmental pillars of the European Green Deal.</w:t>
      </w:r>
    </w:p>
    <w:p w14:paraId="014D6D46" w14:textId="25505F78" w:rsidR="00DC2D22" w:rsidRPr="00D078F7" w:rsidRDefault="00DC2D22" w:rsidP="00CA3A63">
      <w:pPr>
        <w:keepNext/>
        <w:keepLines/>
        <w:spacing w:after="120"/>
        <w:rPr>
          <w:rFonts w:ascii="Times New Roman" w:hAnsi="Times New Roman"/>
          <w:i/>
          <w:szCs w:val="24"/>
        </w:rPr>
      </w:pPr>
      <w:r w:rsidRPr="00D078F7">
        <w:rPr>
          <w:rFonts w:ascii="Times New Roman" w:hAnsi="Times New Roman"/>
          <w:i/>
          <w:szCs w:val="24"/>
        </w:rPr>
        <w:lastRenderedPageBreak/>
        <w:t>Paragraph 26</w:t>
      </w:r>
      <w:r w:rsidR="006653D6" w:rsidRPr="00D078F7">
        <w:rPr>
          <w:rFonts w:ascii="Times New Roman" w:hAnsi="Times New Roman"/>
          <w:i/>
          <w:szCs w:val="24"/>
        </w:rPr>
        <w:t xml:space="preserve"> </w:t>
      </w:r>
    </w:p>
    <w:p w14:paraId="0A08FE58" w14:textId="3B3EB819" w:rsidR="00332944" w:rsidRPr="00D078F7" w:rsidRDefault="00332944" w:rsidP="00CA3A63">
      <w:pPr>
        <w:keepNext/>
        <w:keepLines/>
        <w:spacing w:after="120"/>
        <w:rPr>
          <w:rFonts w:ascii="Times New Roman" w:hAnsi="Times New Roman"/>
        </w:rPr>
      </w:pPr>
      <w:r w:rsidRPr="00D078F7">
        <w:rPr>
          <w:rFonts w:ascii="Times New Roman" w:hAnsi="Times New Roman"/>
        </w:rPr>
        <w:t xml:space="preserve">The Commission agrees that there is a need to step up the fight against environmental crime. To that end, on 15 December 2021, it adopted a proposal for a directive to replace Directive </w:t>
      </w:r>
      <w:hyperlink r:id="rId19" w:history="1">
        <w:r w:rsidRPr="00D078F7">
          <w:rPr>
            <w:rStyle w:val="Hyperlink"/>
            <w:rFonts w:ascii="Times New Roman" w:hAnsi="Times New Roman"/>
          </w:rPr>
          <w:t>2008/99</w:t>
        </w:r>
      </w:hyperlink>
      <w:r w:rsidRPr="00D078F7">
        <w:rPr>
          <w:rFonts w:ascii="Times New Roman" w:hAnsi="Times New Roman"/>
        </w:rPr>
        <w:t xml:space="preserve"> on the protection of the environment through criminal law. </w:t>
      </w:r>
      <w:r w:rsidR="00F808FD" w:rsidRPr="00D078F7">
        <w:rPr>
          <w:rFonts w:ascii="Times New Roman" w:hAnsi="Times New Roman"/>
        </w:rPr>
        <w:t>The proposal aims at</w:t>
      </w:r>
      <w:r w:rsidRPr="00D078F7">
        <w:rPr>
          <w:rFonts w:ascii="Times New Roman" w:hAnsi="Times New Roman"/>
        </w:rPr>
        <w:t xml:space="preserve"> defining environmental crime categories more precisely and adding new ones, </w:t>
      </w:r>
      <w:r w:rsidR="00F808FD" w:rsidRPr="00D078F7">
        <w:rPr>
          <w:rFonts w:ascii="Times New Roman" w:hAnsi="Times New Roman"/>
        </w:rPr>
        <w:t xml:space="preserve">setting up </w:t>
      </w:r>
      <w:r w:rsidRPr="00D078F7">
        <w:rPr>
          <w:rFonts w:ascii="Times New Roman" w:hAnsi="Times New Roman"/>
        </w:rPr>
        <w:t xml:space="preserve">more dissuasive and effective sanctions for environmental offences and </w:t>
      </w:r>
      <w:r w:rsidR="00F808FD" w:rsidRPr="00D078F7">
        <w:rPr>
          <w:rFonts w:ascii="Times New Roman" w:hAnsi="Times New Roman"/>
        </w:rPr>
        <w:t xml:space="preserve">ensuring that </w:t>
      </w:r>
      <w:r w:rsidRPr="00D078F7">
        <w:rPr>
          <w:rFonts w:ascii="Times New Roman" w:hAnsi="Times New Roman"/>
        </w:rPr>
        <w:t xml:space="preserve">Member States </w:t>
      </w:r>
      <w:r w:rsidR="00F808FD" w:rsidRPr="00D078F7">
        <w:rPr>
          <w:rFonts w:ascii="Times New Roman" w:hAnsi="Times New Roman"/>
        </w:rPr>
        <w:t>take</w:t>
      </w:r>
      <w:r w:rsidRPr="00D078F7">
        <w:rPr>
          <w:rFonts w:ascii="Times New Roman" w:hAnsi="Times New Roman"/>
        </w:rPr>
        <w:t xml:space="preserve"> measures to strengthen the national enforcement chain through adequate and regular training to police, prosecutors and criminal judges and the necessary financial and human resources.</w:t>
      </w:r>
    </w:p>
    <w:p w14:paraId="11B7786D" w14:textId="01FD7670" w:rsidR="00F808FD" w:rsidRPr="00D078F7" w:rsidRDefault="00F808FD" w:rsidP="0021639E">
      <w:pPr>
        <w:spacing w:after="120"/>
        <w:rPr>
          <w:rFonts w:ascii="Times New Roman" w:hAnsi="Times New Roman"/>
          <w:iCs/>
          <w:szCs w:val="24"/>
          <w:lang w:val="en-US"/>
        </w:rPr>
      </w:pPr>
      <w:r w:rsidRPr="00D078F7">
        <w:rPr>
          <w:rFonts w:ascii="Times New Roman" w:hAnsi="Times New Roman"/>
          <w:iCs/>
          <w:szCs w:val="24"/>
        </w:rPr>
        <w:t xml:space="preserve">Furthermore, the Commission will continue to support </w:t>
      </w:r>
      <w:r w:rsidR="00CA3A63">
        <w:rPr>
          <w:rFonts w:ascii="Times New Roman" w:hAnsi="Times New Roman"/>
          <w:iCs/>
          <w:szCs w:val="24"/>
        </w:rPr>
        <w:t xml:space="preserve">the </w:t>
      </w:r>
      <w:r w:rsidRPr="00D078F7">
        <w:rPr>
          <w:rFonts w:ascii="Times New Roman" w:hAnsi="Times New Roman"/>
          <w:iCs/>
          <w:szCs w:val="24"/>
        </w:rPr>
        <w:t>Member States by offering law enforcement practitioners and their professional networks a platform for strategic discussions and capitalising on their knowledge. Issues related to combating environmental crime are</w:t>
      </w:r>
      <w:r w:rsidRPr="00D078F7">
        <w:rPr>
          <w:rFonts w:ascii="Times New Roman" w:hAnsi="Times New Roman"/>
          <w:iCs/>
          <w:szCs w:val="24"/>
          <w:lang w:val="en-US"/>
        </w:rPr>
        <w:t xml:space="preserve"> regularly discussed at the meetings of the Environmental Compliance and Governance Forum. It was established as a high-level Commission Expert Group by Commission Decision </w:t>
      </w:r>
      <w:hyperlink r:id="rId20" w:history="1">
        <w:r w:rsidRPr="00D078F7">
          <w:rPr>
            <w:rStyle w:val="Hyperlink"/>
            <w:rFonts w:ascii="Times New Roman" w:hAnsi="Times New Roman"/>
            <w:iCs/>
            <w:szCs w:val="24"/>
            <w:lang w:val="en-US"/>
          </w:rPr>
          <w:t>C(2018)10</w:t>
        </w:r>
      </w:hyperlink>
      <w:r w:rsidRPr="00D078F7">
        <w:rPr>
          <w:rFonts w:ascii="Times New Roman" w:hAnsi="Times New Roman"/>
          <w:iCs/>
          <w:szCs w:val="24"/>
          <w:lang w:val="en-US"/>
        </w:rPr>
        <w:t xml:space="preserve"> at the same time as the adoption of the Commission's Action Plan on environmental compliance assurance – see </w:t>
      </w:r>
      <w:hyperlink r:id="rId21" w:history="1">
        <w:r w:rsidRPr="00D078F7">
          <w:rPr>
            <w:rStyle w:val="Hyperlink"/>
            <w:rFonts w:ascii="Times New Roman" w:hAnsi="Times New Roman"/>
            <w:iCs/>
            <w:szCs w:val="24"/>
            <w:lang w:val="en-US"/>
          </w:rPr>
          <w:t>COM (2018)10</w:t>
        </w:r>
      </w:hyperlink>
      <w:r w:rsidRPr="00D078F7">
        <w:rPr>
          <w:rFonts w:ascii="Times New Roman" w:hAnsi="Times New Roman"/>
          <w:iCs/>
          <w:szCs w:val="24"/>
          <w:lang w:val="en-US"/>
        </w:rPr>
        <w:t xml:space="preserve">. The </w:t>
      </w:r>
      <w:hyperlink r:id="rId22" w:history="1">
        <w:r w:rsidRPr="00D078F7">
          <w:rPr>
            <w:rStyle w:val="Hyperlink"/>
            <w:rFonts w:ascii="Times New Roman" w:hAnsi="Times New Roman"/>
            <w:iCs/>
            <w:szCs w:val="24"/>
            <w:lang w:val="en-US"/>
          </w:rPr>
          <w:t>Guidance</w:t>
        </w:r>
      </w:hyperlink>
      <w:r w:rsidRPr="00D078F7">
        <w:rPr>
          <w:rFonts w:ascii="Times New Roman" w:hAnsi="Times New Roman"/>
          <w:iCs/>
          <w:szCs w:val="24"/>
          <w:lang w:val="en-US"/>
        </w:rPr>
        <w:t xml:space="preserve"> on combating environmental crimes and related infringements, endorsed by the Forum, is now available in different languages. A </w:t>
      </w:r>
      <w:hyperlink r:id="rId23" w:history="1">
        <w:r w:rsidRPr="00D078F7">
          <w:rPr>
            <w:rStyle w:val="Hyperlink"/>
            <w:rFonts w:ascii="Times New Roman" w:hAnsi="Times New Roman"/>
            <w:iCs/>
            <w:szCs w:val="24"/>
            <w:lang w:val="en-US"/>
          </w:rPr>
          <w:t>summary guide</w:t>
        </w:r>
      </w:hyperlink>
      <w:r w:rsidRPr="00D078F7">
        <w:rPr>
          <w:rFonts w:ascii="Times New Roman" w:hAnsi="Times New Roman"/>
          <w:iCs/>
          <w:szCs w:val="24"/>
          <w:lang w:val="en-US"/>
        </w:rPr>
        <w:t xml:space="preserve"> is also available.</w:t>
      </w:r>
    </w:p>
    <w:p w14:paraId="16121B83" w14:textId="6D06ABD9" w:rsidR="00332944" w:rsidRPr="00D078F7" w:rsidRDefault="00332944" w:rsidP="0021639E">
      <w:pPr>
        <w:spacing w:after="120"/>
        <w:rPr>
          <w:rFonts w:ascii="Times New Roman" w:hAnsi="Times New Roman"/>
        </w:rPr>
      </w:pPr>
      <w:r w:rsidRPr="00D078F7">
        <w:rPr>
          <w:rFonts w:ascii="Times New Roman" w:hAnsi="Times New Roman"/>
        </w:rPr>
        <w:t xml:space="preserve">The European Council, with the consent of the European Parliament and after consulting the Commission, can decide to extend the competences of the European Public Prosecutor’s Office (EPPO) in accordance with Article 86(4) </w:t>
      </w:r>
      <w:r w:rsidR="00CA3A63">
        <w:rPr>
          <w:rFonts w:ascii="Times New Roman" w:hAnsi="Times New Roman"/>
        </w:rPr>
        <w:t>of the Treaty on the Functioning of the European union (</w:t>
      </w:r>
      <w:r w:rsidRPr="00D078F7">
        <w:rPr>
          <w:rFonts w:ascii="Times New Roman" w:hAnsi="Times New Roman"/>
        </w:rPr>
        <w:t>TFEU</w:t>
      </w:r>
      <w:r w:rsidR="00CA3A63">
        <w:rPr>
          <w:rFonts w:ascii="Times New Roman" w:hAnsi="Times New Roman"/>
        </w:rPr>
        <w:t>)</w:t>
      </w:r>
      <w:r w:rsidRPr="00D078F7">
        <w:rPr>
          <w:rFonts w:ascii="Times New Roman" w:hAnsi="Times New Roman"/>
        </w:rPr>
        <w:t xml:space="preserve">. The Commission has confirmed its readiness to examine in the medium run the need and feasibility of such an extension of the EPPO’s competence. </w:t>
      </w:r>
    </w:p>
    <w:p w14:paraId="69F05ECB" w14:textId="17BB7BE1" w:rsidR="009A3939" w:rsidRPr="00D078F7" w:rsidRDefault="009A3939" w:rsidP="0021639E">
      <w:pPr>
        <w:spacing w:after="120"/>
        <w:rPr>
          <w:rFonts w:ascii="Times New Roman" w:hAnsi="Times New Roman"/>
          <w:i/>
          <w:szCs w:val="24"/>
        </w:rPr>
      </w:pPr>
      <w:r w:rsidRPr="00D078F7">
        <w:rPr>
          <w:rFonts w:ascii="Times New Roman" w:hAnsi="Times New Roman"/>
          <w:i/>
          <w:szCs w:val="24"/>
        </w:rPr>
        <w:t xml:space="preserve">Paragraph 28 </w:t>
      </w:r>
    </w:p>
    <w:p w14:paraId="2CC0EE11" w14:textId="15D90824" w:rsidR="008323AF" w:rsidRPr="00D078F7" w:rsidRDefault="008323AF" w:rsidP="0021639E">
      <w:pPr>
        <w:spacing w:after="120"/>
        <w:rPr>
          <w:rFonts w:ascii="Times New Roman" w:hAnsi="Times New Roman"/>
          <w:iCs/>
          <w:szCs w:val="24"/>
        </w:rPr>
      </w:pPr>
      <w:r w:rsidRPr="00D078F7">
        <w:rPr>
          <w:rFonts w:ascii="Times New Roman" w:hAnsi="Times New Roman"/>
          <w:iCs/>
          <w:szCs w:val="24"/>
        </w:rPr>
        <w:t xml:space="preserve">Through the </w:t>
      </w:r>
      <w:r w:rsidR="00471997" w:rsidRPr="00D078F7">
        <w:rPr>
          <w:rFonts w:ascii="Times New Roman" w:hAnsi="Times New Roman"/>
          <w:iCs/>
          <w:szCs w:val="24"/>
        </w:rPr>
        <w:t xml:space="preserve">2018 </w:t>
      </w:r>
      <w:hyperlink r:id="rId24" w:history="1">
        <w:r w:rsidRPr="00D078F7">
          <w:rPr>
            <w:rStyle w:val="Hyperlink"/>
            <w:rFonts w:ascii="Times New Roman" w:hAnsi="Times New Roman"/>
            <w:iCs/>
            <w:szCs w:val="24"/>
          </w:rPr>
          <w:t>EU Maritime Security Strategy Action Plan</w:t>
        </w:r>
      </w:hyperlink>
      <w:r w:rsidRPr="00D078F7">
        <w:rPr>
          <w:rFonts w:ascii="Times New Roman" w:hAnsi="Times New Roman"/>
          <w:iCs/>
          <w:szCs w:val="24"/>
        </w:rPr>
        <w:t xml:space="preserve"> (EUMSS AP</w:t>
      </w:r>
      <w:r w:rsidR="00471997" w:rsidRPr="00D078F7">
        <w:rPr>
          <w:rFonts w:ascii="Times New Roman" w:hAnsi="Times New Roman"/>
          <w:iCs/>
          <w:szCs w:val="24"/>
        </w:rPr>
        <w:t>)</w:t>
      </w:r>
      <w:r w:rsidRPr="00D078F7">
        <w:rPr>
          <w:rFonts w:ascii="Times New Roman" w:hAnsi="Times New Roman"/>
          <w:iCs/>
          <w:szCs w:val="24"/>
        </w:rPr>
        <w:t xml:space="preserve">, the Commission invites </w:t>
      </w:r>
      <w:r w:rsidR="00CA3A63">
        <w:rPr>
          <w:rFonts w:ascii="Times New Roman" w:hAnsi="Times New Roman"/>
          <w:iCs/>
          <w:szCs w:val="24"/>
        </w:rPr>
        <w:t xml:space="preserve">the </w:t>
      </w:r>
      <w:r w:rsidRPr="00D078F7">
        <w:rPr>
          <w:rFonts w:ascii="Times New Roman" w:hAnsi="Times New Roman"/>
          <w:iCs/>
          <w:szCs w:val="24"/>
        </w:rPr>
        <w:t xml:space="preserve">Member States to promote programmes, involving regional organisations, to optimise the disposal of sea-dumped chemical munitions and unexploded ordnances. </w:t>
      </w:r>
      <w:r w:rsidR="00D078F7" w:rsidRPr="00D078F7">
        <w:rPr>
          <w:rFonts w:ascii="Times New Roman" w:hAnsi="Times New Roman"/>
          <w:iCs/>
          <w:szCs w:val="24"/>
        </w:rPr>
        <w:t>S</w:t>
      </w:r>
      <w:r w:rsidRPr="00D078F7">
        <w:rPr>
          <w:rFonts w:ascii="Times New Roman" w:hAnsi="Times New Roman"/>
          <w:iCs/>
          <w:szCs w:val="24"/>
        </w:rPr>
        <w:t xml:space="preserve">pecific projects have already been funded under the </w:t>
      </w:r>
      <w:r w:rsidR="00D078F7" w:rsidRPr="00D078F7">
        <w:rPr>
          <w:rFonts w:ascii="Times New Roman" w:hAnsi="Times New Roman"/>
          <w:iCs/>
          <w:szCs w:val="24"/>
        </w:rPr>
        <w:t>European Regional Development Fund (</w:t>
      </w:r>
      <w:r w:rsidRPr="00D078F7">
        <w:rPr>
          <w:rFonts w:ascii="Times New Roman" w:hAnsi="Times New Roman"/>
          <w:iCs/>
          <w:szCs w:val="24"/>
        </w:rPr>
        <w:t>ERDF</w:t>
      </w:r>
      <w:r w:rsidR="00D078F7" w:rsidRPr="00D078F7">
        <w:rPr>
          <w:rFonts w:ascii="Times New Roman" w:hAnsi="Times New Roman"/>
          <w:iCs/>
          <w:szCs w:val="24"/>
        </w:rPr>
        <w:t>)</w:t>
      </w:r>
      <w:r w:rsidRPr="00D078F7">
        <w:rPr>
          <w:rFonts w:ascii="Times New Roman" w:hAnsi="Times New Roman"/>
          <w:iCs/>
          <w:szCs w:val="24"/>
        </w:rPr>
        <w:t xml:space="preserve"> and</w:t>
      </w:r>
      <w:r w:rsidR="00D078F7" w:rsidRPr="00D078F7">
        <w:rPr>
          <w:rFonts w:ascii="Times New Roman" w:hAnsi="Times New Roman"/>
          <w:iCs/>
          <w:szCs w:val="24"/>
        </w:rPr>
        <w:t xml:space="preserve"> the European Maritime and Fisheries Fund</w:t>
      </w:r>
      <w:r w:rsidRPr="00D078F7">
        <w:rPr>
          <w:rFonts w:ascii="Times New Roman" w:hAnsi="Times New Roman"/>
          <w:iCs/>
          <w:szCs w:val="24"/>
        </w:rPr>
        <w:t xml:space="preserve"> </w:t>
      </w:r>
      <w:r w:rsidR="00D078F7" w:rsidRPr="00D078F7">
        <w:rPr>
          <w:rFonts w:ascii="Times New Roman" w:hAnsi="Times New Roman"/>
          <w:iCs/>
          <w:szCs w:val="24"/>
        </w:rPr>
        <w:t>(</w:t>
      </w:r>
      <w:r w:rsidRPr="00D078F7">
        <w:rPr>
          <w:rFonts w:ascii="Times New Roman" w:hAnsi="Times New Roman"/>
          <w:iCs/>
          <w:szCs w:val="24"/>
        </w:rPr>
        <w:t>EMFF</w:t>
      </w:r>
      <w:r w:rsidR="00D078F7" w:rsidRPr="00D078F7">
        <w:rPr>
          <w:rFonts w:ascii="Times New Roman" w:hAnsi="Times New Roman"/>
          <w:iCs/>
          <w:szCs w:val="24"/>
        </w:rPr>
        <w:t>).</w:t>
      </w:r>
    </w:p>
    <w:p w14:paraId="0079C7F0" w14:textId="421A0A12" w:rsidR="008323AF" w:rsidRPr="00D078F7" w:rsidRDefault="008323AF" w:rsidP="0021639E">
      <w:pPr>
        <w:spacing w:after="120"/>
        <w:rPr>
          <w:rFonts w:ascii="Times New Roman" w:hAnsi="Times New Roman"/>
          <w:iCs/>
          <w:szCs w:val="24"/>
        </w:rPr>
      </w:pPr>
      <w:r w:rsidRPr="00D078F7">
        <w:rPr>
          <w:rFonts w:ascii="Times New Roman" w:hAnsi="Times New Roman"/>
          <w:iCs/>
          <w:szCs w:val="24"/>
        </w:rPr>
        <w:t xml:space="preserve">In the context of the implementation of the EUMSS AP, the Commission organized in 2019 the Colloquium on </w:t>
      </w:r>
      <w:r w:rsidR="00D078F7" w:rsidRPr="00D078F7">
        <w:rPr>
          <w:rFonts w:ascii="Times New Roman" w:hAnsi="Times New Roman"/>
          <w:iCs/>
          <w:szCs w:val="24"/>
        </w:rPr>
        <w:t>‘</w:t>
      </w:r>
      <w:r w:rsidRPr="00D078F7">
        <w:rPr>
          <w:rFonts w:ascii="Times New Roman" w:hAnsi="Times New Roman"/>
          <w:iCs/>
          <w:szCs w:val="24"/>
        </w:rPr>
        <w:t xml:space="preserve">the Challenges of </w:t>
      </w:r>
      <w:r w:rsidR="00D078F7" w:rsidRPr="00D078F7">
        <w:rPr>
          <w:rFonts w:ascii="Times New Roman" w:hAnsi="Times New Roman"/>
          <w:iCs/>
          <w:szCs w:val="24"/>
        </w:rPr>
        <w:t>u</w:t>
      </w:r>
      <w:r w:rsidRPr="00D078F7">
        <w:rPr>
          <w:rFonts w:ascii="Times New Roman" w:hAnsi="Times New Roman"/>
          <w:iCs/>
          <w:szCs w:val="24"/>
        </w:rPr>
        <w:t xml:space="preserve">nexploded </w:t>
      </w:r>
      <w:r w:rsidR="00D078F7" w:rsidRPr="00D078F7">
        <w:rPr>
          <w:rFonts w:ascii="Times New Roman" w:hAnsi="Times New Roman"/>
          <w:iCs/>
          <w:szCs w:val="24"/>
        </w:rPr>
        <w:t>m</w:t>
      </w:r>
      <w:r w:rsidRPr="00D078F7">
        <w:rPr>
          <w:rFonts w:ascii="Times New Roman" w:hAnsi="Times New Roman"/>
          <w:iCs/>
          <w:szCs w:val="24"/>
        </w:rPr>
        <w:t xml:space="preserve">unitions in the </w:t>
      </w:r>
      <w:r w:rsidR="00D078F7" w:rsidRPr="00D078F7">
        <w:rPr>
          <w:rFonts w:ascii="Times New Roman" w:hAnsi="Times New Roman"/>
          <w:iCs/>
          <w:szCs w:val="24"/>
        </w:rPr>
        <w:t>s</w:t>
      </w:r>
      <w:r w:rsidRPr="00D078F7">
        <w:rPr>
          <w:rFonts w:ascii="Times New Roman" w:hAnsi="Times New Roman"/>
          <w:iCs/>
          <w:szCs w:val="24"/>
        </w:rPr>
        <w:t>ea</w:t>
      </w:r>
      <w:r w:rsidR="00D078F7" w:rsidRPr="00D078F7">
        <w:rPr>
          <w:rFonts w:ascii="Times New Roman" w:hAnsi="Times New Roman"/>
          <w:iCs/>
          <w:szCs w:val="24"/>
        </w:rPr>
        <w:t>’</w:t>
      </w:r>
      <w:r w:rsidRPr="00D078F7">
        <w:rPr>
          <w:rFonts w:ascii="Times New Roman" w:hAnsi="Times New Roman"/>
          <w:iCs/>
          <w:szCs w:val="24"/>
        </w:rPr>
        <w:t xml:space="preserve"> to enable a clearer understanding of the challenges at stake. </w:t>
      </w:r>
      <w:r w:rsidR="00D078F7" w:rsidRPr="00D078F7">
        <w:rPr>
          <w:rFonts w:ascii="Times New Roman" w:hAnsi="Times New Roman"/>
          <w:iCs/>
          <w:szCs w:val="24"/>
        </w:rPr>
        <w:t>Following that, the Commission</w:t>
      </w:r>
      <w:r w:rsidRPr="00D078F7">
        <w:rPr>
          <w:rFonts w:ascii="Times New Roman" w:hAnsi="Times New Roman"/>
          <w:iCs/>
          <w:szCs w:val="24"/>
        </w:rPr>
        <w:t xml:space="preserve"> launched an external study to gather knowledge on the mapping of </w:t>
      </w:r>
      <w:r w:rsidR="00D078F7" w:rsidRPr="00D078F7">
        <w:rPr>
          <w:rFonts w:ascii="Times New Roman" w:hAnsi="Times New Roman"/>
          <w:iCs/>
          <w:szCs w:val="24"/>
        </w:rPr>
        <w:t>unexploded ordnance (</w:t>
      </w:r>
      <w:r w:rsidRPr="00D078F7">
        <w:rPr>
          <w:rFonts w:ascii="Times New Roman" w:hAnsi="Times New Roman"/>
          <w:iCs/>
          <w:szCs w:val="24"/>
        </w:rPr>
        <w:t>UXO</w:t>
      </w:r>
      <w:r w:rsidR="00D078F7" w:rsidRPr="00D078F7">
        <w:rPr>
          <w:rFonts w:ascii="Times New Roman" w:hAnsi="Times New Roman"/>
          <w:iCs/>
          <w:szCs w:val="24"/>
        </w:rPr>
        <w:t>)</w:t>
      </w:r>
      <w:r w:rsidRPr="00D078F7">
        <w:rPr>
          <w:rFonts w:ascii="Times New Roman" w:hAnsi="Times New Roman"/>
          <w:iCs/>
          <w:szCs w:val="24"/>
        </w:rPr>
        <w:t>, streamline best practices for accidental encounters with dumped munitions at sea, and to address relevant environmental concerns.</w:t>
      </w:r>
    </w:p>
    <w:p w14:paraId="76366551" w14:textId="77777777" w:rsidR="008323AF" w:rsidRPr="00D078F7" w:rsidRDefault="008323AF" w:rsidP="0021639E">
      <w:pPr>
        <w:spacing w:after="120"/>
        <w:rPr>
          <w:rFonts w:ascii="Times New Roman" w:hAnsi="Times New Roman"/>
          <w:iCs/>
          <w:szCs w:val="24"/>
        </w:rPr>
      </w:pPr>
      <w:r w:rsidRPr="00D078F7">
        <w:rPr>
          <w:rFonts w:ascii="Times New Roman" w:hAnsi="Times New Roman"/>
          <w:iCs/>
          <w:szCs w:val="24"/>
        </w:rPr>
        <w:t>In the context of Research and Innovation, under the Horizon Europe Work Programme 2023 – 2024 cluster 3, the Commission introduced a topic aiming at tackling the problem of UXO by increasing capabilities to detect, classify, inspect, assess and neutralise UXO at sea and improving safety and security for maritime economic operators and for EU citizens.</w:t>
      </w:r>
    </w:p>
    <w:p w14:paraId="06638E7F" w14:textId="5AC88AF5" w:rsidR="009A3939" w:rsidRPr="00D078F7" w:rsidRDefault="00D078F7" w:rsidP="0021639E">
      <w:pPr>
        <w:spacing w:after="120"/>
        <w:rPr>
          <w:rFonts w:ascii="Times New Roman" w:hAnsi="Times New Roman"/>
          <w:iCs/>
          <w:szCs w:val="24"/>
        </w:rPr>
      </w:pPr>
      <w:r w:rsidRPr="00D078F7">
        <w:rPr>
          <w:rFonts w:ascii="Times New Roman" w:hAnsi="Times New Roman"/>
          <w:iCs/>
          <w:szCs w:val="24"/>
        </w:rPr>
        <w:t>The Commission and the European External Action Service are currently updating the EUMSS AP</w:t>
      </w:r>
      <w:r w:rsidR="00BE7E6C">
        <w:rPr>
          <w:rFonts w:ascii="Times New Roman" w:hAnsi="Times New Roman"/>
          <w:iCs/>
          <w:szCs w:val="24"/>
        </w:rPr>
        <w:t xml:space="preserve"> to</w:t>
      </w:r>
      <w:r w:rsidRPr="00D078F7">
        <w:rPr>
          <w:rFonts w:ascii="Times New Roman" w:hAnsi="Times New Roman"/>
          <w:iCs/>
          <w:szCs w:val="24"/>
        </w:rPr>
        <w:t xml:space="preserve"> </w:t>
      </w:r>
      <w:r w:rsidR="00BE7E6C">
        <w:rPr>
          <w:rFonts w:ascii="Times New Roman" w:hAnsi="Times New Roman"/>
          <w:iCs/>
          <w:szCs w:val="24"/>
        </w:rPr>
        <w:t xml:space="preserve">address the issue of </w:t>
      </w:r>
      <w:r w:rsidRPr="00D078F7">
        <w:rPr>
          <w:rFonts w:ascii="Times New Roman" w:hAnsi="Times New Roman"/>
          <w:iCs/>
          <w:szCs w:val="24"/>
        </w:rPr>
        <w:t>munitions through a regional and a horizontal approach.</w:t>
      </w:r>
    </w:p>
    <w:p w14:paraId="77E0F15D" w14:textId="7C0128D4" w:rsidR="009A3939" w:rsidRPr="00D078F7" w:rsidRDefault="009A3939" w:rsidP="0021639E">
      <w:pPr>
        <w:spacing w:after="120"/>
        <w:rPr>
          <w:rFonts w:ascii="Times New Roman" w:hAnsi="Times New Roman"/>
          <w:i/>
          <w:szCs w:val="24"/>
        </w:rPr>
      </w:pPr>
      <w:r w:rsidRPr="00D078F7">
        <w:rPr>
          <w:rFonts w:ascii="Times New Roman" w:hAnsi="Times New Roman"/>
          <w:i/>
          <w:szCs w:val="24"/>
        </w:rPr>
        <w:t xml:space="preserve">Paragraph </w:t>
      </w:r>
      <w:r w:rsidR="004D54D1" w:rsidRPr="00D078F7">
        <w:rPr>
          <w:rFonts w:ascii="Times New Roman" w:hAnsi="Times New Roman"/>
          <w:i/>
          <w:szCs w:val="24"/>
        </w:rPr>
        <w:t>32</w:t>
      </w:r>
    </w:p>
    <w:p w14:paraId="541D8CC5" w14:textId="53885A7B" w:rsidR="00E473F9" w:rsidRPr="00D078F7" w:rsidRDefault="005722FE" w:rsidP="0021639E">
      <w:pPr>
        <w:spacing w:after="120"/>
        <w:rPr>
          <w:rFonts w:ascii="Times New Roman" w:hAnsi="Times New Roman"/>
          <w:iCs/>
          <w:szCs w:val="24"/>
          <w:lang w:val="en-IE"/>
        </w:rPr>
      </w:pPr>
      <w:r w:rsidRPr="00D078F7">
        <w:rPr>
          <w:rFonts w:ascii="Times New Roman" w:hAnsi="Times New Roman"/>
          <w:iCs/>
          <w:szCs w:val="24"/>
          <w:lang w:val="en-IE"/>
        </w:rPr>
        <w:t xml:space="preserve">Member States (in this case, France) are responsible for investigating </w:t>
      </w:r>
      <w:r w:rsidR="00E473F9" w:rsidRPr="00D078F7">
        <w:rPr>
          <w:rFonts w:ascii="Times New Roman" w:hAnsi="Times New Roman"/>
          <w:iCs/>
          <w:szCs w:val="24"/>
          <w:lang w:val="en-IE"/>
        </w:rPr>
        <w:t>criminal cases, such as the murder of a Romanian truck driver on a motorway parking in Calais (France) in 2021.</w:t>
      </w:r>
    </w:p>
    <w:p w14:paraId="1596BA86" w14:textId="5DFD2C2B" w:rsidR="00E473F9" w:rsidRPr="00D078F7" w:rsidRDefault="005722FE" w:rsidP="0021639E">
      <w:pPr>
        <w:spacing w:after="120"/>
        <w:rPr>
          <w:rFonts w:ascii="Times New Roman" w:hAnsi="Times New Roman"/>
          <w:iCs/>
          <w:szCs w:val="24"/>
          <w:lang w:val="en-IE"/>
        </w:rPr>
      </w:pPr>
      <w:r w:rsidRPr="00D078F7">
        <w:rPr>
          <w:rFonts w:ascii="Times New Roman" w:hAnsi="Times New Roman"/>
          <w:iCs/>
          <w:szCs w:val="24"/>
          <w:lang w:val="en-IE"/>
        </w:rPr>
        <w:t>There are several</w:t>
      </w:r>
      <w:r w:rsidR="00E473F9" w:rsidRPr="00D078F7">
        <w:rPr>
          <w:rFonts w:ascii="Times New Roman" w:hAnsi="Times New Roman"/>
          <w:iCs/>
          <w:szCs w:val="24"/>
          <w:lang w:val="en-IE"/>
        </w:rPr>
        <w:t xml:space="preserve"> legislative provisions and dedicated tools for the prevention, detection and investigation of criminal offences at EU level to facilitate cooperation between law enforcement authorities of Member States, incl</w:t>
      </w:r>
      <w:r w:rsidRPr="00D078F7">
        <w:rPr>
          <w:rFonts w:ascii="Times New Roman" w:hAnsi="Times New Roman"/>
          <w:iCs/>
          <w:szCs w:val="24"/>
          <w:lang w:val="en-IE"/>
        </w:rPr>
        <w:t>uding</w:t>
      </w:r>
      <w:r w:rsidR="00E473F9" w:rsidRPr="00D078F7">
        <w:rPr>
          <w:rFonts w:ascii="Times New Roman" w:hAnsi="Times New Roman"/>
          <w:iCs/>
          <w:szCs w:val="24"/>
          <w:lang w:val="en-IE"/>
        </w:rPr>
        <w:t xml:space="preserve"> Council Framework Decision 2006/960/JHA (so-called ‘Swedish Framework Decision’) on information exchange, the </w:t>
      </w:r>
      <w:r w:rsidR="00E473F9" w:rsidRPr="00D078F7">
        <w:rPr>
          <w:rFonts w:ascii="Times New Roman" w:hAnsi="Times New Roman"/>
          <w:iCs/>
          <w:szCs w:val="24"/>
          <w:lang w:val="en-IE"/>
        </w:rPr>
        <w:lastRenderedPageBreak/>
        <w:t>European Investigation Order (EIO), the Schengen Information System, Europol and Eurojust.</w:t>
      </w:r>
    </w:p>
    <w:p w14:paraId="595236D8" w14:textId="77777777" w:rsidR="00716ECC" w:rsidRPr="00D078F7" w:rsidRDefault="00716ECC" w:rsidP="0021639E">
      <w:pPr>
        <w:spacing w:after="120"/>
        <w:rPr>
          <w:rFonts w:ascii="Times New Roman" w:hAnsi="Times New Roman"/>
          <w:iCs/>
          <w:szCs w:val="24"/>
          <w:lang w:val="en-IE"/>
        </w:rPr>
      </w:pPr>
      <w:r w:rsidRPr="00D078F7">
        <w:rPr>
          <w:rFonts w:ascii="Times New Roman" w:hAnsi="Times New Roman"/>
          <w:iCs/>
          <w:szCs w:val="24"/>
          <w:lang w:val="en-IE"/>
        </w:rPr>
        <w:t>CARPOL is the network of EU law enforcement contact points for tackling cross-border vehicle crime, established based on Council Decision 2004/919/EC on tackling vehicle crime with cross-border implications.</w:t>
      </w:r>
    </w:p>
    <w:p w14:paraId="527E51EA" w14:textId="3103F820" w:rsidR="00E473F9" w:rsidRPr="00D078F7" w:rsidRDefault="00E473F9" w:rsidP="0021639E">
      <w:pPr>
        <w:spacing w:after="120"/>
        <w:rPr>
          <w:rFonts w:ascii="Times New Roman" w:hAnsi="Times New Roman"/>
          <w:iCs/>
          <w:szCs w:val="24"/>
          <w:lang w:val="en-IE"/>
        </w:rPr>
      </w:pPr>
      <w:r w:rsidRPr="00D078F7">
        <w:rPr>
          <w:rFonts w:ascii="Times New Roman" w:hAnsi="Times New Roman"/>
          <w:iCs/>
          <w:szCs w:val="24"/>
          <w:lang w:val="en-IE"/>
        </w:rPr>
        <w:t xml:space="preserve">The Commission adopted a police cooperation package in December 2021 to further facilitate and enhance the cooperation of the law enforcement authorities of the Member States. The package includes </w:t>
      </w:r>
      <w:r w:rsidR="00716ECC" w:rsidRPr="00D078F7">
        <w:rPr>
          <w:rFonts w:ascii="Times New Roman" w:hAnsi="Times New Roman"/>
          <w:iCs/>
          <w:szCs w:val="24"/>
          <w:lang w:val="en-IE"/>
        </w:rPr>
        <w:t>a proposal for a regulation on automated data exchange for police cooperation (“Prüm II”), amending Council Decisions 2008/615/JHA and 2008/616/JHA and Regulations (EU) 2018/1726, 2019/817 and 2019/818 of the European Parliament and of the Council and a proposal for a d</w:t>
      </w:r>
      <w:r w:rsidRPr="00D078F7">
        <w:rPr>
          <w:rFonts w:ascii="Times New Roman" w:hAnsi="Times New Roman"/>
          <w:iCs/>
          <w:szCs w:val="24"/>
          <w:lang w:val="en-IE"/>
        </w:rPr>
        <w:t>irective on information exchange between law enforcement authorities of Member States</w:t>
      </w:r>
      <w:r w:rsidR="00716ECC" w:rsidRPr="00D078F7">
        <w:rPr>
          <w:rFonts w:ascii="Times New Roman" w:hAnsi="Times New Roman"/>
          <w:iCs/>
          <w:szCs w:val="24"/>
          <w:lang w:val="en-IE"/>
        </w:rPr>
        <w:t xml:space="preserve"> and</w:t>
      </w:r>
      <w:r w:rsidRPr="00D078F7">
        <w:rPr>
          <w:rFonts w:ascii="Times New Roman" w:hAnsi="Times New Roman"/>
          <w:iCs/>
          <w:szCs w:val="24"/>
          <w:lang w:val="en-IE"/>
        </w:rPr>
        <w:t xml:space="preserve"> a proposal for a Council Recommendation on operational law enforcement cooperation </w:t>
      </w:r>
      <w:r w:rsidR="00716ECC" w:rsidRPr="00D078F7">
        <w:rPr>
          <w:rFonts w:ascii="Times New Roman" w:hAnsi="Times New Roman"/>
          <w:iCs/>
          <w:szCs w:val="24"/>
          <w:lang w:val="en-IE"/>
        </w:rPr>
        <w:t>which</w:t>
      </w:r>
      <w:r w:rsidRPr="00D078F7">
        <w:rPr>
          <w:rFonts w:ascii="Times New Roman" w:hAnsi="Times New Roman"/>
          <w:iCs/>
          <w:szCs w:val="24"/>
          <w:lang w:val="en-IE"/>
        </w:rPr>
        <w:t xml:space="preserve"> was adopted </w:t>
      </w:r>
      <w:r w:rsidR="00716ECC" w:rsidRPr="00D078F7">
        <w:rPr>
          <w:rFonts w:ascii="Times New Roman" w:hAnsi="Times New Roman"/>
          <w:iCs/>
          <w:szCs w:val="24"/>
          <w:lang w:val="en-IE"/>
        </w:rPr>
        <w:t>in unanimity</w:t>
      </w:r>
      <w:r w:rsidRPr="00D078F7">
        <w:rPr>
          <w:rFonts w:ascii="Times New Roman" w:hAnsi="Times New Roman"/>
          <w:iCs/>
          <w:szCs w:val="24"/>
          <w:lang w:val="en-IE"/>
        </w:rPr>
        <w:t xml:space="preserve"> by </w:t>
      </w:r>
      <w:r w:rsidR="00716ECC" w:rsidRPr="00D078F7">
        <w:rPr>
          <w:rFonts w:ascii="Times New Roman" w:hAnsi="Times New Roman"/>
          <w:iCs/>
          <w:szCs w:val="24"/>
          <w:lang w:val="en-IE"/>
        </w:rPr>
        <w:t>Member States</w:t>
      </w:r>
      <w:r w:rsidRPr="00D078F7">
        <w:rPr>
          <w:rFonts w:ascii="Times New Roman" w:hAnsi="Times New Roman"/>
          <w:iCs/>
          <w:szCs w:val="24"/>
          <w:lang w:val="en-IE"/>
        </w:rPr>
        <w:t xml:space="preserve"> in June 2022.</w:t>
      </w:r>
    </w:p>
    <w:p w14:paraId="31725FAC" w14:textId="6FF3BCBD" w:rsidR="004D54D1" w:rsidRPr="00D078F7" w:rsidRDefault="00E473F9" w:rsidP="0021639E">
      <w:pPr>
        <w:spacing w:after="120"/>
        <w:rPr>
          <w:rFonts w:ascii="Times New Roman" w:hAnsi="Times New Roman"/>
          <w:iCs/>
          <w:szCs w:val="24"/>
          <w:lang w:val="en-IE"/>
        </w:rPr>
      </w:pPr>
      <w:r w:rsidRPr="00D078F7">
        <w:rPr>
          <w:rFonts w:ascii="Times New Roman" w:hAnsi="Times New Roman"/>
          <w:iCs/>
          <w:szCs w:val="24"/>
          <w:lang w:val="en-IE"/>
        </w:rPr>
        <w:t xml:space="preserve">The Commission also supports the European Multidisciplinary Platform against Criminal Threats (EMPACT), notably the activities developed to tackle </w:t>
      </w:r>
      <w:r w:rsidR="00716ECC" w:rsidRPr="00D078F7">
        <w:rPr>
          <w:rFonts w:ascii="Times New Roman" w:hAnsi="Times New Roman"/>
          <w:iCs/>
          <w:szCs w:val="24"/>
          <w:lang w:val="en-IE"/>
        </w:rPr>
        <w:t>‘</w:t>
      </w:r>
      <w:r w:rsidRPr="00D078F7">
        <w:rPr>
          <w:rFonts w:ascii="Times New Roman" w:hAnsi="Times New Roman"/>
          <w:iCs/>
          <w:szCs w:val="24"/>
          <w:lang w:val="en-IE"/>
        </w:rPr>
        <w:t>organised property crime</w:t>
      </w:r>
      <w:r w:rsidR="00716ECC" w:rsidRPr="00D078F7">
        <w:rPr>
          <w:rFonts w:ascii="Times New Roman" w:hAnsi="Times New Roman"/>
          <w:iCs/>
          <w:szCs w:val="24"/>
          <w:lang w:val="en-IE"/>
        </w:rPr>
        <w:t>’</w:t>
      </w:r>
      <w:r w:rsidRPr="00D078F7">
        <w:rPr>
          <w:rFonts w:ascii="Times New Roman" w:hAnsi="Times New Roman"/>
          <w:iCs/>
          <w:szCs w:val="24"/>
          <w:lang w:val="en-IE"/>
        </w:rPr>
        <w:t xml:space="preserve"> (OPC), one of the </w:t>
      </w:r>
      <w:r w:rsidR="00CA3A63">
        <w:rPr>
          <w:rFonts w:ascii="Times New Roman" w:hAnsi="Times New Roman"/>
          <w:iCs/>
          <w:szCs w:val="24"/>
          <w:lang w:val="en-IE"/>
        </w:rPr>
        <w:t>ten</w:t>
      </w:r>
      <w:r w:rsidRPr="00D078F7">
        <w:rPr>
          <w:rFonts w:ascii="Times New Roman" w:hAnsi="Times New Roman"/>
          <w:iCs/>
          <w:szCs w:val="24"/>
          <w:lang w:val="en-IE"/>
        </w:rPr>
        <w:t xml:space="preserve"> EU crime priorities for the current EMPACT cycle 2022-2025. The aim of this EMPACT priority is </w:t>
      </w:r>
      <w:r w:rsidR="00716ECC" w:rsidRPr="00D078F7">
        <w:rPr>
          <w:rFonts w:ascii="Times New Roman" w:hAnsi="Times New Roman"/>
          <w:iCs/>
          <w:szCs w:val="24"/>
          <w:lang w:val="en-IE"/>
        </w:rPr>
        <w:t>‘</w:t>
      </w:r>
      <w:r w:rsidRPr="00D078F7">
        <w:rPr>
          <w:rFonts w:ascii="Times New Roman" w:hAnsi="Times New Roman"/>
          <w:iCs/>
          <w:szCs w:val="24"/>
          <w:lang w:val="en-IE"/>
        </w:rPr>
        <w:t>to disrupt criminal networks involved in organised burglaries and theft, organised robberies, motor vehicle crime and illegal trade in cultural goods, with a special focus on those that are highly mobile and operating across the EU</w:t>
      </w:r>
      <w:r w:rsidR="00716ECC" w:rsidRPr="00D078F7">
        <w:rPr>
          <w:rFonts w:ascii="Times New Roman" w:hAnsi="Times New Roman"/>
          <w:iCs/>
          <w:szCs w:val="24"/>
          <w:lang w:val="en-IE"/>
        </w:rPr>
        <w:t>’</w:t>
      </w:r>
      <w:r w:rsidRPr="00D078F7">
        <w:rPr>
          <w:rFonts w:ascii="Times New Roman" w:hAnsi="Times New Roman"/>
          <w:iCs/>
          <w:szCs w:val="24"/>
          <w:lang w:val="en-IE"/>
        </w:rPr>
        <w:t>.</w:t>
      </w:r>
    </w:p>
    <w:p w14:paraId="56542AAE" w14:textId="749C82C3" w:rsidR="00953E1F" w:rsidRPr="00D078F7" w:rsidRDefault="00953E1F" w:rsidP="0021639E">
      <w:pPr>
        <w:spacing w:after="120"/>
        <w:rPr>
          <w:rFonts w:ascii="Times New Roman" w:hAnsi="Times New Roman"/>
          <w:iCs/>
          <w:szCs w:val="24"/>
        </w:rPr>
      </w:pPr>
      <w:r w:rsidRPr="00D078F7">
        <w:rPr>
          <w:rFonts w:ascii="Times New Roman" w:hAnsi="Times New Roman"/>
          <w:iCs/>
          <w:szCs w:val="24"/>
        </w:rPr>
        <w:t xml:space="preserve">On 7 April 2022, the Commission adopted a </w:t>
      </w:r>
      <w:r w:rsidR="007526DA" w:rsidRPr="00D078F7">
        <w:rPr>
          <w:rFonts w:ascii="Times New Roman" w:hAnsi="Times New Roman"/>
          <w:iCs/>
          <w:szCs w:val="24"/>
        </w:rPr>
        <w:t>d</w:t>
      </w:r>
      <w:r w:rsidRPr="00D078F7">
        <w:rPr>
          <w:rFonts w:ascii="Times New Roman" w:hAnsi="Times New Roman"/>
          <w:iCs/>
          <w:szCs w:val="24"/>
        </w:rPr>
        <w:t>elegated act on standards and certification procedures for safe and secure parking areas (SSTPAs), which entered into force on 18 July 2022.</w:t>
      </w:r>
    </w:p>
    <w:p w14:paraId="66A9AF8B" w14:textId="12E7DAA5" w:rsidR="005722FE" w:rsidRPr="00D078F7" w:rsidRDefault="005722FE" w:rsidP="0021639E">
      <w:pPr>
        <w:spacing w:after="120"/>
        <w:rPr>
          <w:rFonts w:ascii="Times New Roman" w:hAnsi="Times New Roman"/>
          <w:iCs/>
          <w:szCs w:val="24"/>
        </w:rPr>
      </w:pPr>
      <w:r w:rsidRPr="00D078F7">
        <w:rPr>
          <w:rFonts w:ascii="Times New Roman" w:hAnsi="Times New Roman"/>
          <w:iCs/>
          <w:szCs w:val="24"/>
        </w:rPr>
        <w:t xml:space="preserve">The Commission </w:t>
      </w:r>
      <w:r w:rsidR="007526DA" w:rsidRPr="00D078F7">
        <w:rPr>
          <w:rFonts w:ascii="Times New Roman" w:hAnsi="Times New Roman"/>
          <w:iCs/>
          <w:szCs w:val="24"/>
        </w:rPr>
        <w:t>supports</w:t>
      </w:r>
      <w:r w:rsidR="00CA3A63">
        <w:rPr>
          <w:rFonts w:ascii="Times New Roman" w:hAnsi="Times New Roman"/>
          <w:iCs/>
          <w:szCs w:val="24"/>
        </w:rPr>
        <w:t xml:space="preserve"> the</w:t>
      </w:r>
      <w:r w:rsidRPr="00D078F7">
        <w:rPr>
          <w:rFonts w:ascii="Times New Roman" w:hAnsi="Times New Roman"/>
          <w:iCs/>
          <w:szCs w:val="24"/>
        </w:rPr>
        <w:t xml:space="preserve"> Member States and private operators in their efforts to build more SSTPAs by providing funding for the development of this infrastructure under the Connecting Europe Facility (CEF). The last CEF call launched last September makes </w:t>
      </w:r>
      <w:r w:rsidR="007526DA" w:rsidRPr="00D078F7">
        <w:rPr>
          <w:rFonts w:ascii="Times New Roman" w:hAnsi="Times New Roman"/>
          <w:iCs/>
          <w:szCs w:val="24"/>
        </w:rPr>
        <w:t xml:space="preserve">EUR </w:t>
      </w:r>
      <w:r w:rsidRPr="00D078F7">
        <w:rPr>
          <w:rFonts w:ascii="Times New Roman" w:hAnsi="Times New Roman"/>
          <w:iCs/>
          <w:szCs w:val="24"/>
        </w:rPr>
        <w:t>250 million available for the funding of this priority.</w:t>
      </w:r>
    </w:p>
    <w:p w14:paraId="75F63C3C" w14:textId="63BBA1F6" w:rsidR="00953E1F" w:rsidRPr="00D078F7" w:rsidRDefault="00953E1F" w:rsidP="0021639E">
      <w:pPr>
        <w:spacing w:after="120"/>
        <w:rPr>
          <w:rFonts w:ascii="Times New Roman" w:hAnsi="Times New Roman"/>
          <w:iCs/>
          <w:szCs w:val="24"/>
        </w:rPr>
      </w:pPr>
      <w:r w:rsidRPr="00D078F7">
        <w:rPr>
          <w:rFonts w:ascii="Times New Roman" w:hAnsi="Times New Roman"/>
          <w:iCs/>
          <w:szCs w:val="24"/>
        </w:rPr>
        <w:t>In the context of the revision of the Transeuropean Transport network (TEN-T) Regulation, the Commission proposed to introduce an obligation for Member States to have SSTPAs on the TEN-T network at a maximum distance of 100 km from each other, on the TEN-T core network and extended core network by 31 December 2040.</w:t>
      </w:r>
    </w:p>
    <w:p w14:paraId="2AE53B35" w14:textId="56003275" w:rsidR="007601C1" w:rsidRPr="00D078F7" w:rsidRDefault="00953E1F" w:rsidP="0021639E">
      <w:pPr>
        <w:spacing w:after="120"/>
        <w:rPr>
          <w:rFonts w:ascii="Times New Roman" w:hAnsi="Times New Roman"/>
          <w:iCs/>
          <w:szCs w:val="24"/>
        </w:rPr>
      </w:pPr>
      <w:r w:rsidRPr="00D078F7">
        <w:rPr>
          <w:rFonts w:ascii="Times New Roman" w:hAnsi="Times New Roman"/>
          <w:iCs/>
          <w:szCs w:val="24"/>
        </w:rPr>
        <w:t xml:space="preserve">Unfortunately, the general approach reached </w:t>
      </w:r>
      <w:r w:rsidR="007526DA" w:rsidRPr="00D078F7">
        <w:rPr>
          <w:rFonts w:ascii="Times New Roman" w:hAnsi="Times New Roman"/>
          <w:iCs/>
          <w:szCs w:val="24"/>
        </w:rPr>
        <w:t>by Member States</w:t>
      </w:r>
      <w:r w:rsidRPr="00D078F7">
        <w:rPr>
          <w:rFonts w:ascii="Times New Roman" w:hAnsi="Times New Roman"/>
          <w:iCs/>
          <w:szCs w:val="24"/>
        </w:rPr>
        <w:t xml:space="preserve"> on the TEN-T revision on 5 December 2022 removes that legal obligation and includes instead only a “best effort” approach to develop such areas at a distance of 150 km on average.</w:t>
      </w:r>
      <w:r w:rsidR="007601C1" w:rsidRPr="00D078F7">
        <w:rPr>
          <w:rFonts w:ascii="Times New Roman" w:eastAsiaTheme="minorHAnsi" w:hAnsi="Times New Roman"/>
          <w:b/>
          <w:bCs/>
          <w:color w:val="FF0000"/>
          <w:sz w:val="22"/>
          <w:szCs w:val="22"/>
          <w:lang w:eastAsia="en-US"/>
        </w:rPr>
        <w:t xml:space="preserve"> </w:t>
      </w:r>
      <w:r w:rsidR="007601C1" w:rsidRPr="00D078F7">
        <w:rPr>
          <w:rFonts w:ascii="Times New Roman" w:hAnsi="Times New Roman"/>
          <w:iCs/>
          <w:szCs w:val="24"/>
        </w:rPr>
        <w:t>The Commission counts on the support of the European Parliament in the interinstitutional negotiations to ensure that the revised TEN-T Regulation will include clear obligations to build safe and secure parking on the TEN-T network.</w:t>
      </w:r>
    </w:p>
    <w:p w14:paraId="588EB04A" w14:textId="0FA3B853" w:rsidR="004D54D1" w:rsidRPr="00D078F7" w:rsidRDefault="004D54D1" w:rsidP="0021639E">
      <w:pPr>
        <w:spacing w:after="120"/>
        <w:rPr>
          <w:rFonts w:ascii="Times New Roman" w:hAnsi="Times New Roman"/>
          <w:i/>
          <w:szCs w:val="24"/>
        </w:rPr>
      </w:pPr>
      <w:r w:rsidRPr="00D078F7">
        <w:rPr>
          <w:rFonts w:ascii="Times New Roman" w:hAnsi="Times New Roman"/>
          <w:i/>
          <w:szCs w:val="24"/>
        </w:rPr>
        <w:t>Paragraph 35</w:t>
      </w:r>
    </w:p>
    <w:p w14:paraId="58DA80C7" w14:textId="30415926" w:rsidR="004D54D1" w:rsidRPr="00D078F7" w:rsidRDefault="004D54D1" w:rsidP="0021639E">
      <w:pPr>
        <w:spacing w:after="120"/>
        <w:rPr>
          <w:rFonts w:ascii="Times New Roman" w:hAnsi="Times New Roman"/>
          <w:iCs/>
          <w:szCs w:val="24"/>
        </w:rPr>
      </w:pPr>
      <w:r w:rsidRPr="00D078F7">
        <w:rPr>
          <w:rFonts w:ascii="Times New Roman" w:hAnsi="Times New Roman"/>
          <w:iCs/>
          <w:szCs w:val="24"/>
        </w:rPr>
        <w:t>The Commission has already replied to this call in its responses to the resolutions adopted in 2020 (</w:t>
      </w:r>
      <w:hyperlink r:id="rId25" w:history="1">
        <w:r w:rsidRPr="00D078F7">
          <w:rPr>
            <w:rStyle w:val="Hyperlink"/>
            <w:rFonts w:ascii="Times New Roman" w:hAnsi="Times New Roman"/>
            <w:iCs/>
            <w:szCs w:val="24"/>
          </w:rPr>
          <w:t>SP(2021)190</w:t>
        </w:r>
      </w:hyperlink>
      <w:r w:rsidRPr="00D078F7">
        <w:rPr>
          <w:rFonts w:ascii="Times New Roman" w:hAnsi="Times New Roman"/>
          <w:iCs/>
          <w:szCs w:val="24"/>
        </w:rPr>
        <w:t>) and 2021(</w:t>
      </w:r>
      <w:hyperlink r:id="rId26" w:history="1">
        <w:r w:rsidRPr="00D078F7">
          <w:rPr>
            <w:rStyle w:val="Hyperlink"/>
            <w:rFonts w:ascii="Times New Roman" w:hAnsi="Times New Roman"/>
            <w:iCs/>
            <w:szCs w:val="24"/>
          </w:rPr>
          <w:t>SP(2022)123</w:t>
        </w:r>
      </w:hyperlink>
      <w:r w:rsidRPr="00D078F7">
        <w:rPr>
          <w:rFonts w:ascii="Times New Roman" w:hAnsi="Times New Roman"/>
          <w:iCs/>
          <w:szCs w:val="24"/>
        </w:rPr>
        <w:t>).</w:t>
      </w:r>
    </w:p>
    <w:p w14:paraId="476CDC16" w14:textId="77777777" w:rsidR="00CA3A63" w:rsidRDefault="004D54D1" w:rsidP="0021639E">
      <w:pPr>
        <w:spacing w:after="120"/>
        <w:rPr>
          <w:rFonts w:ascii="Times New Roman" w:hAnsi="Times New Roman"/>
          <w:iCs/>
          <w:szCs w:val="24"/>
        </w:rPr>
      </w:pPr>
      <w:r w:rsidRPr="00D078F7">
        <w:rPr>
          <w:rFonts w:ascii="Times New Roman" w:hAnsi="Times New Roman"/>
          <w:i/>
          <w:szCs w:val="24"/>
        </w:rPr>
        <w:t>Paragraph 36</w:t>
      </w:r>
      <w:r w:rsidR="00CA3A63">
        <w:rPr>
          <w:rFonts w:ascii="Times New Roman" w:hAnsi="Times New Roman"/>
          <w:i/>
          <w:szCs w:val="24"/>
        </w:rPr>
        <w:t>,</w:t>
      </w:r>
      <w:r w:rsidRPr="00D078F7">
        <w:rPr>
          <w:rFonts w:ascii="Times New Roman" w:hAnsi="Times New Roman"/>
          <w:i/>
          <w:szCs w:val="24"/>
        </w:rPr>
        <w:t xml:space="preserve"> </w:t>
      </w:r>
      <w:r w:rsidRPr="00CA3A63">
        <w:rPr>
          <w:rFonts w:ascii="Times New Roman" w:hAnsi="Times New Roman"/>
          <w:iCs/>
          <w:szCs w:val="24"/>
        </w:rPr>
        <w:t>calls on the Commission to better engage with citizens and give adequate follow-up to successful ECIs, including through legislative proposals</w:t>
      </w:r>
      <w:r w:rsidR="00CA3A63">
        <w:rPr>
          <w:rFonts w:ascii="Times New Roman" w:hAnsi="Times New Roman"/>
          <w:iCs/>
          <w:szCs w:val="24"/>
        </w:rPr>
        <w:t>.</w:t>
      </w:r>
    </w:p>
    <w:p w14:paraId="51EE885A" w14:textId="1315D3D9" w:rsidR="00435DCB" w:rsidRPr="00D078F7" w:rsidRDefault="00435DCB" w:rsidP="0021639E">
      <w:pPr>
        <w:spacing w:after="120"/>
        <w:rPr>
          <w:rFonts w:ascii="Times New Roman" w:hAnsi="Times New Roman"/>
          <w:iCs/>
          <w:szCs w:val="24"/>
        </w:rPr>
      </w:pPr>
      <w:r w:rsidRPr="00D078F7">
        <w:rPr>
          <w:rFonts w:ascii="Times New Roman" w:hAnsi="Times New Roman"/>
          <w:iCs/>
          <w:szCs w:val="24"/>
        </w:rPr>
        <w:t xml:space="preserve">The European Citizens’ Initiative (ECI) is a unique instrument of participatory democracy. It gives </w:t>
      </w:r>
      <w:r w:rsidR="002D69FA" w:rsidRPr="00D078F7">
        <w:rPr>
          <w:rFonts w:ascii="Times New Roman" w:hAnsi="Times New Roman"/>
          <w:iCs/>
          <w:szCs w:val="24"/>
        </w:rPr>
        <w:t>E</w:t>
      </w:r>
      <w:r w:rsidRPr="00D078F7">
        <w:rPr>
          <w:rFonts w:ascii="Times New Roman" w:hAnsi="Times New Roman"/>
          <w:iCs/>
          <w:szCs w:val="24"/>
        </w:rPr>
        <w:t xml:space="preserve">U citizens the power to directly approach the European Commission and invite it to take action on a matter that they care about. Since 2020, 28 new initiatives have been registered. Moreover, </w:t>
      </w:r>
      <w:r w:rsidR="00BB4964">
        <w:rPr>
          <w:rFonts w:ascii="Times New Roman" w:hAnsi="Times New Roman"/>
          <w:iCs/>
          <w:szCs w:val="24"/>
        </w:rPr>
        <w:t>three</w:t>
      </w:r>
      <w:r w:rsidRPr="00D078F7">
        <w:rPr>
          <w:rFonts w:ascii="Times New Roman" w:hAnsi="Times New Roman"/>
          <w:iCs/>
          <w:szCs w:val="24"/>
        </w:rPr>
        <w:t xml:space="preserve"> successful initiatives have been submitted to the Commission for reply in October 2022 and January 2023</w:t>
      </w:r>
      <w:r w:rsidR="00BB4964">
        <w:rPr>
          <w:rFonts w:ascii="Times New Roman" w:hAnsi="Times New Roman"/>
          <w:iCs/>
          <w:szCs w:val="24"/>
        </w:rPr>
        <w:t>: ‘</w:t>
      </w:r>
      <w:r w:rsidR="00BB4964" w:rsidRPr="00BB4964">
        <w:rPr>
          <w:rFonts w:ascii="Times New Roman" w:hAnsi="Times New Roman"/>
          <w:iCs/>
          <w:szCs w:val="24"/>
        </w:rPr>
        <w:t xml:space="preserve">Save bees’ was submitted in October 2022, </w:t>
      </w:r>
      <w:r w:rsidR="00BB4964" w:rsidRPr="00BB4964">
        <w:rPr>
          <w:rFonts w:ascii="Times New Roman" w:hAnsi="Times New Roman"/>
          <w:iCs/>
          <w:szCs w:val="24"/>
        </w:rPr>
        <w:lastRenderedPageBreak/>
        <w:t>for reply by 7 April this year. ‘Stop Finning’ and ‘Save Cruelty Free Cosmetics’</w:t>
      </w:r>
      <w:r w:rsidR="00BB4964">
        <w:rPr>
          <w:rFonts w:ascii="Times New Roman" w:hAnsi="Times New Roman"/>
          <w:iCs/>
          <w:szCs w:val="24"/>
        </w:rPr>
        <w:t xml:space="preserve"> </w:t>
      </w:r>
      <w:r w:rsidR="00BB4964" w:rsidRPr="00BB4964">
        <w:rPr>
          <w:rFonts w:ascii="Times New Roman" w:hAnsi="Times New Roman"/>
          <w:iCs/>
          <w:szCs w:val="24"/>
        </w:rPr>
        <w:t xml:space="preserve">were submitted in January this year, with a deadline for reply respectively </w:t>
      </w:r>
      <w:r w:rsidR="00BB4964">
        <w:rPr>
          <w:rFonts w:ascii="Times New Roman" w:hAnsi="Times New Roman"/>
          <w:iCs/>
          <w:szCs w:val="24"/>
        </w:rPr>
        <w:t xml:space="preserve">by </w:t>
      </w:r>
      <w:r w:rsidR="00BB4964" w:rsidRPr="00BB4964">
        <w:rPr>
          <w:rFonts w:ascii="Times New Roman" w:hAnsi="Times New Roman"/>
          <w:iCs/>
          <w:szCs w:val="24"/>
        </w:rPr>
        <w:t>11 July and 25 July.</w:t>
      </w:r>
    </w:p>
    <w:p w14:paraId="46F1D444" w14:textId="19F120A1" w:rsidR="00435DCB" w:rsidRPr="00D078F7" w:rsidRDefault="00435DCB" w:rsidP="0021639E">
      <w:pPr>
        <w:spacing w:after="120"/>
        <w:rPr>
          <w:rFonts w:ascii="Times New Roman" w:hAnsi="Times New Roman"/>
          <w:iCs/>
          <w:szCs w:val="24"/>
        </w:rPr>
      </w:pPr>
      <w:r w:rsidRPr="00D078F7">
        <w:rPr>
          <w:rFonts w:ascii="Times New Roman" w:hAnsi="Times New Roman"/>
          <w:iCs/>
          <w:szCs w:val="24"/>
        </w:rPr>
        <w:t xml:space="preserve">In the six-month examination phase, the Commission carefully analyses each successful initiative before setting out its legal and political conclusions and the action it intends to take, if any, and its reasons </w:t>
      </w:r>
      <w:r w:rsidR="007262CA">
        <w:rPr>
          <w:rFonts w:ascii="Times New Roman" w:hAnsi="Times New Roman"/>
          <w:iCs/>
          <w:szCs w:val="24"/>
        </w:rPr>
        <w:t xml:space="preserve">for </w:t>
      </w:r>
      <w:r w:rsidR="002D69FA" w:rsidRPr="00D078F7">
        <w:rPr>
          <w:rFonts w:ascii="Times New Roman" w:hAnsi="Times New Roman"/>
          <w:iCs/>
          <w:szCs w:val="24"/>
        </w:rPr>
        <w:t>actin</w:t>
      </w:r>
      <w:r w:rsidR="007262CA">
        <w:rPr>
          <w:rFonts w:ascii="Times New Roman" w:hAnsi="Times New Roman"/>
          <w:iCs/>
          <w:szCs w:val="24"/>
        </w:rPr>
        <w:t>g</w:t>
      </w:r>
      <w:r w:rsidR="002D69FA" w:rsidRPr="00D078F7">
        <w:rPr>
          <w:rFonts w:ascii="Times New Roman" w:hAnsi="Times New Roman"/>
          <w:iCs/>
          <w:szCs w:val="24"/>
        </w:rPr>
        <w:t xml:space="preserve"> or not</w:t>
      </w:r>
      <w:r w:rsidRPr="00D078F7">
        <w:rPr>
          <w:rFonts w:ascii="Times New Roman" w:hAnsi="Times New Roman"/>
          <w:iCs/>
          <w:szCs w:val="24"/>
        </w:rPr>
        <w:t xml:space="preserve">. The Commission also </w:t>
      </w:r>
      <w:r w:rsidR="00B36513" w:rsidRPr="00D078F7">
        <w:rPr>
          <w:rFonts w:ascii="Times New Roman" w:hAnsi="Times New Roman"/>
          <w:iCs/>
          <w:szCs w:val="24"/>
        </w:rPr>
        <w:t>considers</w:t>
      </w:r>
      <w:r w:rsidRPr="00D078F7">
        <w:rPr>
          <w:rFonts w:ascii="Times New Roman" w:hAnsi="Times New Roman"/>
          <w:iCs/>
          <w:szCs w:val="24"/>
        </w:rPr>
        <w:t xml:space="preserve"> any position </w:t>
      </w:r>
      <w:r w:rsidR="002D69FA" w:rsidRPr="00D078F7">
        <w:rPr>
          <w:rFonts w:ascii="Times New Roman" w:hAnsi="Times New Roman"/>
          <w:iCs/>
          <w:szCs w:val="24"/>
        </w:rPr>
        <w:t>expressed</w:t>
      </w:r>
      <w:r w:rsidRPr="00D078F7">
        <w:rPr>
          <w:rFonts w:ascii="Times New Roman" w:hAnsi="Times New Roman"/>
          <w:iCs/>
          <w:szCs w:val="24"/>
        </w:rPr>
        <w:t xml:space="preserve"> by the European Parliament.</w:t>
      </w:r>
    </w:p>
    <w:p w14:paraId="0FD7167C" w14:textId="6D3D32FC" w:rsidR="00435DCB" w:rsidRPr="00435DCB" w:rsidRDefault="00435DCB" w:rsidP="0021639E">
      <w:pPr>
        <w:spacing w:after="120"/>
        <w:rPr>
          <w:rFonts w:ascii="Times New Roman" w:hAnsi="Times New Roman"/>
          <w:iCs/>
          <w:szCs w:val="24"/>
        </w:rPr>
      </w:pPr>
      <w:r w:rsidRPr="00D078F7">
        <w:rPr>
          <w:rFonts w:ascii="Times New Roman" w:hAnsi="Times New Roman"/>
          <w:iCs/>
          <w:szCs w:val="24"/>
        </w:rPr>
        <w:t>In its reply, the Commission also takes into consideration the principles of subsidiarity and proportionality, as well as any measures already taken, for example since the launch of the ECI concerned. The most appropriate follow-up may therefore vary and include non-legislative actions. Moreover, the success of the instrument should not only be measured by whether legislative follow-up is proposed. The added value of the ECI instrument resides also in the opportunities that it creates for EU citizens to initiate debate on different policies within the EU institutions.</w:t>
      </w:r>
    </w:p>
    <w:sectPr w:rsidR="00435DCB" w:rsidRPr="00435DCB" w:rsidSect="000C26BB">
      <w:headerReference w:type="default" r:id="rId27"/>
      <w:footerReference w:type="even" r:id="rId28"/>
      <w:footerReference w:type="default" r:id="rId29"/>
      <w:footerReference w:type="first" r:id="rId30"/>
      <w:footnotePr>
        <w:pos w:val="beneathText"/>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2183" w14:textId="77777777" w:rsidR="009A217C" w:rsidRDefault="009A217C" w:rsidP="00A22E42">
      <w:pPr>
        <w:spacing w:after="0"/>
      </w:pPr>
      <w:r>
        <w:separator/>
      </w:r>
    </w:p>
  </w:endnote>
  <w:endnote w:type="continuationSeparator" w:id="0">
    <w:p w14:paraId="389006BE" w14:textId="77777777" w:rsidR="009A217C" w:rsidRDefault="009A217C" w:rsidP="00A22E42">
      <w:pPr>
        <w:spacing w:after="0"/>
      </w:pPr>
      <w:r>
        <w:continuationSeparator/>
      </w:r>
    </w:p>
  </w:endnote>
  <w:endnote w:type="continuationNotice" w:id="1">
    <w:p w14:paraId="4FEE51D7" w14:textId="77777777" w:rsidR="009A217C" w:rsidRDefault="009A21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8EFE" w14:textId="77777777"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71B1A14E" w14:textId="77777777" w:rsidR="003D02C2" w:rsidRDefault="003D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CA49" w14:textId="2675F154"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6EC">
      <w:rPr>
        <w:rStyle w:val="PageNumber"/>
        <w:noProof/>
      </w:rPr>
      <w:t>3</w:t>
    </w:r>
    <w:r>
      <w:rPr>
        <w:rStyle w:val="PageNumber"/>
      </w:rPr>
      <w:fldChar w:fldCharType="end"/>
    </w:r>
  </w:p>
  <w:p w14:paraId="63B40DDC" w14:textId="77777777" w:rsidR="003D02C2" w:rsidRPr="008A6623" w:rsidRDefault="003D02C2">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F39C" w14:textId="1BCFFE4F"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6EC">
      <w:rPr>
        <w:rStyle w:val="PageNumber"/>
        <w:noProof/>
      </w:rPr>
      <w:t>1</w:t>
    </w:r>
    <w:r>
      <w:rPr>
        <w:rStyle w:val="PageNumber"/>
      </w:rPr>
      <w:fldChar w:fldCharType="end"/>
    </w:r>
  </w:p>
  <w:p w14:paraId="2CDA76DF" w14:textId="77777777" w:rsidR="003D02C2" w:rsidRDefault="003D02C2">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673F" w14:textId="77777777" w:rsidR="009A217C" w:rsidRDefault="009A217C" w:rsidP="00A22E42">
      <w:pPr>
        <w:spacing w:after="0"/>
      </w:pPr>
      <w:r>
        <w:separator/>
      </w:r>
    </w:p>
  </w:footnote>
  <w:footnote w:type="continuationSeparator" w:id="0">
    <w:p w14:paraId="0E38340E" w14:textId="77777777" w:rsidR="009A217C" w:rsidRDefault="009A217C" w:rsidP="00A22E42">
      <w:pPr>
        <w:spacing w:after="0"/>
      </w:pPr>
      <w:r>
        <w:continuationSeparator/>
      </w:r>
    </w:p>
  </w:footnote>
  <w:footnote w:type="continuationNotice" w:id="1">
    <w:p w14:paraId="1923B566" w14:textId="77777777" w:rsidR="009A217C" w:rsidRDefault="009A217C">
      <w:pPr>
        <w:spacing w:after="0"/>
      </w:pPr>
    </w:p>
  </w:footnote>
  <w:footnote w:id="2">
    <w:p w14:paraId="68A45186" w14:textId="0284BA3D" w:rsidR="00E304D8" w:rsidRPr="008F5059" w:rsidRDefault="00E304D8" w:rsidP="008F5059">
      <w:pPr>
        <w:pStyle w:val="FootnoteText"/>
        <w:spacing w:after="0"/>
        <w:rPr>
          <w:rFonts w:ascii="Times New Roman" w:hAnsi="Times New Roman"/>
          <w:lang w:val="fr-BE"/>
        </w:rPr>
      </w:pPr>
      <w:r w:rsidRPr="00665997">
        <w:rPr>
          <w:rStyle w:val="FootnoteReference"/>
          <w:rFonts w:ascii="Times New Roman" w:hAnsi="Times New Roman"/>
        </w:rPr>
        <w:footnoteRef/>
      </w:r>
      <w:r w:rsidRPr="00E8785B">
        <w:rPr>
          <w:rFonts w:ascii="Times New Roman" w:hAnsi="Times New Roman"/>
          <w:lang w:val="fr-BE"/>
        </w:rPr>
        <w:t xml:space="preserve"> </w:t>
      </w:r>
      <w:r w:rsidR="008F5059">
        <w:rPr>
          <w:rFonts w:ascii="Times New Roman" w:hAnsi="Times New Roman"/>
          <w:lang w:val="fr-BE"/>
        </w:rPr>
        <w:tab/>
      </w:r>
      <w:r w:rsidRPr="008F5059">
        <w:rPr>
          <w:rFonts w:ascii="Times New Roman" w:hAnsi="Times New Roman"/>
          <w:lang w:val="fr-BE"/>
        </w:rPr>
        <w:t>T-448/21</w:t>
      </w:r>
      <w:r w:rsidR="00665997" w:rsidRPr="008F5059">
        <w:rPr>
          <w:rFonts w:ascii="Times New Roman" w:hAnsi="Times New Roman"/>
          <w:lang w:val="fr-BE"/>
        </w:rPr>
        <w:t>,</w:t>
      </w:r>
      <w:r w:rsidR="008F5059" w:rsidRPr="008F5059">
        <w:rPr>
          <w:rFonts w:ascii="Times New Roman" w:hAnsi="Times New Roman"/>
          <w:lang w:val="fr-BE"/>
        </w:rPr>
        <w:t xml:space="preserve"> </w:t>
      </w:r>
      <w:r w:rsidR="00665997" w:rsidRPr="008F5059">
        <w:rPr>
          <w:rFonts w:ascii="Times New Roman" w:hAnsi="Times New Roman"/>
          <w:lang w:val="fr-BE"/>
        </w:rPr>
        <w:t>T-506/21</w:t>
      </w:r>
      <w:r w:rsidR="008F5059" w:rsidRPr="008F5059">
        <w:rPr>
          <w:rFonts w:ascii="Times New Roman" w:hAnsi="Times New Roman"/>
          <w:lang w:val="fr-BE"/>
        </w:rPr>
        <w:t>,</w:t>
      </w:r>
      <w:r w:rsidR="00665997" w:rsidRPr="008F5059">
        <w:rPr>
          <w:rFonts w:ascii="Times New Roman" w:hAnsi="Times New Roman"/>
          <w:lang w:val="fr-BE"/>
        </w:rPr>
        <w:t xml:space="preserve"> T-651/21</w:t>
      </w:r>
    </w:p>
  </w:footnote>
  <w:footnote w:id="3">
    <w:p w14:paraId="49BC2A7E" w14:textId="32C8CA67" w:rsidR="00665997" w:rsidRPr="008F5059" w:rsidRDefault="00665997" w:rsidP="008F5059">
      <w:pPr>
        <w:pStyle w:val="FootnoteText"/>
        <w:spacing w:after="0"/>
        <w:rPr>
          <w:rFonts w:ascii="Times New Roman" w:hAnsi="Times New Roman"/>
          <w:lang w:val="fr-FR"/>
        </w:rPr>
      </w:pPr>
      <w:r w:rsidRPr="008F5059">
        <w:rPr>
          <w:rStyle w:val="FootnoteReference"/>
          <w:rFonts w:ascii="Times New Roman" w:hAnsi="Times New Roman"/>
        </w:rPr>
        <w:footnoteRef/>
      </w:r>
      <w:r w:rsidRPr="008F5059">
        <w:rPr>
          <w:rFonts w:ascii="Times New Roman" w:hAnsi="Times New Roman"/>
          <w:lang w:val="fr-FR"/>
        </w:rPr>
        <w:t xml:space="preserve"> </w:t>
      </w:r>
      <w:r w:rsidR="008F5059" w:rsidRPr="008F5059">
        <w:rPr>
          <w:rFonts w:ascii="Times New Roman" w:hAnsi="Times New Roman"/>
          <w:lang w:val="fr-FR"/>
        </w:rPr>
        <w:tab/>
      </w:r>
      <w:r w:rsidRPr="008F5059">
        <w:rPr>
          <w:rFonts w:ascii="Times New Roman" w:hAnsi="Times New Roman"/>
          <w:iCs/>
          <w:lang w:val="fr-BE"/>
        </w:rPr>
        <w:t>T-689/21 Auken et al. v COM; T-761/21 Courtois et al</w:t>
      </w:r>
    </w:p>
  </w:footnote>
  <w:footnote w:id="4">
    <w:p w14:paraId="164F1A27" w14:textId="4A46BC24" w:rsidR="00F808FD" w:rsidRPr="00CA3A63" w:rsidRDefault="00F808FD" w:rsidP="00CA3A63">
      <w:pPr>
        <w:pStyle w:val="FootnoteText"/>
        <w:spacing w:after="0"/>
        <w:rPr>
          <w:rFonts w:ascii="Times New Roman" w:hAnsi="Times New Roman"/>
        </w:rPr>
      </w:pPr>
      <w:r w:rsidRPr="004D54D1">
        <w:rPr>
          <w:rStyle w:val="FootnoteReference"/>
          <w:rFonts w:ascii="Times New Roman" w:hAnsi="Times New Roman"/>
          <w:sz w:val="24"/>
        </w:rPr>
        <w:footnoteRef/>
      </w:r>
      <w:r w:rsidRPr="004D54D1">
        <w:rPr>
          <w:rFonts w:ascii="Times New Roman" w:hAnsi="Times New Roman"/>
          <w:sz w:val="24"/>
        </w:rPr>
        <w:t xml:space="preserve"> </w:t>
      </w:r>
      <w:r>
        <w:rPr>
          <w:rFonts w:ascii="Times New Roman" w:hAnsi="Times New Roman"/>
          <w:sz w:val="24"/>
        </w:rPr>
        <w:tab/>
      </w:r>
      <w:r w:rsidRPr="00CA3A63">
        <w:rPr>
          <w:rFonts w:ascii="Times New Roman" w:hAnsi="Times New Roman"/>
        </w:rPr>
        <w:t>Communication from the Commission — EU law: Better results through better application, C/2016/8600, OJ C 18, 19.1.2017, p. 10</w:t>
      </w:r>
    </w:p>
  </w:footnote>
  <w:footnote w:id="5">
    <w:p w14:paraId="73AAFBC5" w14:textId="16AC841A" w:rsidR="00F808FD" w:rsidRPr="00CA3A63" w:rsidRDefault="00F808FD" w:rsidP="00CA3A63">
      <w:pPr>
        <w:pStyle w:val="FootnoteText"/>
        <w:spacing w:after="0"/>
        <w:rPr>
          <w:rFonts w:ascii="Times New Roman" w:hAnsi="Times New Roman"/>
        </w:rPr>
      </w:pPr>
      <w:r w:rsidRPr="00CA3A63">
        <w:rPr>
          <w:rStyle w:val="FootnoteReference"/>
          <w:rFonts w:ascii="Times New Roman" w:hAnsi="Times New Roman"/>
        </w:rPr>
        <w:footnoteRef/>
      </w:r>
      <w:r w:rsidRPr="00CA3A63">
        <w:rPr>
          <w:rFonts w:ascii="Times New Roman" w:hAnsi="Times New Roman"/>
        </w:rPr>
        <w:t xml:space="preserve"> </w:t>
      </w:r>
      <w:r w:rsidRPr="00CA3A63">
        <w:rPr>
          <w:rFonts w:ascii="Times New Roman" w:hAnsi="Times New Roman"/>
        </w:rPr>
        <w:tab/>
        <w:t>Communication from the Commission — Enforcing EU law for a Europe that delivers, COM(2022)518, 13.10.2022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F686" w14:textId="77777777" w:rsidR="00FE772B" w:rsidRDefault="00FE7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6D40"/>
    <w:multiLevelType w:val="hybridMultilevel"/>
    <w:tmpl w:val="1F4AB392"/>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EE2C36"/>
    <w:multiLevelType w:val="hybridMultilevel"/>
    <w:tmpl w:val="13F03580"/>
    <w:lvl w:ilvl="0" w:tplc="6ECAD506">
      <w:numFmt w:val="bullet"/>
      <w:lvlText w:val="•"/>
      <w:lvlJc w:val="left"/>
      <w:pPr>
        <w:ind w:left="720" w:hanging="720"/>
      </w:pPr>
      <w:rPr>
        <w:rFonts w:ascii="Times New Roman" w:eastAsia="Times New Roman" w:hAnsi="Times New Roman" w:cs="Times New Roman" w:hint="default"/>
        <w:i/>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1E95926"/>
    <w:multiLevelType w:val="hybridMultilevel"/>
    <w:tmpl w:val="39BEA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3D179D"/>
    <w:multiLevelType w:val="hybridMultilevel"/>
    <w:tmpl w:val="2FBA6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F1067F"/>
    <w:multiLevelType w:val="hybridMultilevel"/>
    <w:tmpl w:val="EA02DD9E"/>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0572F8"/>
    <w:multiLevelType w:val="hybridMultilevel"/>
    <w:tmpl w:val="51A4915A"/>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2E06F37"/>
    <w:multiLevelType w:val="hybridMultilevel"/>
    <w:tmpl w:val="F3ACD52E"/>
    <w:lvl w:ilvl="0" w:tplc="6CE06B26">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1016B3"/>
    <w:multiLevelType w:val="hybridMultilevel"/>
    <w:tmpl w:val="5420DA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5A926DC"/>
    <w:multiLevelType w:val="hybridMultilevel"/>
    <w:tmpl w:val="34F874DC"/>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0" w15:restartNumberingAfterBreak="0">
    <w:nsid w:val="55CF3363"/>
    <w:multiLevelType w:val="hybridMultilevel"/>
    <w:tmpl w:val="2348C572"/>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D0413FF"/>
    <w:multiLevelType w:val="hybridMultilevel"/>
    <w:tmpl w:val="2BD295E0"/>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D9E121C"/>
    <w:multiLevelType w:val="hybridMultilevel"/>
    <w:tmpl w:val="EFB81294"/>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1D67876"/>
    <w:multiLevelType w:val="hybridMultilevel"/>
    <w:tmpl w:val="3B047B1A"/>
    <w:lvl w:ilvl="0" w:tplc="6CE06B26">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4623498"/>
    <w:multiLevelType w:val="hybridMultilevel"/>
    <w:tmpl w:val="D8306896"/>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B4B2C75"/>
    <w:multiLevelType w:val="hybridMultilevel"/>
    <w:tmpl w:val="62B06CF4"/>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F10622A"/>
    <w:multiLevelType w:val="hybridMultilevel"/>
    <w:tmpl w:val="3F82C802"/>
    <w:lvl w:ilvl="0" w:tplc="6CE06B26">
      <w:numFmt w:val="bullet"/>
      <w:lvlText w:val="•"/>
      <w:lvlJc w:val="left"/>
      <w:pPr>
        <w:ind w:left="1440" w:hanging="72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7F1B04BD"/>
    <w:multiLevelType w:val="hybridMultilevel"/>
    <w:tmpl w:val="F4004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30575767">
    <w:abstractNumId w:val="9"/>
  </w:num>
  <w:num w:numId="2" w16cid:durableId="538975838">
    <w:abstractNumId w:val="7"/>
  </w:num>
  <w:num w:numId="3" w16cid:durableId="240333378">
    <w:abstractNumId w:val="2"/>
  </w:num>
  <w:num w:numId="4" w16cid:durableId="1407873254">
    <w:abstractNumId w:val="17"/>
  </w:num>
  <w:num w:numId="5" w16cid:durableId="1755083089">
    <w:abstractNumId w:val="6"/>
  </w:num>
  <w:num w:numId="6" w16cid:durableId="42143733">
    <w:abstractNumId w:val="16"/>
  </w:num>
  <w:num w:numId="7" w16cid:durableId="1711298847">
    <w:abstractNumId w:val="13"/>
  </w:num>
  <w:num w:numId="8" w16cid:durableId="2045984743">
    <w:abstractNumId w:val="14"/>
  </w:num>
  <w:num w:numId="9" w16cid:durableId="420686473">
    <w:abstractNumId w:val="12"/>
  </w:num>
  <w:num w:numId="10" w16cid:durableId="923760412">
    <w:abstractNumId w:val="1"/>
  </w:num>
  <w:num w:numId="11" w16cid:durableId="2047215293">
    <w:abstractNumId w:val="4"/>
  </w:num>
  <w:num w:numId="12" w16cid:durableId="1368069949">
    <w:abstractNumId w:val="11"/>
  </w:num>
  <w:num w:numId="13" w16cid:durableId="1523669454">
    <w:abstractNumId w:val="0"/>
  </w:num>
  <w:num w:numId="14" w16cid:durableId="555319140">
    <w:abstractNumId w:val="8"/>
  </w:num>
  <w:num w:numId="15" w16cid:durableId="1949004684">
    <w:abstractNumId w:val="10"/>
  </w:num>
  <w:num w:numId="16" w16cid:durableId="82652385">
    <w:abstractNumId w:val="15"/>
  </w:num>
  <w:num w:numId="17" w16cid:durableId="1746225272">
    <w:abstractNumId w:val="5"/>
  </w:num>
  <w:num w:numId="18" w16cid:durableId="103974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0C26BB"/>
    <w:rsid w:val="00004889"/>
    <w:rsid w:val="00011699"/>
    <w:rsid w:val="00015B9A"/>
    <w:rsid w:val="0004163E"/>
    <w:rsid w:val="00050C7E"/>
    <w:rsid w:val="000723F7"/>
    <w:rsid w:val="00074771"/>
    <w:rsid w:val="0007679E"/>
    <w:rsid w:val="000840F1"/>
    <w:rsid w:val="000B0106"/>
    <w:rsid w:val="000C26BB"/>
    <w:rsid w:val="000C2790"/>
    <w:rsid w:val="000C2C2B"/>
    <w:rsid w:val="000E1211"/>
    <w:rsid w:val="000E6D78"/>
    <w:rsid w:val="000F1BE5"/>
    <w:rsid w:val="001052F4"/>
    <w:rsid w:val="00107C25"/>
    <w:rsid w:val="00117811"/>
    <w:rsid w:val="00122E53"/>
    <w:rsid w:val="00161670"/>
    <w:rsid w:val="001722E2"/>
    <w:rsid w:val="00185674"/>
    <w:rsid w:val="001B1AB8"/>
    <w:rsid w:val="001D70E3"/>
    <w:rsid w:val="001F228A"/>
    <w:rsid w:val="001F4C07"/>
    <w:rsid w:val="00200F57"/>
    <w:rsid w:val="0021639E"/>
    <w:rsid w:val="00231264"/>
    <w:rsid w:val="00243D65"/>
    <w:rsid w:val="002755B2"/>
    <w:rsid w:val="00284161"/>
    <w:rsid w:val="002B6ED6"/>
    <w:rsid w:val="002B7A32"/>
    <w:rsid w:val="002C6830"/>
    <w:rsid w:val="002D69FA"/>
    <w:rsid w:val="002F0A81"/>
    <w:rsid w:val="00331A20"/>
    <w:rsid w:val="00332944"/>
    <w:rsid w:val="00352C07"/>
    <w:rsid w:val="0036470D"/>
    <w:rsid w:val="003739DF"/>
    <w:rsid w:val="00376E09"/>
    <w:rsid w:val="00377865"/>
    <w:rsid w:val="00394C92"/>
    <w:rsid w:val="003D02C2"/>
    <w:rsid w:val="004004EF"/>
    <w:rsid w:val="004012BF"/>
    <w:rsid w:val="00405AED"/>
    <w:rsid w:val="00412887"/>
    <w:rsid w:val="00430A3D"/>
    <w:rsid w:val="00435DCB"/>
    <w:rsid w:val="00437F1B"/>
    <w:rsid w:val="00471997"/>
    <w:rsid w:val="00472F4C"/>
    <w:rsid w:val="00486510"/>
    <w:rsid w:val="0048768B"/>
    <w:rsid w:val="00494DCD"/>
    <w:rsid w:val="004A3E21"/>
    <w:rsid w:val="004A4D83"/>
    <w:rsid w:val="004B0803"/>
    <w:rsid w:val="004B5F8C"/>
    <w:rsid w:val="004B7DB5"/>
    <w:rsid w:val="004C085A"/>
    <w:rsid w:val="004D54D1"/>
    <w:rsid w:val="00510F29"/>
    <w:rsid w:val="005722FE"/>
    <w:rsid w:val="0059437F"/>
    <w:rsid w:val="005973F7"/>
    <w:rsid w:val="005A5F7B"/>
    <w:rsid w:val="005B30FB"/>
    <w:rsid w:val="005D762B"/>
    <w:rsid w:val="005E4AC7"/>
    <w:rsid w:val="00613DB0"/>
    <w:rsid w:val="00627701"/>
    <w:rsid w:val="00633325"/>
    <w:rsid w:val="006653D6"/>
    <w:rsid w:val="00665997"/>
    <w:rsid w:val="006760BE"/>
    <w:rsid w:val="006831DB"/>
    <w:rsid w:val="006A3A97"/>
    <w:rsid w:val="006B028B"/>
    <w:rsid w:val="006B64EB"/>
    <w:rsid w:val="006C24E4"/>
    <w:rsid w:val="006D5CAB"/>
    <w:rsid w:val="006F40AD"/>
    <w:rsid w:val="006F7C21"/>
    <w:rsid w:val="0071101F"/>
    <w:rsid w:val="00716ECC"/>
    <w:rsid w:val="007262CA"/>
    <w:rsid w:val="007526DA"/>
    <w:rsid w:val="007601C1"/>
    <w:rsid w:val="00760B47"/>
    <w:rsid w:val="007663DD"/>
    <w:rsid w:val="0079339B"/>
    <w:rsid w:val="00793DBD"/>
    <w:rsid w:val="007C0617"/>
    <w:rsid w:val="007C35AB"/>
    <w:rsid w:val="007D7A7E"/>
    <w:rsid w:val="0080036D"/>
    <w:rsid w:val="00801617"/>
    <w:rsid w:val="008323AF"/>
    <w:rsid w:val="00842EFF"/>
    <w:rsid w:val="00852D2D"/>
    <w:rsid w:val="00854B40"/>
    <w:rsid w:val="00855F9E"/>
    <w:rsid w:val="00861296"/>
    <w:rsid w:val="0088288B"/>
    <w:rsid w:val="008A43B2"/>
    <w:rsid w:val="008B5802"/>
    <w:rsid w:val="008C0802"/>
    <w:rsid w:val="008C112F"/>
    <w:rsid w:val="008C3978"/>
    <w:rsid w:val="008C634F"/>
    <w:rsid w:val="008D08CF"/>
    <w:rsid w:val="008D38BF"/>
    <w:rsid w:val="008F475D"/>
    <w:rsid w:val="008F5059"/>
    <w:rsid w:val="008F7B58"/>
    <w:rsid w:val="00906E4E"/>
    <w:rsid w:val="00911CAE"/>
    <w:rsid w:val="00953E1F"/>
    <w:rsid w:val="009616EC"/>
    <w:rsid w:val="00966191"/>
    <w:rsid w:val="00973494"/>
    <w:rsid w:val="00984C88"/>
    <w:rsid w:val="00990098"/>
    <w:rsid w:val="0099034E"/>
    <w:rsid w:val="009A06F8"/>
    <w:rsid w:val="009A217C"/>
    <w:rsid w:val="009A3939"/>
    <w:rsid w:val="009B4EF7"/>
    <w:rsid w:val="009F0349"/>
    <w:rsid w:val="009F1937"/>
    <w:rsid w:val="00A02EA3"/>
    <w:rsid w:val="00A050E7"/>
    <w:rsid w:val="00A0772A"/>
    <w:rsid w:val="00A14A5F"/>
    <w:rsid w:val="00A22E42"/>
    <w:rsid w:val="00A2565D"/>
    <w:rsid w:val="00A664BC"/>
    <w:rsid w:val="00A86E4F"/>
    <w:rsid w:val="00A928B5"/>
    <w:rsid w:val="00A9799A"/>
    <w:rsid w:val="00AA3955"/>
    <w:rsid w:val="00AB6F58"/>
    <w:rsid w:val="00AC54BC"/>
    <w:rsid w:val="00AC7BB7"/>
    <w:rsid w:val="00AE258A"/>
    <w:rsid w:val="00AE50CD"/>
    <w:rsid w:val="00AF41DE"/>
    <w:rsid w:val="00B17896"/>
    <w:rsid w:val="00B304C8"/>
    <w:rsid w:val="00B36513"/>
    <w:rsid w:val="00B43B58"/>
    <w:rsid w:val="00B5752D"/>
    <w:rsid w:val="00B60E6C"/>
    <w:rsid w:val="00B61661"/>
    <w:rsid w:val="00B7294E"/>
    <w:rsid w:val="00B82B17"/>
    <w:rsid w:val="00B85EA6"/>
    <w:rsid w:val="00B930C6"/>
    <w:rsid w:val="00BB4964"/>
    <w:rsid w:val="00BE5217"/>
    <w:rsid w:val="00BE7A12"/>
    <w:rsid w:val="00BE7E6C"/>
    <w:rsid w:val="00C174C6"/>
    <w:rsid w:val="00C26E52"/>
    <w:rsid w:val="00C34BEE"/>
    <w:rsid w:val="00C93B9C"/>
    <w:rsid w:val="00CA1E8F"/>
    <w:rsid w:val="00CA3A63"/>
    <w:rsid w:val="00CC135C"/>
    <w:rsid w:val="00CD7AA3"/>
    <w:rsid w:val="00CE5C96"/>
    <w:rsid w:val="00CF13BE"/>
    <w:rsid w:val="00D078F7"/>
    <w:rsid w:val="00D25ED1"/>
    <w:rsid w:val="00D52AFE"/>
    <w:rsid w:val="00D80372"/>
    <w:rsid w:val="00D90ACB"/>
    <w:rsid w:val="00DA390C"/>
    <w:rsid w:val="00DA712F"/>
    <w:rsid w:val="00DC1BFC"/>
    <w:rsid w:val="00DC2D22"/>
    <w:rsid w:val="00E03E03"/>
    <w:rsid w:val="00E304D8"/>
    <w:rsid w:val="00E4312F"/>
    <w:rsid w:val="00E473F9"/>
    <w:rsid w:val="00E73631"/>
    <w:rsid w:val="00E8785B"/>
    <w:rsid w:val="00E9031B"/>
    <w:rsid w:val="00EB1836"/>
    <w:rsid w:val="00EB2DD6"/>
    <w:rsid w:val="00EE5897"/>
    <w:rsid w:val="00F013E5"/>
    <w:rsid w:val="00F1240F"/>
    <w:rsid w:val="00F12BB3"/>
    <w:rsid w:val="00F1666A"/>
    <w:rsid w:val="00F174D4"/>
    <w:rsid w:val="00F279BB"/>
    <w:rsid w:val="00F56DC0"/>
    <w:rsid w:val="00F64C6D"/>
    <w:rsid w:val="00F77218"/>
    <w:rsid w:val="00F808FD"/>
    <w:rsid w:val="00F84954"/>
    <w:rsid w:val="00F873EE"/>
    <w:rsid w:val="00F91A47"/>
    <w:rsid w:val="00F9204D"/>
    <w:rsid w:val="00F963E4"/>
    <w:rsid w:val="00F966B1"/>
    <w:rsid w:val="00FC36D0"/>
    <w:rsid w:val="00FC445F"/>
    <w:rsid w:val="00FD4EB6"/>
    <w:rsid w:val="00FE4551"/>
    <w:rsid w:val="00FE772B"/>
    <w:rsid w:val="00FF111A"/>
    <w:rsid w:val="00FF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1FCE"/>
  <w15:docId w15:val="{471EA209-B637-442B-9A29-10CAD016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BB"/>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26BB"/>
    <w:pPr>
      <w:spacing w:after="0"/>
      <w:ind w:right="-567"/>
      <w:jc w:val="left"/>
    </w:pPr>
    <w:rPr>
      <w:rFonts w:ascii="Arial" w:hAnsi="Arial"/>
      <w:sz w:val="16"/>
    </w:rPr>
  </w:style>
  <w:style w:type="character" w:customStyle="1" w:styleId="FooterChar">
    <w:name w:val="Footer Char"/>
    <w:basedOn w:val="DefaultParagraphFont"/>
    <w:link w:val="Footer"/>
    <w:rsid w:val="000C26BB"/>
    <w:rPr>
      <w:rFonts w:ascii="Arial" w:eastAsia="Times New Roman" w:hAnsi="Arial" w:cs="Times New Roman"/>
      <w:sz w:val="16"/>
      <w:szCs w:val="20"/>
      <w:lang w:eastAsia="en-GB"/>
    </w:rPr>
  </w:style>
  <w:style w:type="character" w:styleId="PageNumber">
    <w:name w:val="page number"/>
    <w:basedOn w:val="DefaultParagraphFont"/>
    <w:rsid w:val="000C26BB"/>
  </w:style>
  <w:style w:type="paragraph" w:customStyle="1" w:styleId="Default">
    <w:name w:val="Default"/>
    <w:rsid w:val="000C26BB"/>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ZnakZnak">
    <w:name w:val="Znak Znak"/>
    <w:basedOn w:val="Normal"/>
    <w:rsid w:val="000C26BB"/>
    <w:pPr>
      <w:spacing w:after="0" w:line="360" w:lineRule="auto"/>
    </w:pPr>
    <w:rPr>
      <w:rFonts w:ascii="Verdana" w:hAnsi="Verdana"/>
      <w:sz w:val="20"/>
      <w:lang w:val="pl-PL" w:eastAsia="pl-PL"/>
    </w:rPr>
  </w:style>
  <w:style w:type="character" w:styleId="Hyperlink">
    <w:name w:val="Hyperlink"/>
    <w:basedOn w:val="DefaultParagraphFont"/>
    <w:uiPriority w:val="99"/>
    <w:unhideWhenUsed/>
    <w:rsid w:val="000C26BB"/>
    <w:rPr>
      <w:color w:val="0000FF" w:themeColor="hyperlink"/>
      <w:u w:val="single"/>
    </w:rPr>
  </w:style>
  <w:style w:type="paragraph" w:customStyle="1" w:styleId="Text1">
    <w:name w:val="Text 1"/>
    <w:basedOn w:val="Normal"/>
    <w:link w:val="Text1Char"/>
    <w:rsid w:val="00074771"/>
    <w:pPr>
      <w:ind w:left="482"/>
    </w:p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074771"/>
    <w:pPr>
      <w:ind w:left="357" w:hanging="357"/>
    </w:pPr>
    <w:rPr>
      <w:sz w:val="20"/>
    </w:rPr>
  </w:style>
  <w:style w:type="character" w:customStyle="1" w:styleId="FootnoteTextChar">
    <w:name w:val="Footnote Text Char"/>
    <w:aliases w:val="o Char"/>
    <w:basedOn w:val="DefaultParagraphFont"/>
    <w:uiPriority w:val="99"/>
    <w:rsid w:val="00074771"/>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074771"/>
    <w:rPr>
      <w:vertAlign w:val="superscript"/>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074771"/>
    <w:rPr>
      <w:rFonts w:ascii="Courier New" w:eastAsia="Times New Roman" w:hAnsi="Courier New" w:cs="Times New Roman"/>
      <w:sz w:val="20"/>
      <w:szCs w:val="20"/>
      <w:lang w:eastAsia="en-GB"/>
    </w:rPr>
  </w:style>
  <w:style w:type="character" w:customStyle="1" w:styleId="Text1Char">
    <w:name w:val="Text 1 Char"/>
    <w:link w:val="Text1"/>
    <w:rsid w:val="00074771"/>
    <w:rPr>
      <w:rFonts w:ascii="Courier New" w:eastAsia="Times New Roman" w:hAnsi="Courier New" w:cs="Times New Roman"/>
      <w:sz w:val="24"/>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74771"/>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CommentReference">
    <w:name w:val="annotation reference"/>
    <w:basedOn w:val="DefaultParagraphFont"/>
    <w:uiPriority w:val="99"/>
    <w:semiHidden/>
    <w:unhideWhenUsed/>
    <w:rsid w:val="00973494"/>
    <w:rPr>
      <w:sz w:val="16"/>
      <w:szCs w:val="16"/>
    </w:rPr>
  </w:style>
  <w:style w:type="paragraph" w:styleId="CommentText">
    <w:name w:val="annotation text"/>
    <w:basedOn w:val="Normal"/>
    <w:link w:val="CommentTextChar"/>
    <w:uiPriority w:val="99"/>
    <w:semiHidden/>
    <w:unhideWhenUsed/>
    <w:rsid w:val="00973494"/>
    <w:rPr>
      <w:sz w:val="20"/>
    </w:rPr>
  </w:style>
  <w:style w:type="character" w:customStyle="1" w:styleId="CommentTextChar">
    <w:name w:val="Comment Text Char"/>
    <w:basedOn w:val="DefaultParagraphFont"/>
    <w:link w:val="CommentText"/>
    <w:uiPriority w:val="99"/>
    <w:semiHidden/>
    <w:rsid w:val="00973494"/>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9734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4"/>
    <w:rPr>
      <w:rFonts w:ascii="Segoe UI" w:eastAsia="Times New Roman" w:hAnsi="Segoe UI" w:cs="Segoe UI"/>
      <w:sz w:val="18"/>
      <w:szCs w:val="18"/>
      <w:lang w:eastAsia="en-GB"/>
    </w:rPr>
  </w:style>
  <w:style w:type="paragraph" w:styleId="NormalWeb">
    <w:name w:val="Normal (Web)"/>
    <w:basedOn w:val="Normal"/>
    <w:uiPriority w:val="99"/>
    <w:unhideWhenUsed/>
    <w:rsid w:val="00973494"/>
    <w:pPr>
      <w:spacing w:before="100" w:beforeAutospacing="1" w:after="100" w:afterAutospacing="1"/>
      <w:jc w:val="left"/>
    </w:pPr>
    <w:rPr>
      <w:rFonts w:ascii="Times New Roman" w:hAnsi="Times New Roman"/>
      <w:szCs w:val="24"/>
      <w:lang w:val="en-US" w:eastAsia="en-US"/>
    </w:rPr>
  </w:style>
  <w:style w:type="paragraph" w:styleId="Header">
    <w:name w:val="header"/>
    <w:basedOn w:val="Normal"/>
    <w:link w:val="HeaderChar"/>
    <w:uiPriority w:val="99"/>
    <w:unhideWhenUsed/>
    <w:rsid w:val="001F228A"/>
    <w:pPr>
      <w:tabs>
        <w:tab w:val="center" w:pos="4513"/>
        <w:tab w:val="right" w:pos="9026"/>
      </w:tabs>
      <w:spacing w:after="0"/>
    </w:pPr>
  </w:style>
  <w:style w:type="character" w:customStyle="1" w:styleId="HeaderChar">
    <w:name w:val="Header Char"/>
    <w:basedOn w:val="DefaultParagraphFont"/>
    <w:link w:val="Header"/>
    <w:uiPriority w:val="99"/>
    <w:rsid w:val="001F228A"/>
    <w:rPr>
      <w:rFonts w:ascii="Courier New" w:eastAsia="Times New Roman" w:hAnsi="Courier New"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AE50CD"/>
    <w:rPr>
      <w:b/>
      <w:bCs/>
    </w:rPr>
  </w:style>
  <w:style w:type="character" w:customStyle="1" w:styleId="CommentSubjectChar">
    <w:name w:val="Comment Subject Char"/>
    <w:basedOn w:val="CommentTextChar"/>
    <w:link w:val="CommentSubject"/>
    <w:uiPriority w:val="99"/>
    <w:semiHidden/>
    <w:rsid w:val="00AE50CD"/>
    <w:rPr>
      <w:rFonts w:ascii="Courier New" w:eastAsia="Times New Roman" w:hAnsi="Courier New" w:cs="Times New Roman"/>
      <w:b/>
      <w:bCs/>
      <w:sz w:val="20"/>
      <w:szCs w:val="20"/>
      <w:lang w:eastAsia="en-GB"/>
    </w:rPr>
  </w:style>
  <w:style w:type="character" w:customStyle="1" w:styleId="UnresolvedMention1">
    <w:name w:val="Unresolved Mention1"/>
    <w:basedOn w:val="DefaultParagraphFont"/>
    <w:uiPriority w:val="99"/>
    <w:semiHidden/>
    <w:unhideWhenUsed/>
    <w:rsid w:val="00185674"/>
    <w:rPr>
      <w:color w:val="605E5C"/>
      <w:shd w:val="clear" w:color="auto" w:fill="E1DFDD"/>
    </w:rPr>
  </w:style>
  <w:style w:type="paragraph" w:customStyle="1" w:styleId="NormalHanging12a">
    <w:name w:val="NormalHanging12a"/>
    <w:basedOn w:val="Normal"/>
    <w:link w:val="NormalHanging12aChar"/>
    <w:rsid w:val="009A3939"/>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
    <w:rsid w:val="009A3939"/>
    <w:rPr>
      <w:rFonts w:ascii="Times New Roman" w:eastAsia="Times New Roman" w:hAnsi="Times New Roman" w:cs="Times New Roman"/>
      <w:sz w:val="24"/>
      <w:szCs w:val="20"/>
      <w:lang w:eastAsia="en-GB"/>
    </w:rPr>
  </w:style>
  <w:style w:type="character" w:customStyle="1" w:styleId="epname">
    <w:name w:val="ep_name"/>
    <w:basedOn w:val="DefaultParagraphFont"/>
    <w:rsid w:val="00405AED"/>
  </w:style>
  <w:style w:type="character" w:customStyle="1" w:styleId="epicon">
    <w:name w:val="ep_icon"/>
    <w:basedOn w:val="DefaultParagraphFont"/>
    <w:rsid w:val="00405AED"/>
  </w:style>
  <w:style w:type="paragraph" w:styleId="ListParagraph">
    <w:name w:val="List Paragraph"/>
    <w:basedOn w:val="Normal"/>
    <w:uiPriority w:val="34"/>
    <w:qFormat/>
    <w:rsid w:val="00861296"/>
    <w:pPr>
      <w:ind w:left="720"/>
      <w:contextualSpacing/>
    </w:pPr>
  </w:style>
  <w:style w:type="character" w:styleId="FollowedHyperlink">
    <w:name w:val="FollowedHyperlink"/>
    <w:basedOn w:val="DefaultParagraphFont"/>
    <w:uiPriority w:val="99"/>
    <w:semiHidden/>
    <w:unhideWhenUsed/>
    <w:rsid w:val="00D078F7"/>
    <w:rPr>
      <w:color w:val="800080" w:themeColor="followedHyperlink"/>
      <w:u w:val="single"/>
    </w:rPr>
  </w:style>
  <w:style w:type="paragraph" w:styleId="Revision">
    <w:name w:val="Revision"/>
    <w:hidden/>
    <w:uiPriority w:val="99"/>
    <w:semiHidden/>
    <w:rsid w:val="00FE772B"/>
    <w:pPr>
      <w:spacing w:after="0" w:line="240" w:lineRule="auto"/>
    </w:pPr>
    <w:rPr>
      <w:rFonts w:ascii="Courier New" w:eastAsia="Times New Roman" w:hAnsi="Courier New"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6181">
      <w:bodyDiv w:val="1"/>
      <w:marLeft w:val="0"/>
      <w:marRight w:val="0"/>
      <w:marTop w:val="0"/>
      <w:marBottom w:val="0"/>
      <w:divBdr>
        <w:top w:val="none" w:sz="0" w:space="0" w:color="auto"/>
        <w:left w:val="none" w:sz="0" w:space="0" w:color="auto"/>
        <w:bottom w:val="none" w:sz="0" w:space="0" w:color="auto"/>
        <w:right w:val="none" w:sz="0" w:space="0" w:color="auto"/>
      </w:divBdr>
    </w:div>
    <w:div w:id="146089744">
      <w:bodyDiv w:val="1"/>
      <w:marLeft w:val="0"/>
      <w:marRight w:val="0"/>
      <w:marTop w:val="0"/>
      <w:marBottom w:val="0"/>
      <w:divBdr>
        <w:top w:val="none" w:sz="0" w:space="0" w:color="auto"/>
        <w:left w:val="none" w:sz="0" w:space="0" w:color="auto"/>
        <w:bottom w:val="none" w:sz="0" w:space="0" w:color="auto"/>
        <w:right w:val="none" w:sz="0" w:space="0" w:color="auto"/>
      </w:divBdr>
    </w:div>
    <w:div w:id="181864327">
      <w:bodyDiv w:val="1"/>
      <w:marLeft w:val="0"/>
      <w:marRight w:val="0"/>
      <w:marTop w:val="0"/>
      <w:marBottom w:val="0"/>
      <w:divBdr>
        <w:top w:val="none" w:sz="0" w:space="0" w:color="auto"/>
        <w:left w:val="none" w:sz="0" w:space="0" w:color="auto"/>
        <w:bottom w:val="none" w:sz="0" w:space="0" w:color="auto"/>
        <w:right w:val="none" w:sz="0" w:space="0" w:color="auto"/>
      </w:divBdr>
    </w:div>
    <w:div w:id="588391239">
      <w:bodyDiv w:val="1"/>
      <w:marLeft w:val="0"/>
      <w:marRight w:val="0"/>
      <w:marTop w:val="0"/>
      <w:marBottom w:val="0"/>
      <w:divBdr>
        <w:top w:val="none" w:sz="0" w:space="0" w:color="auto"/>
        <w:left w:val="none" w:sz="0" w:space="0" w:color="auto"/>
        <w:bottom w:val="none" w:sz="0" w:space="0" w:color="auto"/>
        <w:right w:val="none" w:sz="0" w:space="0" w:color="auto"/>
      </w:divBdr>
    </w:div>
    <w:div w:id="974749309">
      <w:bodyDiv w:val="1"/>
      <w:marLeft w:val="0"/>
      <w:marRight w:val="0"/>
      <w:marTop w:val="0"/>
      <w:marBottom w:val="0"/>
      <w:divBdr>
        <w:top w:val="none" w:sz="0" w:space="0" w:color="auto"/>
        <w:left w:val="none" w:sz="0" w:space="0" w:color="auto"/>
        <w:bottom w:val="none" w:sz="0" w:space="0" w:color="auto"/>
        <w:right w:val="none" w:sz="0" w:space="0" w:color="auto"/>
      </w:divBdr>
    </w:div>
    <w:div w:id="1181165141">
      <w:bodyDiv w:val="1"/>
      <w:marLeft w:val="0"/>
      <w:marRight w:val="0"/>
      <w:marTop w:val="0"/>
      <w:marBottom w:val="0"/>
      <w:divBdr>
        <w:top w:val="none" w:sz="0" w:space="0" w:color="auto"/>
        <w:left w:val="none" w:sz="0" w:space="0" w:color="auto"/>
        <w:bottom w:val="none" w:sz="0" w:space="0" w:color="auto"/>
        <w:right w:val="none" w:sz="0" w:space="0" w:color="auto"/>
      </w:divBdr>
    </w:div>
    <w:div w:id="1214387214">
      <w:bodyDiv w:val="1"/>
      <w:marLeft w:val="0"/>
      <w:marRight w:val="0"/>
      <w:marTop w:val="0"/>
      <w:marBottom w:val="0"/>
      <w:divBdr>
        <w:top w:val="none" w:sz="0" w:space="0" w:color="auto"/>
        <w:left w:val="none" w:sz="0" w:space="0" w:color="auto"/>
        <w:bottom w:val="none" w:sz="0" w:space="0" w:color="auto"/>
        <w:right w:val="none" w:sz="0" w:space="0" w:color="auto"/>
      </w:divBdr>
    </w:div>
    <w:div w:id="1333992038">
      <w:bodyDiv w:val="1"/>
      <w:marLeft w:val="0"/>
      <w:marRight w:val="0"/>
      <w:marTop w:val="0"/>
      <w:marBottom w:val="0"/>
      <w:divBdr>
        <w:top w:val="none" w:sz="0" w:space="0" w:color="auto"/>
        <w:left w:val="none" w:sz="0" w:space="0" w:color="auto"/>
        <w:bottom w:val="none" w:sz="0" w:space="0" w:color="auto"/>
        <w:right w:val="none" w:sz="0" w:space="0" w:color="auto"/>
      </w:divBdr>
    </w:div>
    <w:div w:id="1467819975">
      <w:bodyDiv w:val="1"/>
      <w:marLeft w:val="0"/>
      <w:marRight w:val="0"/>
      <w:marTop w:val="0"/>
      <w:marBottom w:val="0"/>
      <w:divBdr>
        <w:top w:val="none" w:sz="0" w:space="0" w:color="auto"/>
        <w:left w:val="none" w:sz="0" w:space="0" w:color="auto"/>
        <w:bottom w:val="none" w:sz="0" w:space="0" w:color="auto"/>
        <w:right w:val="none" w:sz="0" w:space="0" w:color="auto"/>
      </w:divBdr>
    </w:div>
    <w:div w:id="1523085653">
      <w:bodyDiv w:val="1"/>
      <w:marLeft w:val="0"/>
      <w:marRight w:val="0"/>
      <w:marTop w:val="0"/>
      <w:marBottom w:val="0"/>
      <w:divBdr>
        <w:top w:val="none" w:sz="0" w:space="0" w:color="auto"/>
        <w:left w:val="none" w:sz="0" w:space="0" w:color="auto"/>
        <w:bottom w:val="none" w:sz="0" w:space="0" w:color="auto"/>
        <w:right w:val="none" w:sz="0" w:space="0" w:color="auto"/>
      </w:divBdr>
    </w:div>
    <w:div w:id="163482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2016)8600)eur-lex.europa.eu/legal-content/EN/TXT/?uri=uriserv%3AOJ.C_.2017.018.01.0010.01.ENG" TargetMode="External"/><Relationship Id="rId13" Type="http://schemas.openxmlformats.org/officeDocument/2006/relationships/hyperlink" Target="https://eur-lex.europa.eu/legal-content/EN/TXT/?uri=CELEX%3A52022SC0194&amp;qid=1658192867646" TargetMode="External"/><Relationship Id="rId18" Type="http://schemas.openxmlformats.org/officeDocument/2006/relationships/hyperlink" Target="https://commission.europa.eu/publications/annual-activity-report-2021-environment_en" TargetMode="External"/><Relationship Id="rId26" Type="http://schemas.openxmlformats.org/officeDocument/2006/relationships/hyperlink" Target="https://oeil.secure.europarl.europa.eu/oeil/popups/ficheprocedure.do?reference=2021/2019(INI)&amp;l=en" TargetMode="External"/><Relationship Id="rId3" Type="http://schemas.openxmlformats.org/officeDocument/2006/relationships/styles" Target="styles.xml"/><Relationship Id="rId21" Type="http://schemas.openxmlformats.org/officeDocument/2006/relationships/hyperlink" Target="https://ec.europa.eu/transparency/regdoc/rep/1/2018/EN/COM-2018-10-F1-EN-MAIN-PART-1.PDF" TargetMode="External"/><Relationship Id="rId7" Type="http://schemas.openxmlformats.org/officeDocument/2006/relationships/endnotes" Target="endnotes.xml"/><Relationship Id="rId12" Type="http://schemas.openxmlformats.org/officeDocument/2006/relationships/hyperlink" Target="https://commission.europa.eu/system/files/2022-10/com_2022_518_1_en.pdf" TargetMode="External"/><Relationship Id="rId17" Type="http://schemas.openxmlformats.org/officeDocument/2006/relationships/hyperlink" Target="https://environment.ec.europa.eu/law-and-governance/environmental-implementation-review_en" TargetMode="External"/><Relationship Id="rId25" Type="http://schemas.openxmlformats.org/officeDocument/2006/relationships/hyperlink" Target="https://oeil.secure.europarl.europa.eu/oeil/popups/ficheprocedure.do?lang=en&amp;reference=2020/2044(INI)" TargetMode="External"/><Relationship Id="rId2" Type="http://schemas.openxmlformats.org/officeDocument/2006/relationships/numbering" Target="numbering.xml"/><Relationship Id="rId16" Type="http://schemas.openxmlformats.org/officeDocument/2006/relationships/hyperlink" Target="https://oeil.secure.europarl.europa.eu/oeil/popups/ficheprocedure.do?reference=2021/2679(RSP)&amp;l=en" TargetMode="External"/><Relationship Id="rId20" Type="http://schemas.openxmlformats.org/officeDocument/2006/relationships/hyperlink" Target="http://ec.europa.eu/environment/legal/compliance_en.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il.secure.europarl.europa.eu/oeil/popups/ficheprocedure.do?lang=en&amp;reference=2020/2275(INI)" TargetMode="External"/><Relationship Id="rId24" Type="http://schemas.openxmlformats.org/officeDocument/2006/relationships/hyperlink" Target="https://oceans-and-fisheries.ec.europa.eu/system/files/2021-03/2018-06-26-eumss-revised-action-plan_en.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eil.secure.europarl.europa.eu/oeil/popups/ficheprocedure.do?reference=2021/2019(INI)&amp;l=en" TargetMode="External"/><Relationship Id="rId23" Type="http://schemas.openxmlformats.org/officeDocument/2006/relationships/hyperlink" Target="https://op.europa.eu/s/vete" TargetMode="External"/><Relationship Id="rId28" Type="http://schemas.openxmlformats.org/officeDocument/2006/relationships/footer" Target="footer1.xml"/><Relationship Id="rId10" Type="http://schemas.openxmlformats.org/officeDocument/2006/relationships/hyperlink" Target="https://oeil.secure.europarl.europa.eu/oeil/popups/ficheprocedure.do?reference=2021/2019(INI)&amp;l=en" TargetMode="External"/><Relationship Id="rId19" Type="http://schemas.openxmlformats.org/officeDocument/2006/relationships/hyperlink" Target="https://eur-lex.europa.eu/legal-content/EN/TXT/?uri=CELEX%3A32008L009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eil.secure.europarl.europa.eu/oeil/popups/ficheprocedure.do?lang=en&amp;reference=2020/2044(INI)" TargetMode="External"/><Relationship Id="rId14" Type="http://schemas.openxmlformats.org/officeDocument/2006/relationships/hyperlink" Target="https://oeil.secure.europarl.europa.eu/oeil/popups/ficheprocedure.do?lang=en&amp;reference=2020/2044(INI)" TargetMode="External"/><Relationship Id="rId22" Type="http://schemas.openxmlformats.org/officeDocument/2006/relationships/hyperlink" Target="https://op.europa.eu/s/vbur"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4F62-7247-473C-BFE8-85697271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3558</Words>
  <Characters>20103</Characters>
  <Application>Microsoft Office Word</Application>
  <DocSecurity>0</DocSecurity>
  <Lines>309</Lines>
  <Paragraphs>84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Ioana Cristina (SG)</dc:creator>
  <cp:keywords/>
  <dc:description/>
  <cp:lastModifiedBy>DELBAER Gerda (SG)</cp:lastModifiedBy>
  <cp:revision>2</cp:revision>
  <dcterms:created xsi:type="dcterms:W3CDTF">2023-04-21T14:42:00Z</dcterms:created>
  <dcterms:modified xsi:type="dcterms:W3CDTF">2023-04-21T14:42:00Z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2023-01-16T12:21:46Z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b091f617-97f2-4623-902b-01c51d41bd7e</vt:lpwstr>
  </property>
  <property fmtid="{D5CDD505-2E9C-101B-9397-08002B2CF9AE}" pid="8" name="MSIP_Label_6bd9ddd1-4d20-43f6-abfa-fc3c07406f94_ContentBits">
    <vt:lpwstr>0</vt:lpwstr>
  </property>
</Properties>
</file>