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68F6" w14:textId="3EEC920F" w:rsidR="000C26BB" w:rsidRPr="00D078F7" w:rsidRDefault="000C26BB" w:rsidP="000C26BB">
      <w:pPr>
        <w:spacing w:after="720"/>
        <w:jc w:val="center"/>
        <w:rPr>
          <w:rFonts w:ascii="Times New Roman" w:hAnsi="Times New Roman"/>
          <w:b/>
          <w:szCs w:val="24"/>
        </w:rPr>
      </w:pPr>
      <w:r>
        <w:rPr>
          <w:rFonts w:ascii="Times New Roman" w:hAnsi="Times New Roman"/>
          <w:b/>
        </w:rPr>
        <w:t>Suite donnée à la résolution non législative du Parlement européen sur le résultat des délibérations de la commission des pétitions en 2021</w:t>
      </w:r>
    </w:p>
    <w:p w14:paraId="0F518368" w14:textId="2403474E" w:rsidR="000C26BB" w:rsidRPr="00D078F7" w:rsidRDefault="000C26BB" w:rsidP="001B1AB8">
      <w:pPr>
        <w:numPr>
          <w:ilvl w:val="0"/>
          <w:numId w:val="1"/>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Loránt VINCZE (PPE/RO)</w:t>
      </w:r>
    </w:p>
    <w:p w14:paraId="452ADEAF" w14:textId="4159CC7A" w:rsidR="000C26BB" w:rsidRPr="00D078F7" w:rsidRDefault="000C26BB" w:rsidP="001B1AB8">
      <w:pPr>
        <w:pStyle w:val="Default"/>
        <w:numPr>
          <w:ilvl w:val="0"/>
          <w:numId w:val="1"/>
        </w:numPr>
        <w:spacing w:after="240"/>
        <w:ind w:left="567" w:hanging="567"/>
        <w:jc w:val="both"/>
        <w:rPr>
          <w:color w:val="auto"/>
        </w:rPr>
      </w:pPr>
      <w:r>
        <w:rPr>
          <w:b/>
          <w:color w:val="auto"/>
        </w:rPr>
        <w:t xml:space="preserve">Numéro de référence: </w:t>
      </w:r>
      <w:r>
        <w:t>2022/2024 (INI) / A9-0271/2022 / P9_TA(2022)0451</w:t>
      </w:r>
    </w:p>
    <w:p w14:paraId="18ADB85E" w14:textId="552696FD" w:rsidR="000C26BB" w:rsidRPr="00D078F7" w:rsidRDefault="000C26BB" w:rsidP="001B1AB8">
      <w:pPr>
        <w:numPr>
          <w:ilvl w:val="0"/>
          <w:numId w:val="1"/>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15 décembre 2022</w:t>
      </w:r>
    </w:p>
    <w:p w14:paraId="5B86AAFD" w14:textId="77777777" w:rsidR="000C26BB" w:rsidRPr="00D078F7" w:rsidRDefault="000C26BB" w:rsidP="001B1AB8">
      <w:pPr>
        <w:numPr>
          <w:ilvl w:val="0"/>
          <w:numId w:val="1"/>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pétitions</w:t>
      </w:r>
    </w:p>
    <w:p w14:paraId="585A98A1" w14:textId="77777777" w:rsidR="000C26BB" w:rsidRPr="00D078F7" w:rsidRDefault="000C26BB" w:rsidP="001B1AB8">
      <w:pPr>
        <w:widowControl w:val="0"/>
        <w:numPr>
          <w:ilvl w:val="0"/>
          <w:numId w:val="1"/>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269E47D5" w14:textId="314D4954" w:rsidR="00A22E42" w:rsidRPr="00D078F7" w:rsidRDefault="00A22E42" w:rsidP="0021639E">
      <w:pPr>
        <w:widowControl w:val="0"/>
        <w:spacing w:after="120"/>
        <w:rPr>
          <w:rFonts w:ascii="Times New Roman" w:hAnsi="Times New Roman"/>
          <w:szCs w:val="24"/>
        </w:rPr>
      </w:pPr>
      <w:r>
        <w:rPr>
          <w:rFonts w:ascii="Times New Roman" w:hAnsi="Times New Roman"/>
        </w:rPr>
        <w:t>Il s’agit d’une résolution d’initiative régulière élaborée par la commission des pétitions en ce qui concerne ses travaux et les pétitions traitées au cours de l’année précédente, à savoir 2021.</w:t>
      </w:r>
    </w:p>
    <w:p w14:paraId="21368D13" w14:textId="05BC36FE" w:rsidR="00243D65" w:rsidRPr="00D078F7" w:rsidRDefault="00A22E42" w:rsidP="0021639E">
      <w:pPr>
        <w:widowControl w:val="0"/>
        <w:spacing w:after="120"/>
        <w:rPr>
          <w:rFonts w:ascii="Times New Roman" w:hAnsi="Times New Roman"/>
          <w:szCs w:val="24"/>
        </w:rPr>
      </w:pPr>
      <w:r>
        <w:rPr>
          <w:rFonts w:ascii="Times New Roman" w:hAnsi="Times New Roman"/>
        </w:rPr>
        <w:t>La résolution souligne que les pétitions sont essentielles pour promouvoir les principes de la démocratie directe et améliorer la participation active des citoyens à l’Union européenne. Elle relève que le Parlement européen a reçu 1 392 pétitions en 2021, ce qui représente une baisse de 11,5 % par rapport aux 1 573 pétitions présentées en 2020. Le nombre de pétitions sur la COVID-19 en 2021 a augmenté par rapport à 2020 (242 en 2021 contre 209 en 2020). En 2021, 79 % des pétitions ont été présentées par l’intermédiaire du portail en ligne des pétitions, tandis que 21 % des pétitions ont été présentées par courrier postal. La résolution déplore toutefois que le nombre total de pétitions reste modeste par rapport à la population totale de l’Union. Par conséquent, elle estime que des efforts supplémentaires sont nécessaires pour sensibiliser davantage les citoyens à leur droit de pétition, promouvoir davantage cet instrument et accroître la représentation géographique des pétitions présentées par État membre. Elle appelle également à mieux faire connaître l’utilité que peuvent présenter les pétitions pour attirer l’attention des institutions de l’Union et des États membres sur les questions qui touchent et concernent directement les citoyens.</w:t>
      </w:r>
    </w:p>
    <w:p w14:paraId="58F31185" w14:textId="3ACEAE33" w:rsidR="00185674" w:rsidRPr="00D078F7" w:rsidRDefault="00185674" w:rsidP="0021639E">
      <w:pPr>
        <w:widowControl w:val="0"/>
        <w:spacing w:after="120"/>
        <w:rPr>
          <w:rFonts w:ascii="Times New Roman" w:hAnsi="Times New Roman"/>
          <w:szCs w:val="24"/>
        </w:rPr>
      </w:pPr>
      <w:r>
        <w:rPr>
          <w:rFonts w:ascii="Times New Roman" w:hAnsi="Times New Roman"/>
        </w:rPr>
        <w:t>Outre les statistiques sur les pétitions reçues et traitées en 2021, la résolution dresse le bilan de toutes les autres activités parlementaires, telles que l’adoption de rapports et d’avis, l’organisation d’auditions et les relations de la commission avec les autres institutions de l’Union.</w:t>
      </w:r>
    </w:p>
    <w:p w14:paraId="44CECB73" w14:textId="6E6EFE3C" w:rsidR="00D078F7" w:rsidRDefault="00117811" w:rsidP="0021639E">
      <w:pPr>
        <w:widowControl w:val="0"/>
        <w:rPr>
          <w:rFonts w:ascii="Times New Roman" w:hAnsi="Times New Roman"/>
          <w:szCs w:val="24"/>
        </w:rPr>
      </w:pPr>
      <w:r>
        <w:rPr>
          <w:rFonts w:ascii="Times New Roman" w:hAnsi="Times New Roman"/>
        </w:rPr>
        <w:t>La résolution reconnaît que la Commission, en tant que gardienne des traités, reste le partenaire naturel de la commission des pétitions dans le traitement des pétitions en tant qu’institution de l’Union chargée de veiller à la mise en œuvre et au respect du droit de l’Union. Elle reconnaît également que les deux institutions ont un niveau de coopération bien établi et constamment maintenu. La résolution note toutefois que la Commission n’a pas modifié sa politique en matière de plaintes et d’infractions et demeure critique en ce qui concerne son «</w:t>
      </w:r>
      <w:hyperlink r:id="rId8" w:history="1">
        <w:r>
          <w:rPr>
            <w:rStyle w:val="Hyperlink"/>
            <w:rFonts w:ascii="Times New Roman" w:hAnsi="Times New Roman"/>
          </w:rPr>
          <w:t xml:space="preserve">droit de l’Union </w:t>
        </w:r>
      </w:hyperlink>
      <w:r>
        <w:t>de 2016:</w:t>
      </w:r>
      <w:hyperlink r:id="rId9" w:history="1">
        <w:r>
          <w:rPr>
            <w:rStyle w:val="Hyperlink"/>
            <w:rFonts w:ascii="Times New Roman" w:hAnsi="Times New Roman"/>
          </w:rPr>
          <w:t xml:space="preserve"> une meilleure application pour de meilleurs résultats</w:t>
        </w:r>
      </w:hyperlink>
      <w:r>
        <w:rPr>
          <w:rFonts w:ascii="Times New Roman" w:hAnsi="Times New Roman"/>
        </w:rPr>
        <w:t>», qui vise à orienter les citoyens vers le niveau national lorsque les plaintes ou les pétitions ne soulèvent pas de questions de principe plus larges ou de non-respect systématique du droit de l’Union. À cet égard, la résolution invite la Commission à vérifier si les autorités nationales prennent les mesures nécessaires pour répondre aux préoccupations exprimées par les citoyens dans leurs pétitions. En outre, la résolution réitère les appels qu’elle a lancés précédemment en faveur d’une mise à jour régulière de l’évolution des procédures d’infraction ainsi que de la transparence et de l’accès aux documents relatifs aux procédures d’infraction et aux procédures EU Pilot, qui concernent les pétitions ouvertes.</w:t>
      </w:r>
    </w:p>
    <w:p w14:paraId="4C5FC16F" w14:textId="77777777" w:rsidR="000C26BB" w:rsidRPr="0021639E" w:rsidRDefault="000C26BB" w:rsidP="0021639E">
      <w:pPr>
        <w:keepNext/>
        <w:keepLines/>
        <w:widowControl w:val="0"/>
        <w:numPr>
          <w:ilvl w:val="0"/>
          <w:numId w:val="1"/>
        </w:numPr>
        <w:spacing w:after="120"/>
        <w:ind w:left="567" w:hanging="567"/>
        <w:rPr>
          <w:rFonts w:ascii="Times New Roman" w:hAnsi="Times New Roman"/>
          <w:b/>
          <w:szCs w:val="24"/>
        </w:rPr>
      </w:pPr>
      <w:r>
        <w:rPr>
          <w:rFonts w:ascii="Times New Roman" w:hAnsi="Times New Roman"/>
          <w:b/>
        </w:rPr>
        <w:lastRenderedPageBreak/>
        <w:t xml:space="preserve">Réponse à ces demandes et aperçu des mesures que la Commission a prises ou envisage de prendre </w:t>
      </w:r>
    </w:p>
    <w:p w14:paraId="4858BBEA" w14:textId="74BEC4CA" w:rsidR="00405AED" w:rsidRPr="0021639E" w:rsidRDefault="004D54D1" w:rsidP="0021639E">
      <w:pPr>
        <w:keepNext/>
        <w:keepLines/>
        <w:spacing w:after="120"/>
        <w:rPr>
          <w:rFonts w:ascii="Times New Roman" w:hAnsi="Times New Roman"/>
          <w:i/>
          <w:szCs w:val="24"/>
        </w:rPr>
      </w:pPr>
      <w:r>
        <w:rPr>
          <w:rFonts w:ascii="Times New Roman" w:hAnsi="Times New Roman"/>
          <w:i/>
        </w:rPr>
        <w:t>Paragraphes 6 et 9</w:t>
      </w:r>
    </w:p>
    <w:p w14:paraId="7315D192" w14:textId="6B986F53" w:rsidR="00405AED" w:rsidRPr="00D078F7" w:rsidRDefault="00405AED" w:rsidP="0021639E">
      <w:pPr>
        <w:keepNext/>
        <w:keepLines/>
        <w:spacing w:after="120"/>
        <w:rPr>
          <w:rFonts w:ascii="Times New Roman" w:hAnsi="Times New Roman"/>
          <w:iCs/>
          <w:szCs w:val="24"/>
        </w:rPr>
      </w:pPr>
      <w:r>
        <w:rPr>
          <w:rFonts w:ascii="Times New Roman" w:hAnsi="Times New Roman"/>
        </w:rPr>
        <w:t>La Commission a déjà répondu à cet appel dans ses réponses aux résolutions adoptées en 2020 (</w:t>
      </w:r>
      <w:hyperlink r:id="rId10" w:history="1">
        <w:r>
          <w:rPr>
            <w:rStyle w:val="Hyperlink"/>
            <w:rFonts w:ascii="Times New Roman" w:hAnsi="Times New Roman"/>
          </w:rPr>
          <w:t>SP(2021)190</w:t>
        </w:r>
      </w:hyperlink>
      <w:r>
        <w:rPr>
          <w:rFonts w:ascii="Times New Roman" w:hAnsi="Times New Roman"/>
        </w:rPr>
        <w:t>) et 2021(</w:t>
      </w:r>
      <w:hyperlink r:id="rId11" w:history="1">
        <w:r>
          <w:rPr>
            <w:rStyle w:val="Hyperlink"/>
            <w:rFonts w:ascii="Times New Roman" w:hAnsi="Times New Roman"/>
          </w:rPr>
          <w:t>SP(2022)123</w:t>
        </w:r>
      </w:hyperlink>
      <w:r>
        <w:rPr>
          <w:rFonts w:ascii="Times New Roman" w:hAnsi="Times New Roman"/>
        </w:rPr>
        <w:t xml:space="preserve">). </w:t>
      </w:r>
    </w:p>
    <w:p w14:paraId="51F3B651" w14:textId="159ADD2E" w:rsidR="00405AED" w:rsidRPr="00D078F7" w:rsidRDefault="00405AED" w:rsidP="0021639E">
      <w:pPr>
        <w:spacing w:after="120"/>
        <w:rPr>
          <w:rFonts w:ascii="Times New Roman" w:hAnsi="Times New Roman"/>
          <w:iCs/>
          <w:szCs w:val="24"/>
        </w:rPr>
      </w:pPr>
      <w:r>
        <w:rPr>
          <w:rFonts w:ascii="Times New Roman" w:hAnsi="Times New Roman"/>
        </w:rPr>
        <w:t xml:space="preserve">En ce qui concerne un accord interinstitutionnel, voir la réponse de la Commission </w:t>
      </w:r>
      <w:hyperlink r:id="rId12" w:history="1">
        <w:r>
          <w:rPr>
            <w:rStyle w:val="Hyperlink"/>
            <w:rFonts w:ascii="Times New Roman" w:hAnsi="Times New Roman"/>
          </w:rPr>
          <w:t>SP(2022)271</w:t>
        </w:r>
      </w:hyperlink>
    </w:p>
    <w:p w14:paraId="272831AD" w14:textId="559070F8" w:rsidR="002755B2" w:rsidRPr="00D078F7" w:rsidRDefault="002755B2" w:rsidP="0021639E">
      <w:pPr>
        <w:spacing w:after="120"/>
        <w:rPr>
          <w:rFonts w:ascii="Times New Roman" w:hAnsi="Times New Roman"/>
          <w:i/>
          <w:szCs w:val="24"/>
        </w:rPr>
      </w:pPr>
      <w:r>
        <w:rPr>
          <w:rFonts w:ascii="Times New Roman" w:hAnsi="Times New Roman"/>
          <w:i/>
        </w:rPr>
        <w:t>Paragraphe 8</w:t>
      </w:r>
    </w:p>
    <w:p w14:paraId="36AAE06B" w14:textId="11D73C6E" w:rsidR="002755B2" w:rsidRPr="00D078F7" w:rsidRDefault="00331A20" w:rsidP="0021639E">
      <w:pPr>
        <w:spacing w:after="120"/>
        <w:rPr>
          <w:rFonts w:ascii="Times New Roman" w:hAnsi="Times New Roman"/>
          <w:iCs/>
          <w:szCs w:val="24"/>
        </w:rPr>
      </w:pPr>
      <w:r>
        <w:rPr>
          <w:rFonts w:ascii="Times New Roman" w:hAnsi="Times New Roman"/>
        </w:rPr>
        <w:t>La Commission est disposée à évaluer la faisabilité d’un outil informatique interinstitutionnel entre la Commission et le Parlement, à condition que les ressources budgétaires et les solutions techniques soient définies. Dans un premier temps, un lien entre les pages Europa et le portail web des pétitions pourrait être mis en place pour aider les citoyens à être régulièrement informés de la manière dont la Commission traite déjà leurs pétitions par l’intermédiaire de procédures d’infraction. La Commission publie sur la page web Europa les décisions qu’elle adopte concernant chaque étape d’une procédure d’infraction. Cette méthode garantit la transparence en ce qui concerne le processus décisionnel, le type d’infraction poursuivie et les avantages que la résolution de ces affaires peut apporter aux citoyens et aux entreprises.</w:t>
      </w:r>
    </w:p>
    <w:p w14:paraId="4A35F985" w14:textId="3B14E5A0" w:rsidR="005E4AC7" w:rsidRPr="00D078F7" w:rsidRDefault="005E4AC7" w:rsidP="0021639E">
      <w:pPr>
        <w:spacing w:after="120"/>
        <w:rPr>
          <w:rFonts w:ascii="Times New Roman" w:hAnsi="Times New Roman"/>
          <w:i/>
          <w:szCs w:val="24"/>
        </w:rPr>
      </w:pPr>
      <w:r>
        <w:rPr>
          <w:rFonts w:ascii="Times New Roman" w:hAnsi="Times New Roman"/>
          <w:i/>
        </w:rPr>
        <w:t>Paragraphe 12</w:t>
      </w:r>
    </w:p>
    <w:p w14:paraId="471CDCF7" w14:textId="04709B13" w:rsidR="00EE5897" w:rsidRPr="00D078F7" w:rsidRDefault="00EE5897" w:rsidP="0021639E">
      <w:pPr>
        <w:spacing w:after="120"/>
        <w:rPr>
          <w:rFonts w:ascii="Times New Roman" w:hAnsi="Times New Roman"/>
          <w:iCs/>
          <w:szCs w:val="24"/>
        </w:rPr>
      </w:pPr>
      <w:r>
        <w:rPr>
          <w:rFonts w:ascii="Times New Roman" w:hAnsi="Times New Roman"/>
        </w:rPr>
        <w:t>La mise en œuvre du droit de l’Union est une responsabilité partagée: les États membres prennent les mesures nécessaires pour éviter ou corriger toute violation et la Commission, en tant que gardienne des traités, utilise différents outils pour promouvoir et faire respecter sa bonne application, y compris les procédures d’infraction. La communication de la Commission de 2022 intitulée «Faire appliquer le droit de l’Union afin de permettre à l’Europe de tenir ses engagements» (</w:t>
      </w:r>
      <w:hyperlink r:id="rId13" w:history="1">
        <w:r>
          <w:rPr>
            <w:rStyle w:val="Hyperlink"/>
            <w:rFonts w:ascii="Times New Roman" w:hAnsi="Times New Roman"/>
          </w:rPr>
          <w:t>COM (2022) 518 final</w:t>
        </w:r>
      </w:hyperlink>
      <w:r>
        <w:rPr>
          <w:rFonts w:ascii="Times New Roman" w:hAnsi="Times New Roman"/>
        </w:rPr>
        <w:t>) expose en détail la manière dont la Commission s’acquitte de cette tâche.</w:t>
      </w:r>
    </w:p>
    <w:p w14:paraId="3955C320" w14:textId="3C2FDCFC" w:rsidR="00EE5897" w:rsidRPr="00D078F7" w:rsidRDefault="00EE5897" w:rsidP="0021639E">
      <w:pPr>
        <w:spacing w:after="120"/>
        <w:rPr>
          <w:rFonts w:ascii="Times New Roman" w:hAnsi="Times New Roman"/>
          <w:iCs/>
          <w:szCs w:val="24"/>
        </w:rPr>
      </w:pPr>
      <w:r>
        <w:rPr>
          <w:rFonts w:ascii="Times New Roman" w:hAnsi="Times New Roman"/>
        </w:rPr>
        <w:t>Les cas répétés de mauvaise application du droit de l’Union ne constituent pas nécessairement des problèmes systémiques soulevant des questions de principe général que la Commission peut poursuivre. Lorsque des pétitions soulèvent un problème systémique dans un ou plusieurs États membres, la Commission enquête sur la question et peut ouvrir des procédures d’infraction s’il n’y a pas de mise en conformité spontanée ou de solution rapide à l’infraction. Dans tous ces cas, lorsque les États membres s’engagent à adopter des mesures correctives adéquates, la Commission suit les progrès accomplis, généralement en convenant de jalons avec les autorités nationales.</w:t>
      </w:r>
    </w:p>
    <w:p w14:paraId="2A2B82D6" w14:textId="2BB9FD2C" w:rsidR="00EE5897" w:rsidRPr="00D078F7" w:rsidRDefault="00EE5897" w:rsidP="0021639E">
      <w:pPr>
        <w:spacing w:after="120"/>
        <w:rPr>
          <w:rFonts w:ascii="Times New Roman" w:hAnsi="Times New Roman"/>
          <w:iCs/>
          <w:szCs w:val="24"/>
        </w:rPr>
      </w:pPr>
      <w:r>
        <w:rPr>
          <w:rFonts w:ascii="Times New Roman" w:hAnsi="Times New Roman"/>
        </w:rPr>
        <w:t>L’intervention de la Commission est particulièrement utile lorsqu’il est manifeste que des voies de recours nationales ne sont pas disponibles ou ne sont pas efficaces. Afin de permettre aux citoyens et aux entreprises de trouver les solutions nécessaires dans un environnement juridique plus proche d’eux, l’action déployée par la Commission pour faire respecter le droit de l’Union se concentre sur le fait de veiller à ce que les autorités nationales soient suffisamment équipées et en mesure de s’acquitter de leurs tâches en examinant les conflits d’intérêts, l’indépendance et la dotation en personnel de ces autorités.</w:t>
      </w:r>
    </w:p>
    <w:p w14:paraId="624707E8" w14:textId="26E34D86" w:rsidR="00EE5897" w:rsidRDefault="00EE5897" w:rsidP="0021639E">
      <w:pPr>
        <w:spacing w:after="120"/>
        <w:rPr>
          <w:rFonts w:ascii="Times New Roman" w:hAnsi="Times New Roman"/>
        </w:rPr>
      </w:pPr>
      <w:r>
        <w:rPr>
          <w:rFonts w:ascii="Times New Roman" w:hAnsi="Times New Roman"/>
        </w:rPr>
        <w:t>Par conséquent, bien que la Commission ne soit pas en mesure de suivre chaque cas, les pétitionnaires peuvent indiquer si des faits portés à son attention sont susceptibles de constituer une violation du droit de l’Union. La Commission répond aux plaintes émanant de citoyens et tient compte de leurs contributions ainsi que de celles des organisations non gouvernementales, des partenaires sociaux ou de toute autre partie prenante.</w:t>
      </w:r>
    </w:p>
    <w:p w14:paraId="7921CCFE" w14:textId="1B68F502" w:rsidR="00EF3960" w:rsidRDefault="00EF3960" w:rsidP="0021639E">
      <w:pPr>
        <w:spacing w:after="120"/>
        <w:rPr>
          <w:rFonts w:ascii="Times New Roman" w:hAnsi="Times New Roman"/>
        </w:rPr>
      </w:pPr>
    </w:p>
    <w:p w14:paraId="248C1104" w14:textId="77777777" w:rsidR="00EF3960" w:rsidRPr="00D078F7" w:rsidRDefault="00EF3960" w:rsidP="0021639E">
      <w:pPr>
        <w:spacing w:after="120"/>
        <w:rPr>
          <w:rFonts w:ascii="Times New Roman" w:hAnsi="Times New Roman"/>
          <w:iCs/>
          <w:szCs w:val="24"/>
        </w:rPr>
      </w:pPr>
    </w:p>
    <w:p w14:paraId="0DC47710" w14:textId="5944B756" w:rsidR="005E4AC7" w:rsidRPr="00D078F7" w:rsidRDefault="005E4AC7" w:rsidP="0021639E">
      <w:pPr>
        <w:spacing w:after="120"/>
        <w:rPr>
          <w:rFonts w:ascii="Times New Roman" w:hAnsi="Times New Roman"/>
          <w:i/>
          <w:szCs w:val="24"/>
        </w:rPr>
      </w:pPr>
      <w:r>
        <w:rPr>
          <w:rFonts w:ascii="Times New Roman" w:hAnsi="Times New Roman"/>
          <w:i/>
        </w:rPr>
        <w:lastRenderedPageBreak/>
        <w:t xml:space="preserve">Paragraphe 1 </w:t>
      </w:r>
    </w:p>
    <w:p w14:paraId="0EDF7393" w14:textId="75024306" w:rsidR="00430A3D" w:rsidRPr="00D078F7" w:rsidRDefault="00430A3D" w:rsidP="0021639E">
      <w:pPr>
        <w:spacing w:after="120"/>
        <w:rPr>
          <w:rFonts w:ascii="Times New Roman" w:hAnsi="Times New Roman"/>
          <w:iCs/>
          <w:szCs w:val="24"/>
        </w:rPr>
      </w:pPr>
      <w:r>
        <w:rPr>
          <w:rFonts w:ascii="Times New Roman" w:hAnsi="Times New Roman"/>
        </w:rPr>
        <w:t xml:space="preserve">Le </w:t>
      </w:r>
      <w:hyperlink r:id="rId14" w:history="1">
        <w:r>
          <w:rPr>
            <w:rStyle w:val="Hyperlink"/>
            <w:rFonts w:ascii="Times New Roman" w:hAnsi="Times New Roman"/>
          </w:rPr>
          <w:t>rapport annuel 2021 sur le contrôle de l’application du droit de l’Union donne</w:t>
        </w:r>
      </w:hyperlink>
      <w:r>
        <w:rPr>
          <w:rFonts w:ascii="Times New Roman" w:hAnsi="Times New Roman"/>
        </w:rPr>
        <w:t xml:space="preserve"> un aperçu des suites données par la Commission aux pétitions de 2021 dans les domaines d’action les plus concernés. Bien que le rapport annuel présente des limites en termes de taille et de fréquence, la Commission est disposée à étudier les moyens d’améliorer les informations fournies au public sur le lien entre les pétitions et les activités de mise en œuvre de la Commission.</w:t>
      </w:r>
    </w:p>
    <w:p w14:paraId="2D618780" w14:textId="76CB3F2B" w:rsidR="00430A3D" w:rsidRPr="00D078F7" w:rsidRDefault="00430A3D" w:rsidP="0021639E">
      <w:pPr>
        <w:spacing w:after="120"/>
        <w:rPr>
          <w:rFonts w:ascii="Times New Roman" w:hAnsi="Times New Roman"/>
          <w:iCs/>
          <w:szCs w:val="24"/>
        </w:rPr>
      </w:pPr>
      <w:r>
        <w:rPr>
          <w:rFonts w:ascii="Times New Roman" w:hAnsi="Times New Roman"/>
        </w:rPr>
        <w:t>La Commission estime que la mise en place d’un lien entre le portail en ligne des pétitions et le registre public de la Commission sur les procédures d’infraction, tel qu’elle est décrite ci-dessus en réponse au paragraphe 8 améliorera considérablement la transparence en ce qui concerne le lien entre les pétitions et les procédures d’infraction et fournira des informations plus rapides et donc plus pertinentes aux pétitionnaires (potentiels).</w:t>
      </w:r>
    </w:p>
    <w:p w14:paraId="0DD43235" w14:textId="3C3A3EFA" w:rsidR="005E4AC7" w:rsidRPr="00D078F7" w:rsidRDefault="005E4AC7" w:rsidP="0021639E">
      <w:pPr>
        <w:spacing w:after="120"/>
        <w:rPr>
          <w:rFonts w:ascii="Times New Roman" w:hAnsi="Times New Roman"/>
          <w:i/>
          <w:szCs w:val="24"/>
        </w:rPr>
      </w:pPr>
      <w:r>
        <w:rPr>
          <w:rFonts w:ascii="Times New Roman" w:hAnsi="Times New Roman"/>
          <w:i/>
        </w:rPr>
        <w:t>Paragraphe 20</w:t>
      </w:r>
    </w:p>
    <w:p w14:paraId="7E80625D" w14:textId="587757D6" w:rsidR="009F1937" w:rsidRPr="00D078F7" w:rsidRDefault="009F1937" w:rsidP="0021639E">
      <w:pPr>
        <w:spacing w:after="120"/>
        <w:rPr>
          <w:rFonts w:ascii="Times New Roman" w:hAnsi="Times New Roman"/>
          <w:iCs/>
          <w:szCs w:val="24"/>
        </w:rPr>
      </w:pPr>
      <w:r>
        <w:rPr>
          <w:rFonts w:ascii="Times New Roman" w:hAnsi="Times New Roman"/>
        </w:rPr>
        <w:t>La Commission a obtenu jusqu’à 4,2 milliards de doses de vaccins au nom des États membres. Huit contrats d’achat anticipé et trois contrats d’achat ont été signés avec sept fabricants de vaccins [BioNTech Pfizer (3), Moderna (2), Johnson &amp;Johnson, AstraZeneca, CureVac, Novavax, Sanofi et Valneva]. Les contrats, ainsi que le processus de négociation, ont suscité un intérêt public important.</w:t>
      </w:r>
    </w:p>
    <w:p w14:paraId="1E4A8B0A" w14:textId="7571A081" w:rsidR="009F1937" w:rsidRPr="00D078F7" w:rsidRDefault="009F1937" w:rsidP="0021639E">
      <w:pPr>
        <w:spacing w:after="120"/>
        <w:rPr>
          <w:rFonts w:ascii="Times New Roman" w:hAnsi="Times New Roman"/>
          <w:iCs/>
          <w:szCs w:val="24"/>
        </w:rPr>
      </w:pPr>
      <w:r>
        <w:rPr>
          <w:rFonts w:ascii="Times New Roman" w:hAnsi="Times New Roman"/>
        </w:rPr>
        <w:t>La Commission s’est efforcée d’assurer la plus grande transparence possible dans les négociations qu’elle a menées avec les entreprises en vue de l’achat de vaccins. Elle a répondu à de nombreuses demandes d’accès à des documents sur le sujet au titre du règlement (CE) nº 1049/2001 depuis le début de la pandémie et a divulgué plusieurs de documents dans ce contexte. La Commission a publié des versions expurgées des contrats d’achat anticipé conclus avec CureVac AG, Sanofi Pasteur SA &amp; ampGlaxoSmithKline Biologchemicals SA, AstraZeneca AB, Pfizer Inc. et BioNTech Manufacturing GmbH, Moderna Switzerland GmbH, Janssen Pharmaceutica NV et Novavax. Elle a également publié le contrat d’achat avec Moderna Switzerland GmbH et les deux contrats d’achat conclus avec BioNTech Manufacturing GmbH et Pfizer Inc. Ils sont disponibles sur le site web de la Commission.</w:t>
      </w:r>
    </w:p>
    <w:p w14:paraId="2CC4BED9" w14:textId="3F15A8C9" w:rsidR="009F1937" w:rsidRPr="00D078F7" w:rsidRDefault="00FF4BBD" w:rsidP="0021639E">
      <w:pPr>
        <w:spacing w:after="120"/>
        <w:rPr>
          <w:rFonts w:ascii="Times New Roman" w:hAnsi="Times New Roman"/>
          <w:iCs/>
          <w:szCs w:val="24"/>
        </w:rPr>
      </w:pPr>
      <w:r>
        <w:rPr>
          <w:rFonts w:ascii="Times New Roman" w:hAnsi="Times New Roman"/>
        </w:rPr>
        <w:t>Le Tribunal a déjà rejeté les recours en annulation de décisions adoptées au titre du règlement (CE) n° 1049/2001 introduits par les requérantes, dans lesquelles la Commission a partiellement refusé l’accès aux documents relatifs aux négociations sur les vaccins contre la COVID-19 dans le passé</w:t>
      </w:r>
      <w:r>
        <w:rPr>
          <w:rStyle w:val="FootnoteReference"/>
          <w:rFonts w:ascii="Times New Roman" w:hAnsi="Times New Roman"/>
          <w:iCs/>
          <w:szCs w:val="24"/>
          <w:lang w:val="en-IE"/>
        </w:rPr>
        <w:footnoteReference w:id="2"/>
      </w:r>
      <w:r>
        <w:rPr>
          <w:rFonts w:ascii="Times New Roman" w:hAnsi="Times New Roman"/>
        </w:rPr>
        <w:t>. Les dernières versions expurgées des contrats relatifs aux vaccins font l’objet d’affaires pendantes devant le Tribunal</w:t>
      </w:r>
      <w:r>
        <w:rPr>
          <w:rStyle w:val="FootnoteReference"/>
          <w:rFonts w:ascii="Times New Roman" w:hAnsi="Times New Roman"/>
          <w:iCs/>
          <w:szCs w:val="24"/>
          <w:lang w:val="en-IE"/>
        </w:rPr>
        <w:footnoteReference w:id="3"/>
      </w:r>
      <w:r>
        <w:rPr>
          <w:rFonts w:ascii="Times New Roman" w:hAnsi="Times New Roman"/>
        </w:rPr>
        <w:t>.</w:t>
      </w:r>
    </w:p>
    <w:p w14:paraId="12DA57DD" w14:textId="55AD20AA" w:rsidR="009F1937" w:rsidRPr="00D078F7" w:rsidRDefault="009F1937" w:rsidP="0021639E">
      <w:pPr>
        <w:spacing w:after="120"/>
        <w:rPr>
          <w:rFonts w:ascii="Times New Roman" w:hAnsi="Times New Roman"/>
          <w:iCs/>
          <w:szCs w:val="24"/>
        </w:rPr>
      </w:pPr>
      <w:r>
        <w:rPr>
          <w:rFonts w:ascii="Times New Roman" w:hAnsi="Times New Roman"/>
        </w:rPr>
        <w:t>La Commission a eu connaissance de problèmes de qualité liés aux masques médicaux achetés en vue de leur livraison directe par le producteur aux États membres. Elle a ainsi rappelé les produits défectueux et organisé des contrôles physiques de qualité avant leur distribution ultérieure aux États membres. Grâce à ces réactions rapides, aucun problème sanitaire ni perte financière n’ont été causés par l’incident.</w:t>
      </w:r>
    </w:p>
    <w:p w14:paraId="5D696245" w14:textId="6DCAF8FD" w:rsidR="009F1937" w:rsidRPr="00D078F7" w:rsidRDefault="00EB2DD6" w:rsidP="0021639E">
      <w:pPr>
        <w:spacing w:after="120"/>
        <w:rPr>
          <w:rFonts w:ascii="Times New Roman" w:hAnsi="Times New Roman"/>
          <w:iCs/>
          <w:szCs w:val="24"/>
        </w:rPr>
      </w:pPr>
      <w:r>
        <w:rPr>
          <w:rFonts w:ascii="Times New Roman" w:hAnsi="Times New Roman"/>
        </w:rPr>
        <w:t xml:space="preserve">La Commission a reçu une demande d’accès du public à des documents relatifs à cette affaire. Néanmoins, certaines parties des documents demandés émanaient d’un tiers et contenaient des informations confidentielles provenant d’une société identifiée avec laquelle la Commission n’avait pas de relation contractuelle directe et qui s’opposait à la divulgation de ces informations. La Commission a conclu que leur divulgation porterait atteinte à la protection des intérêts visés à l’article 4, paragraphe 2, premier tiret (protection des intérêts </w:t>
      </w:r>
      <w:r>
        <w:rPr>
          <w:rFonts w:ascii="Times New Roman" w:hAnsi="Times New Roman"/>
        </w:rPr>
        <w:lastRenderedPageBreak/>
        <w:t>commerciaux), du règlement (CE) n° 1049/2001. La Commission a toutefois partiellement divulgué d’autres documents dans le cadre de cette demande d’accès du public.</w:t>
      </w:r>
    </w:p>
    <w:p w14:paraId="28E2004A" w14:textId="0B49B2F6" w:rsidR="009F1937" w:rsidRPr="00D078F7" w:rsidRDefault="009F1937" w:rsidP="0021639E">
      <w:pPr>
        <w:spacing w:after="120"/>
        <w:rPr>
          <w:rFonts w:ascii="Times New Roman" w:hAnsi="Times New Roman"/>
          <w:iCs/>
          <w:szCs w:val="24"/>
        </w:rPr>
      </w:pPr>
      <w:r>
        <w:rPr>
          <w:rFonts w:ascii="Times New Roman" w:hAnsi="Times New Roman"/>
        </w:rPr>
        <w:t>La Médiatrice a recommandé à la Commission de reconsidérer sa position et d’accorder un accès plus large aux documents. La Commission a réexaminé sa décision et accordé un accès plus large à la plupart des documents concernés, refusant l’accès à trois documents uniquement. La Médiatrice a confirmé son constat de mauvaise administration et a clôturé l’enquête en mai 2022, faisant valoir que la Commission n’avait pas donné accès aux trois documents dans leur intégralité.</w:t>
      </w:r>
    </w:p>
    <w:p w14:paraId="47258630" w14:textId="5541F2F6" w:rsidR="00405AED" w:rsidRPr="00D078F7" w:rsidRDefault="009F1937" w:rsidP="0021639E">
      <w:pPr>
        <w:spacing w:after="120"/>
        <w:rPr>
          <w:rFonts w:ascii="Times New Roman" w:hAnsi="Times New Roman"/>
          <w:iCs/>
          <w:szCs w:val="24"/>
        </w:rPr>
      </w:pPr>
      <w:r>
        <w:rPr>
          <w:rFonts w:ascii="Times New Roman" w:hAnsi="Times New Roman"/>
        </w:rPr>
        <w:t>La Commission prend acte de la constatation de mauvaise administration par la Médiatrice et tient à rappeler que la demande d’accès du public du demandeur portait sur un grand nombre de documents (134) qui ont été recensés et analysés individuellement. La Commission a consulté de nombreux tiers desquels émanaient les documents. Elle a accordé au public un large accès à la plupart de ces documents et a dûment expliqué les motifs pour lesquels l’accès aux trois autres documents ne pouvait pas être accordé en vertu du règlement (CE) n° 1049/2001.</w:t>
      </w:r>
    </w:p>
    <w:p w14:paraId="188610A7" w14:textId="21E89103" w:rsidR="005E4AC7" w:rsidRPr="00D078F7" w:rsidRDefault="005E4AC7" w:rsidP="0021639E">
      <w:pPr>
        <w:spacing w:after="120"/>
        <w:rPr>
          <w:rFonts w:ascii="Times New Roman" w:hAnsi="Times New Roman"/>
          <w:i/>
          <w:szCs w:val="24"/>
        </w:rPr>
      </w:pPr>
      <w:r>
        <w:rPr>
          <w:rFonts w:ascii="Times New Roman" w:hAnsi="Times New Roman"/>
          <w:i/>
        </w:rPr>
        <w:t>Paragraphe 22</w:t>
      </w:r>
    </w:p>
    <w:p w14:paraId="43FB8FB7" w14:textId="6727E748" w:rsidR="005E4AC7" w:rsidRPr="00D078F7" w:rsidRDefault="005E4AC7" w:rsidP="0021639E">
      <w:pPr>
        <w:spacing w:after="120"/>
        <w:rPr>
          <w:rFonts w:ascii="Times New Roman" w:hAnsi="Times New Roman"/>
          <w:iCs/>
          <w:szCs w:val="24"/>
        </w:rPr>
      </w:pPr>
      <w:r>
        <w:rPr>
          <w:rFonts w:ascii="Times New Roman" w:hAnsi="Times New Roman"/>
        </w:rPr>
        <w:t>La Commission a déjà répondu à cet appel dans ses réponses aux résolutions adoptées en 2020 (</w:t>
      </w:r>
      <w:hyperlink r:id="rId15" w:history="1">
        <w:r>
          <w:rPr>
            <w:rStyle w:val="Hyperlink"/>
            <w:rFonts w:ascii="Times New Roman" w:hAnsi="Times New Roman"/>
          </w:rPr>
          <w:t>SP(2021)190</w:t>
        </w:r>
      </w:hyperlink>
      <w:r>
        <w:rPr>
          <w:rFonts w:ascii="Times New Roman" w:hAnsi="Times New Roman"/>
        </w:rPr>
        <w:t>) et 2021(</w:t>
      </w:r>
      <w:hyperlink r:id="rId16" w:history="1">
        <w:r>
          <w:rPr>
            <w:rStyle w:val="Hyperlink"/>
            <w:rFonts w:ascii="Times New Roman" w:hAnsi="Times New Roman"/>
          </w:rPr>
          <w:t>SP(2022)123</w:t>
        </w:r>
      </w:hyperlink>
      <w:r>
        <w:rPr>
          <w:rFonts w:ascii="Times New Roman" w:hAnsi="Times New Roman"/>
        </w:rPr>
        <w:t xml:space="preserve">). </w:t>
      </w:r>
    </w:p>
    <w:p w14:paraId="1D8A8350" w14:textId="5AD327D9" w:rsidR="005E4AC7" w:rsidRPr="00D078F7" w:rsidRDefault="005E4AC7" w:rsidP="0021639E">
      <w:pPr>
        <w:spacing w:after="120"/>
        <w:rPr>
          <w:rFonts w:ascii="Times New Roman" w:hAnsi="Times New Roman"/>
          <w:i/>
          <w:szCs w:val="24"/>
        </w:rPr>
      </w:pPr>
      <w:r>
        <w:rPr>
          <w:rFonts w:ascii="Times New Roman" w:hAnsi="Times New Roman"/>
          <w:i/>
        </w:rPr>
        <w:t>Paragraphe 23</w:t>
      </w:r>
    </w:p>
    <w:p w14:paraId="325B0900" w14:textId="59D83EB8" w:rsidR="005E4AC7" w:rsidRPr="00D078F7" w:rsidRDefault="005E4AC7" w:rsidP="0021639E">
      <w:pPr>
        <w:spacing w:after="120"/>
        <w:rPr>
          <w:rFonts w:ascii="Times New Roman" w:hAnsi="Times New Roman"/>
          <w:iCs/>
          <w:szCs w:val="24"/>
        </w:rPr>
      </w:pPr>
      <w:r>
        <w:rPr>
          <w:rFonts w:ascii="Times New Roman" w:hAnsi="Times New Roman"/>
        </w:rPr>
        <w:t xml:space="preserve">La Commission a déjà répondu à cet appel dans sa réponse à la résolution du Parlement adoptée le 14 septembre 2021: voir </w:t>
      </w:r>
      <w:hyperlink r:id="rId17" w:history="1">
        <w:r>
          <w:rPr>
            <w:rStyle w:val="Hyperlink"/>
            <w:rFonts w:ascii="Times New Roman" w:hAnsi="Times New Roman"/>
          </w:rPr>
          <w:t>SP(2021)709</w:t>
        </w:r>
      </w:hyperlink>
    </w:p>
    <w:p w14:paraId="7EF8AAB3" w14:textId="5E12B835" w:rsidR="00E473F9" w:rsidRPr="00D078F7" w:rsidRDefault="00E473F9" w:rsidP="0021639E">
      <w:pPr>
        <w:spacing w:after="120"/>
        <w:rPr>
          <w:rFonts w:ascii="Times New Roman" w:hAnsi="Times New Roman"/>
          <w:iCs/>
          <w:szCs w:val="24"/>
        </w:rPr>
      </w:pPr>
      <w:r>
        <w:rPr>
          <w:rFonts w:ascii="Times New Roman" w:hAnsi="Times New Roman"/>
        </w:rPr>
        <w:t>En ce qui concerne les familles arc-en-ciel, la Commission a présenté, le 7 décembre 2022, une proposition de règlement sur la reconnaissance de la parentalité entre les États membres.</w:t>
      </w:r>
    </w:p>
    <w:p w14:paraId="5B0101C2" w14:textId="0F31B83A" w:rsidR="009A3939" w:rsidRPr="00D078F7" w:rsidRDefault="009A3939" w:rsidP="0021639E">
      <w:pPr>
        <w:spacing w:after="120"/>
        <w:rPr>
          <w:rFonts w:ascii="Times New Roman" w:hAnsi="Times New Roman"/>
          <w:i/>
          <w:szCs w:val="24"/>
        </w:rPr>
      </w:pPr>
      <w:r>
        <w:rPr>
          <w:rFonts w:ascii="Times New Roman" w:hAnsi="Times New Roman"/>
          <w:i/>
        </w:rPr>
        <w:t>Paragraphes 25 et 29</w:t>
      </w:r>
    </w:p>
    <w:p w14:paraId="2A2BEAEE" w14:textId="7CA666D9" w:rsidR="00F808FD" w:rsidRPr="00D078F7" w:rsidRDefault="00F808FD" w:rsidP="0021639E">
      <w:pPr>
        <w:spacing w:after="120"/>
        <w:rPr>
          <w:rFonts w:ascii="Times New Roman" w:hAnsi="Times New Roman"/>
          <w:iCs/>
          <w:szCs w:val="24"/>
        </w:rPr>
      </w:pPr>
      <w:r>
        <w:rPr>
          <w:rFonts w:ascii="Times New Roman" w:hAnsi="Times New Roman"/>
        </w:rPr>
        <w:t>En collaboration avec les États membres, la Commission s’emploie à garantir la transposition et la mise en œuvre correctes de la législation de l’UE en matière d’environnement, comme cela a été réaffirmé dans le pacte vert pour l’Europe. La Commission utilise tout l’éventail d’outils afin d’améliorer la situation sur le terrain dans les États membres, y compris les financements, l’assistance technique et les mesures répressives. L’</w:t>
      </w:r>
      <w:hyperlink r:id="rId18" w:history="1">
        <w:r>
          <w:rPr>
            <w:rStyle w:val="Hyperlink"/>
            <w:rFonts w:ascii="Times New Roman" w:hAnsi="Times New Roman"/>
          </w:rPr>
          <w:t>examen de la mise en œuvre de la politique environnementale</w:t>
        </w:r>
      </w:hyperlink>
      <w:r>
        <w:rPr>
          <w:rFonts w:ascii="Times New Roman" w:hAnsi="Times New Roman"/>
        </w:rPr>
        <w:t xml:space="preserve"> en est un bon exemple. Le pacte vert pour l’Europe a souligné que l’examen de la mise en œuvre de la politique environnementale devrait jouer un rôle essentiel dans la cartographie de la situation dans chaque État membre. En outre, le plan d’investissement du pacte vert pour l’Europe a souligné que l’examen de la mise en œuvre de la politique environnementale (ainsi que d’autres instruments tels que le Semestre européen et les plans nationaux en matière d’énergie et de climat dans le cadre de l’union de l’énergie) permettra également de recenser les besoins de chaque État membre en matière d’investissement dans les secteurs clés de la politique environnementale. Le rapport d’examen de la mise en œuvre de la politique environnementale de 2022 a certes mis en évidence certains progrès dans tous les domaines de l’environnement mais il a également montré la persistance de déficits de mise en œuvre et d’investissement dans de nombreux États membres. La Commission est préoccupée par l’état de notre environnement, étant donné que les décharges illégales continuent d’être exploitées dans l’UE, que les infrastructures de traitement des eaux usées font défaut, que l’air est pollué et que la biodiversité précieuse est en déclin. Les États membres doivent intensifier leurs efforts pour se conformer aux règles et normes arrêtées d’un commun accord.</w:t>
      </w:r>
    </w:p>
    <w:p w14:paraId="49AD5643" w14:textId="5362FC49" w:rsidR="00F808FD" w:rsidRPr="00D078F7" w:rsidRDefault="00F808FD" w:rsidP="0021639E">
      <w:pPr>
        <w:spacing w:after="120"/>
        <w:rPr>
          <w:rFonts w:ascii="Times New Roman" w:hAnsi="Times New Roman"/>
          <w:iCs/>
          <w:szCs w:val="24"/>
        </w:rPr>
      </w:pPr>
      <w:r>
        <w:rPr>
          <w:rFonts w:ascii="Times New Roman" w:hAnsi="Times New Roman"/>
        </w:rPr>
        <w:lastRenderedPageBreak/>
        <w:t>En ce qui concerne l’application de la législation environnementale de l’UE, la Commission suit la politique définie dans ses communications de décembre 2016</w:t>
      </w:r>
      <w:r>
        <w:rPr>
          <w:rFonts w:ascii="Times New Roman" w:hAnsi="Times New Roman"/>
          <w:iCs/>
          <w:szCs w:val="24"/>
          <w:vertAlign w:val="superscript"/>
        </w:rPr>
        <w:footnoteReference w:id="4"/>
      </w:r>
      <w:r>
        <w:rPr>
          <w:rFonts w:ascii="Times New Roman" w:hAnsi="Times New Roman"/>
        </w:rPr>
        <w:t xml:space="preserve"> et d’octobre 2022</w:t>
      </w:r>
      <w:r>
        <w:rPr>
          <w:rFonts w:ascii="Times New Roman" w:hAnsi="Times New Roman"/>
          <w:iCs/>
          <w:szCs w:val="24"/>
          <w:vertAlign w:val="superscript"/>
        </w:rPr>
        <w:footnoteReference w:id="5"/>
      </w:r>
      <w:r>
        <w:rPr>
          <w:rFonts w:ascii="Times New Roman" w:hAnsi="Times New Roman"/>
        </w:rPr>
        <w:t>. La Commission donne la priorité aux mesures répressives liées à la transposition incorrecte de la législation environnementale de l’UE ainsi qu’aux questions de gouvernance environnementale, un domaine transversal qui sous-tend la réalisation des priorités du pacte vert pour l’Europe. Il est essentiel de s’attaquer aux problèmes de gouvernance pour améliorer l’application de la législation au niveau national, afin que les citoyens puissent accéder aux mécanismes nationaux et aux systèmes judiciaires pour résoudre les affaires locales.</w:t>
      </w:r>
    </w:p>
    <w:p w14:paraId="19D32421" w14:textId="54A3AEF2" w:rsidR="00F808FD" w:rsidRPr="00D078F7" w:rsidRDefault="00F808FD" w:rsidP="0021639E">
      <w:pPr>
        <w:spacing w:after="120"/>
        <w:rPr>
          <w:rFonts w:ascii="Times New Roman" w:hAnsi="Times New Roman"/>
          <w:iCs/>
          <w:szCs w:val="24"/>
        </w:rPr>
      </w:pPr>
      <w:r>
        <w:rPr>
          <w:rFonts w:ascii="Times New Roman" w:hAnsi="Times New Roman"/>
        </w:rPr>
        <w:t xml:space="preserve">La Commission accorde également une attention particulière aux cas révélant des défaillances systémiques dans la mise en œuvre de l’acquis ainsi qu’aux projets susceptibles de causer des dommages irréversibles à l’environnement ou à la santé publique à grande échelle. Le </w:t>
      </w:r>
      <w:hyperlink r:id="rId19" w:history="1">
        <w:r>
          <w:rPr>
            <w:rStyle w:val="Hyperlink"/>
            <w:rFonts w:ascii="Times New Roman" w:hAnsi="Times New Roman"/>
          </w:rPr>
          <w:t>rapport annuel d’activité 2021</w:t>
        </w:r>
      </w:hyperlink>
      <w:r>
        <w:rPr>
          <w:rFonts w:ascii="Times New Roman" w:hAnsi="Times New Roman"/>
        </w:rPr>
        <w:t xml:space="preserve"> contient plusieurs exemples de mesures coercitives prises par la Commission en ce qui concerne les piliers environnementaux du pacte vert pour l’Europe.</w:t>
      </w:r>
    </w:p>
    <w:p w14:paraId="014D6D46" w14:textId="25505F78" w:rsidR="00DC2D22" w:rsidRPr="00D078F7" w:rsidRDefault="00DC2D22" w:rsidP="00CA3A63">
      <w:pPr>
        <w:keepNext/>
        <w:keepLines/>
        <w:spacing w:after="120"/>
        <w:rPr>
          <w:rFonts w:ascii="Times New Roman" w:hAnsi="Times New Roman"/>
          <w:i/>
          <w:szCs w:val="24"/>
        </w:rPr>
      </w:pPr>
      <w:r>
        <w:rPr>
          <w:rFonts w:ascii="Times New Roman" w:hAnsi="Times New Roman"/>
          <w:i/>
        </w:rPr>
        <w:t xml:space="preserve">Paragraphe 26 </w:t>
      </w:r>
    </w:p>
    <w:p w14:paraId="0A08FE58" w14:textId="3B3EB819" w:rsidR="00332944" w:rsidRPr="00D078F7" w:rsidRDefault="00332944" w:rsidP="00CA3A63">
      <w:pPr>
        <w:keepNext/>
        <w:keepLines/>
        <w:spacing w:after="120"/>
        <w:rPr>
          <w:rFonts w:ascii="Times New Roman" w:hAnsi="Times New Roman"/>
        </w:rPr>
      </w:pPr>
      <w:r>
        <w:rPr>
          <w:rFonts w:ascii="Times New Roman" w:hAnsi="Times New Roman"/>
        </w:rPr>
        <w:t xml:space="preserve">La Commission convient qu’il est nécessaire d’intensifier la lutte contre la criminalité environnementale. À cette fin, elle a adopté, le 15 décembre 2021, une proposition de directive visant à remplacer la directive </w:t>
      </w:r>
      <w:hyperlink r:id="rId20" w:history="1">
        <w:r>
          <w:rPr>
            <w:rStyle w:val="Hyperlink"/>
            <w:rFonts w:ascii="Times New Roman" w:hAnsi="Times New Roman"/>
          </w:rPr>
          <w:t>2008/99</w:t>
        </w:r>
      </w:hyperlink>
      <w:r>
        <w:rPr>
          <w:rFonts w:ascii="Times New Roman" w:hAnsi="Times New Roman"/>
        </w:rPr>
        <w:t xml:space="preserve"> relative à la protection de l'environnement par le droit pénal. La proposition vise à définir plus précisément les catégories de criminalité environnementale et à en ajouter de nouvelles, à mettre en place des sanctions plus dissuasives et plus efficaces pour les infractions environnementales et à faire en sorte que les États membres prennent des mesures pour renforcer la chaîne répressive nationale grâce à une formation adéquate et régulière de la police, des procureurs et des juges pénaux, ainsi qu’aux ressources financières et humaines nécessaires.</w:t>
      </w:r>
    </w:p>
    <w:p w14:paraId="11B7786D" w14:textId="4ED9F387" w:rsidR="00F808FD" w:rsidRPr="00D078F7" w:rsidRDefault="00F808FD" w:rsidP="0021639E">
      <w:pPr>
        <w:spacing w:after="120"/>
        <w:rPr>
          <w:rFonts w:ascii="Times New Roman" w:hAnsi="Times New Roman"/>
          <w:iCs/>
          <w:szCs w:val="24"/>
        </w:rPr>
      </w:pPr>
      <w:r>
        <w:rPr>
          <w:rFonts w:ascii="Times New Roman" w:hAnsi="Times New Roman"/>
        </w:rPr>
        <w:t xml:space="preserve">De plus, la Commission continuera de soutenir les États membres en offrant aux professionnels des services répressifs et à leurs réseaux une plateforme de discussions stratégiques et en en tirant parti de leurs connaissances. Les questions liées à la lutte contre la criminalité environnementale sont régulièrement examinées lors des réunions du forum sur le respect de la législation environnementale et la gouvernance environnementale. Le forum a été institué en tant que groupe d’experts de haut niveau de la Commission par la décision </w:t>
      </w:r>
      <w:hyperlink r:id="rId21" w:history="1">
        <w:r>
          <w:rPr>
            <w:rStyle w:val="Hyperlink"/>
            <w:rFonts w:ascii="Times New Roman" w:hAnsi="Times New Roman"/>
          </w:rPr>
          <w:t>C(2018)10</w:t>
        </w:r>
      </w:hyperlink>
      <w:r>
        <w:rPr>
          <w:rFonts w:ascii="Times New Roman" w:hAnsi="Times New Roman"/>
        </w:rPr>
        <w:t xml:space="preserve"> de la Commission en même temps qu’a été adopté le plan d’action de la Commission concernant l’assurance de la con</w:t>
      </w:r>
      <w:r w:rsidR="00EF3960">
        <w:rPr>
          <w:rFonts w:ascii="Times New Roman" w:hAnsi="Times New Roman"/>
        </w:rPr>
        <w:t>formité environnementale — voir</w:t>
      </w:r>
      <w:r>
        <w:rPr>
          <w:rFonts w:ascii="Times New Roman" w:hAnsi="Times New Roman"/>
        </w:rPr>
        <w:t xml:space="preserve"> </w:t>
      </w:r>
      <w:hyperlink r:id="rId22" w:history="1">
        <w:r>
          <w:rPr>
            <w:rStyle w:val="Hyperlink"/>
            <w:rFonts w:ascii="Times New Roman" w:hAnsi="Times New Roman"/>
          </w:rPr>
          <w:t>COM (2018)10</w:t>
        </w:r>
      </w:hyperlink>
      <w:r>
        <w:rPr>
          <w:rFonts w:ascii="Times New Roman" w:hAnsi="Times New Roman"/>
        </w:rPr>
        <w:t xml:space="preserve">. Les </w:t>
      </w:r>
      <w:hyperlink r:id="rId23" w:history="1">
        <w:r>
          <w:rPr>
            <w:rStyle w:val="Hyperlink"/>
            <w:rFonts w:ascii="Times New Roman" w:hAnsi="Times New Roman"/>
          </w:rPr>
          <w:t>orientations</w:t>
        </w:r>
      </w:hyperlink>
      <w:r>
        <w:rPr>
          <w:rFonts w:ascii="Times New Roman" w:hAnsi="Times New Roman"/>
        </w:rPr>
        <w:t xml:space="preserve"> sur la lutte contre la criminalité environnementale et les infractions connexes, approuvées par le forum, sont désormais disponibles dans différentes langues. Un </w:t>
      </w:r>
      <w:hyperlink r:id="rId24" w:history="1">
        <w:r>
          <w:rPr>
            <w:rStyle w:val="Hyperlink"/>
            <w:rFonts w:ascii="Times New Roman" w:hAnsi="Times New Roman"/>
          </w:rPr>
          <w:t>guide de synthèse</w:t>
        </w:r>
      </w:hyperlink>
      <w:r>
        <w:rPr>
          <w:rFonts w:ascii="Times New Roman" w:hAnsi="Times New Roman"/>
        </w:rPr>
        <w:t xml:space="preserve"> est également disponible.</w:t>
      </w:r>
    </w:p>
    <w:p w14:paraId="16121B83" w14:textId="6D06ABD9" w:rsidR="00332944" w:rsidRPr="00D078F7" w:rsidRDefault="00332944" w:rsidP="0021639E">
      <w:pPr>
        <w:spacing w:after="120"/>
        <w:rPr>
          <w:rFonts w:ascii="Times New Roman" w:hAnsi="Times New Roman"/>
        </w:rPr>
      </w:pPr>
      <w:r>
        <w:rPr>
          <w:rFonts w:ascii="Times New Roman" w:hAnsi="Times New Roman"/>
        </w:rPr>
        <w:t xml:space="preserve">Le Conseil européen, avec l’approbation du Parlement européen et après consultation de la Commission, peut décider d’étendre les compétences du Parquet européen conformément à l’article 86, paragraphe 4, du traité sur le fonctionnement de l’Union européenne (TFUE). La Commission a confirmé qu’elle était disposée à examiner à moyen terme la nécessité et la faisabilité d’une telle extension des compétences du Parquet européen. </w:t>
      </w:r>
    </w:p>
    <w:p w14:paraId="69F05ECB" w14:textId="17BB7BE1" w:rsidR="009A3939" w:rsidRPr="00D078F7" w:rsidRDefault="009A3939" w:rsidP="0021639E">
      <w:pPr>
        <w:spacing w:after="120"/>
        <w:rPr>
          <w:rFonts w:ascii="Times New Roman" w:hAnsi="Times New Roman"/>
          <w:i/>
          <w:szCs w:val="24"/>
        </w:rPr>
      </w:pPr>
      <w:r>
        <w:rPr>
          <w:rFonts w:ascii="Times New Roman" w:hAnsi="Times New Roman"/>
          <w:i/>
        </w:rPr>
        <w:t xml:space="preserve">Paragraphe 28 </w:t>
      </w:r>
    </w:p>
    <w:p w14:paraId="2CC0EE11" w14:textId="15D90824" w:rsidR="008323AF" w:rsidRPr="00D078F7" w:rsidRDefault="008323AF" w:rsidP="0021639E">
      <w:pPr>
        <w:spacing w:after="120"/>
        <w:rPr>
          <w:rFonts w:ascii="Times New Roman" w:hAnsi="Times New Roman"/>
          <w:iCs/>
          <w:szCs w:val="24"/>
        </w:rPr>
      </w:pPr>
      <w:r>
        <w:rPr>
          <w:rFonts w:ascii="Times New Roman" w:hAnsi="Times New Roman"/>
        </w:rPr>
        <w:t xml:space="preserve">Dans le cadre du </w:t>
      </w:r>
      <w:hyperlink r:id="rId25" w:history="1">
        <w:r>
          <w:rPr>
            <w:rStyle w:val="Hyperlink"/>
            <w:rFonts w:ascii="Times New Roman" w:hAnsi="Times New Roman"/>
          </w:rPr>
          <w:t>plan d'action pour la stratégie de sûreté maritime de l'UE (PA SSMUE)</w:t>
        </w:r>
      </w:hyperlink>
      <w:r>
        <w:rPr>
          <w:rFonts w:ascii="Times New Roman" w:hAnsi="Times New Roman"/>
        </w:rPr>
        <w:t xml:space="preserve"> de 2018, la Commission invite les États membres à promouvoir des programmes associant les organisations régionales afin d’optimiser l’élimination des munitions chimiques immergées </w:t>
      </w:r>
      <w:r>
        <w:rPr>
          <w:rFonts w:ascii="Times New Roman" w:hAnsi="Times New Roman"/>
        </w:rPr>
        <w:lastRenderedPageBreak/>
        <w:t>en mer et des munitions non explosées. Des projets spécifiques ont déjà été financés au titre du Fonds européen de développement régional (FEDER) et du Fonds européen pour les affaires maritimes et la pêche (FEAMP).</w:t>
      </w:r>
    </w:p>
    <w:p w14:paraId="0079C7F0" w14:textId="421A0A12" w:rsidR="008323AF" w:rsidRPr="00D078F7" w:rsidRDefault="008323AF" w:rsidP="0021639E">
      <w:pPr>
        <w:spacing w:after="120"/>
        <w:rPr>
          <w:rFonts w:ascii="Times New Roman" w:hAnsi="Times New Roman"/>
          <w:iCs/>
          <w:szCs w:val="24"/>
        </w:rPr>
      </w:pPr>
      <w:r>
        <w:rPr>
          <w:rFonts w:ascii="Times New Roman" w:hAnsi="Times New Roman"/>
        </w:rPr>
        <w:t>Dans le cadre de la mise en œuvre du PA SSMUE, la Commission a organisé en 2019 le colloque sur «les défis posés par les munitions non explosées en mer» afin de permettre une meilleure compréhension des défis en jeu. Par la suite, la Commission a lancé une étude externe visant à recueillir des connaissances sur la cartographie des munitions non explosées (MNE), à rationaliser les meilleures pratiques à mettre en œuvre en cas de découverte accidentelle de munitions immergées en mer et à répondre aux préoccupations environnementales pertinentes.</w:t>
      </w:r>
    </w:p>
    <w:p w14:paraId="76366551" w14:textId="77777777" w:rsidR="008323AF" w:rsidRPr="00D078F7" w:rsidRDefault="008323AF" w:rsidP="0021639E">
      <w:pPr>
        <w:spacing w:after="120"/>
        <w:rPr>
          <w:rFonts w:ascii="Times New Roman" w:hAnsi="Times New Roman"/>
          <w:iCs/>
          <w:szCs w:val="24"/>
        </w:rPr>
      </w:pPr>
      <w:r>
        <w:rPr>
          <w:rFonts w:ascii="Times New Roman" w:hAnsi="Times New Roman"/>
        </w:rPr>
        <w:t>Dans le contexte de la recherche et de l’innovation, dans le cadre du pôle 3 du programme de travail d’Horizon Europe pour la période 2023-2024, la Commission a introduit un thème visant à lutter contre le problème des MNE au moyen du renforcement des capacités de détection, de classification, d’inspection, d’évaluation et de neutralisation des MNE en mer et de l’amélioration de la sûreté et de la sécurité des opérateurs économiques maritimes et des citoyens de l’UE.</w:t>
      </w:r>
    </w:p>
    <w:p w14:paraId="06638E7F" w14:textId="5AC88AF5" w:rsidR="009A3939" w:rsidRPr="00D078F7" w:rsidRDefault="00D078F7" w:rsidP="0021639E">
      <w:pPr>
        <w:spacing w:after="120"/>
        <w:rPr>
          <w:rFonts w:ascii="Times New Roman" w:hAnsi="Times New Roman"/>
          <w:iCs/>
          <w:szCs w:val="24"/>
        </w:rPr>
      </w:pPr>
      <w:r>
        <w:rPr>
          <w:rFonts w:ascii="Times New Roman" w:hAnsi="Times New Roman"/>
        </w:rPr>
        <w:t>La Commission et le Service européen pour l’action extérieure mettent actuellement à jour le PA SSMUE afin de traiter la question des munitions dans le cadre d’une approche régionale et horizontale.</w:t>
      </w:r>
    </w:p>
    <w:p w14:paraId="77E0F15D" w14:textId="7C0128D4" w:rsidR="009A3939" w:rsidRPr="00D078F7" w:rsidRDefault="009A3939" w:rsidP="0021639E">
      <w:pPr>
        <w:spacing w:after="120"/>
        <w:rPr>
          <w:rFonts w:ascii="Times New Roman" w:hAnsi="Times New Roman"/>
          <w:i/>
          <w:szCs w:val="24"/>
        </w:rPr>
      </w:pPr>
      <w:r>
        <w:rPr>
          <w:rFonts w:ascii="Times New Roman" w:hAnsi="Times New Roman"/>
          <w:i/>
        </w:rPr>
        <w:t>Paragraphe 32</w:t>
      </w:r>
    </w:p>
    <w:p w14:paraId="541D8CC5" w14:textId="53885A7B" w:rsidR="00E473F9" w:rsidRPr="00D078F7" w:rsidRDefault="005722FE" w:rsidP="0021639E">
      <w:pPr>
        <w:spacing w:after="120"/>
        <w:rPr>
          <w:rFonts w:ascii="Times New Roman" w:hAnsi="Times New Roman"/>
          <w:iCs/>
          <w:szCs w:val="24"/>
        </w:rPr>
      </w:pPr>
      <w:r>
        <w:rPr>
          <w:rFonts w:ascii="Times New Roman" w:hAnsi="Times New Roman"/>
        </w:rPr>
        <w:t>Les États membres (en l’occurrence, la France) sont chargés d’enquêter sur des affaires pénales, telles que l’assassinat d’un chauffeur de camion roumain sur un parking autoroutier à Calais (France) en 2021.</w:t>
      </w:r>
    </w:p>
    <w:p w14:paraId="1596BA86" w14:textId="5DFD2C2B" w:rsidR="00E473F9" w:rsidRPr="00D078F7" w:rsidRDefault="005722FE" w:rsidP="0021639E">
      <w:pPr>
        <w:spacing w:after="120"/>
        <w:rPr>
          <w:rFonts w:ascii="Times New Roman" w:hAnsi="Times New Roman"/>
          <w:iCs/>
          <w:szCs w:val="24"/>
        </w:rPr>
      </w:pPr>
      <w:r>
        <w:rPr>
          <w:rFonts w:ascii="Times New Roman" w:hAnsi="Times New Roman"/>
        </w:rPr>
        <w:t>Il existe plusieurs dispositions législatives et des outils spécifiques pour la prévention et la détection des infractions pénales au niveau de l’UE, ainsi que pour les enquêtes en la matière, afin de faciliter la coopération entre les services répressifs des États membres, notamment la décision-cadre 2006/960/JAI du Conseil (dite «décision-cadre suédoise») relative à l’échange d’informations, la décision d’enquête européenne (DEE), le système d’information Schengen, Europol et Eurojust.</w:t>
      </w:r>
    </w:p>
    <w:p w14:paraId="595236D8" w14:textId="77777777" w:rsidR="00716ECC" w:rsidRPr="00D078F7" w:rsidRDefault="00716ECC" w:rsidP="0021639E">
      <w:pPr>
        <w:spacing w:after="120"/>
        <w:rPr>
          <w:rFonts w:ascii="Times New Roman" w:hAnsi="Times New Roman"/>
          <w:iCs/>
          <w:szCs w:val="24"/>
        </w:rPr>
      </w:pPr>
      <w:r>
        <w:rPr>
          <w:rFonts w:ascii="Times New Roman" w:hAnsi="Times New Roman"/>
        </w:rPr>
        <w:t>CARPOL est le réseau des points de contact de l’UE pour la répression de la criminalité transfrontalière visant les véhicules, établi sur la base de la décision 2004/919/CE du Conseil concernant la répression de la criminalité visant les véhicules et ayant des incidences transfrontières.</w:t>
      </w:r>
    </w:p>
    <w:p w14:paraId="527E51EA" w14:textId="3103F820" w:rsidR="00E473F9" w:rsidRPr="00D078F7" w:rsidRDefault="00E473F9" w:rsidP="0021639E">
      <w:pPr>
        <w:spacing w:after="120"/>
        <w:rPr>
          <w:rFonts w:ascii="Times New Roman" w:hAnsi="Times New Roman"/>
          <w:iCs/>
          <w:szCs w:val="24"/>
        </w:rPr>
      </w:pPr>
      <w:r>
        <w:rPr>
          <w:rFonts w:ascii="Times New Roman" w:hAnsi="Times New Roman"/>
        </w:rPr>
        <w:t>En décembre 2021, la Commission a adopté un train de mesures en matière de coopération policière afin de faciliter et de renforcer encore la coopération des services répressifs des États membres. Ce train de mesures comprend une proposition de règlement relatif à l’échange automatisé de données dans le cadre de la coopération policière («Prüm II»), modifiant les décisions 2008/615/JAI et 2008/616/JAI du Conseil et les règlements (UE) 2018/1726, 2019/817 et 2019/818 du Parlement européen et du Conseil, une proposition de directive relative à l’échange d’informations entre les services répressifs des États membres et une proposition de recommandation du Conseil relative à la coopération opérationnelle des services répressifs, qui a été adoptée à l’unanimité par les États membres en juin 2022.</w:t>
      </w:r>
    </w:p>
    <w:p w14:paraId="31725FAC" w14:textId="6FF3BCBD" w:rsidR="004D54D1" w:rsidRPr="00D078F7" w:rsidRDefault="00E473F9" w:rsidP="0021639E">
      <w:pPr>
        <w:spacing w:after="120"/>
        <w:rPr>
          <w:rFonts w:ascii="Times New Roman" w:hAnsi="Times New Roman"/>
          <w:iCs/>
          <w:szCs w:val="24"/>
        </w:rPr>
      </w:pPr>
      <w:r>
        <w:rPr>
          <w:rFonts w:ascii="Times New Roman" w:hAnsi="Times New Roman"/>
        </w:rPr>
        <w:t xml:space="preserve">La Commission soutient également la plateforme pluridisciplinaire européenne contre les menaces criminelles (EMPACT), notamment les activités mises en place pour lutter contre la «criminalité organisée contre les biens», l’une des dix priorités de l’UE en matière de criminalité du cycle EMPACT 2022-2025 en cours. L’objectif de cette priorité EMPACT est de «déstabiliser les réseaux criminels impliqués dans les vols et cambriolages organisés, les vols qualifiés organisés, la criminalité liée au trafic de véhicules volés et le commerce </w:t>
      </w:r>
      <w:r>
        <w:rPr>
          <w:rFonts w:ascii="Times New Roman" w:hAnsi="Times New Roman"/>
        </w:rPr>
        <w:lastRenderedPageBreak/>
        <w:t>illégal de biens culturels, en mettant particulièrement l'accent sur ceux qui sont très mobiles et qui opèrent dans l'ensemble de l'UE».</w:t>
      </w:r>
    </w:p>
    <w:p w14:paraId="56542AAE" w14:textId="749C82C3" w:rsidR="00953E1F" w:rsidRPr="00D078F7" w:rsidRDefault="00953E1F" w:rsidP="0021639E">
      <w:pPr>
        <w:spacing w:after="120"/>
        <w:rPr>
          <w:rFonts w:ascii="Times New Roman" w:hAnsi="Times New Roman"/>
          <w:iCs/>
          <w:szCs w:val="24"/>
        </w:rPr>
      </w:pPr>
      <w:r>
        <w:rPr>
          <w:rFonts w:ascii="Times New Roman" w:hAnsi="Times New Roman"/>
        </w:rPr>
        <w:t>Le 7 avril 2022, la Commission a adopté un acte délégué sur l’élaboration de normes et de procédures de certification pour des aires de stationnement sûres et sécurisées qui est entré en vigueur le 18 juillet 2022.</w:t>
      </w:r>
    </w:p>
    <w:p w14:paraId="66A9AF8B" w14:textId="12E7DAA5" w:rsidR="005722FE" w:rsidRPr="00D078F7" w:rsidRDefault="005722FE" w:rsidP="0021639E">
      <w:pPr>
        <w:spacing w:after="120"/>
        <w:rPr>
          <w:rFonts w:ascii="Times New Roman" w:hAnsi="Times New Roman"/>
          <w:iCs/>
          <w:szCs w:val="24"/>
        </w:rPr>
      </w:pPr>
      <w:r>
        <w:rPr>
          <w:rFonts w:ascii="Times New Roman" w:hAnsi="Times New Roman"/>
        </w:rPr>
        <w:t>La Commission soutient les États membres et les opérateurs privés dans leurs efforts visant à construire davantage d’aires de stationnement sûres et sécurisées au moyen du financement du développement de ces infrastructures dans le cadre du mécanisme pour l’interconnexion en Europe (MIE). Le dernier appel lancé au titre du MIE en septembre dernier met à disposition 250 millions d’EUR pour le financement de cette priorité.</w:t>
      </w:r>
    </w:p>
    <w:p w14:paraId="75F63C3C" w14:textId="63BBA1F6" w:rsidR="00953E1F" w:rsidRPr="00D078F7" w:rsidRDefault="00953E1F" w:rsidP="0021639E">
      <w:pPr>
        <w:spacing w:after="120"/>
        <w:rPr>
          <w:rFonts w:ascii="Times New Roman" w:hAnsi="Times New Roman"/>
          <w:iCs/>
          <w:szCs w:val="24"/>
        </w:rPr>
      </w:pPr>
      <w:r>
        <w:rPr>
          <w:rFonts w:ascii="Times New Roman" w:hAnsi="Times New Roman"/>
        </w:rPr>
        <w:t>Dans le cadre de la révision du règlement relatif au réseau transeuropéen de transport (RTE-T), la Commission a proposé d’introduire l’obligation pour les États membres de disposer d’aires de stationnement sûres et sécurisées sur le réseau RTE-T à une distance maximale de 100 km l’un de l’autre, sur le réseau central RTE-T et sur le réseau central étendu au plus tard le 31 décembre 2040.</w:t>
      </w:r>
    </w:p>
    <w:p w14:paraId="2AE53B35" w14:textId="56003275" w:rsidR="007601C1" w:rsidRPr="00D078F7" w:rsidRDefault="00953E1F" w:rsidP="0021639E">
      <w:pPr>
        <w:spacing w:after="120"/>
        <w:rPr>
          <w:rFonts w:ascii="Times New Roman" w:hAnsi="Times New Roman"/>
          <w:iCs/>
          <w:szCs w:val="24"/>
        </w:rPr>
      </w:pPr>
      <w:r>
        <w:rPr>
          <w:rFonts w:ascii="Times New Roman" w:hAnsi="Times New Roman"/>
        </w:rPr>
        <w:t>Malheureusement, l’orientation générale dégagée par les États membres sur la révision du RTE-T le 5 décembre 2022 supprime cette obligation juridique et ne prévoit qu’une approche fondée sur le «meilleur effort» pour développer ces zones à une distance moyenne de 150 km.</w:t>
      </w:r>
      <w:r>
        <w:rPr>
          <w:rFonts w:ascii="Times New Roman" w:hAnsi="Times New Roman"/>
          <w:b/>
          <w:color w:val="FF0000"/>
          <w:sz w:val="22"/>
        </w:rPr>
        <w:t xml:space="preserve"> </w:t>
      </w:r>
      <w:r>
        <w:rPr>
          <w:rFonts w:ascii="Times New Roman" w:hAnsi="Times New Roman"/>
        </w:rPr>
        <w:t>La Commission compte sur le soutien du Parlement européen dans les négociations interinstitutionnelles pour faire en sorte que le règlement RTE-T révisé comporte des obligations précises en matière de stationnement sûr et sécurisé sur le réseau RTE-T.</w:t>
      </w:r>
    </w:p>
    <w:p w14:paraId="588EB04A" w14:textId="0FA3B853" w:rsidR="004D54D1" w:rsidRPr="00D078F7" w:rsidRDefault="004D54D1" w:rsidP="0021639E">
      <w:pPr>
        <w:spacing w:after="120"/>
        <w:rPr>
          <w:rFonts w:ascii="Times New Roman" w:hAnsi="Times New Roman"/>
          <w:i/>
          <w:szCs w:val="24"/>
        </w:rPr>
      </w:pPr>
      <w:r>
        <w:rPr>
          <w:rFonts w:ascii="Times New Roman" w:hAnsi="Times New Roman"/>
          <w:i/>
        </w:rPr>
        <w:t>Paragraphe 35</w:t>
      </w:r>
    </w:p>
    <w:p w14:paraId="58DA80C7" w14:textId="30415926" w:rsidR="004D54D1" w:rsidRPr="00D078F7" w:rsidRDefault="004D54D1" w:rsidP="0021639E">
      <w:pPr>
        <w:spacing w:after="120"/>
        <w:rPr>
          <w:rFonts w:ascii="Times New Roman" w:hAnsi="Times New Roman"/>
          <w:iCs/>
          <w:szCs w:val="24"/>
        </w:rPr>
      </w:pPr>
      <w:r>
        <w:rPr>
          <w:rFonts w:ascii="Times New Roman" w:hAnsi="Times New Roman"/>
        </w:rPr>
        <w:t>La Commission a déjà répondu à cet appel dans ses réponses aux résolutions adoptées en 2020 (</w:t>
      </w:r>
      <w:hyperlink r:id="rId26" w:history="1">
        <w:r>
          <w:rPr>
            <w:rStyle w:val="Hyperlink"/>
            <w:rFonts w:ascii="Times New Roman" w:hAnsi="Times New Roman"/>
          </w:rPr>
          <w:t>SP(2021)190</w:t>
        </w:r>
      </w:hyperlink>
      <w:r>
        <w:rPr>
          <w:rFonts w:ascii="Times New Roman" w:hAnsi="Times New Roman"/>
        </w:rPr>
        <w:t>) et en 2021 (</w:t>
      </w:r>
      <w:hyperlink r:id="rId27" w:history="1">
        <w:r>
          <w:rPr>
            <w:rStyle w:val="Hyperlink"/>
            <w:rFonts w:ascii="Times New Roman" w:hAnsi="Times New Roman"/>
          </w:rPr>
          <w:t>SP(2022)123</w:t>
        </w:r>
      </w:hyperlink>
      <w:r>
        <w:rPr>
          <w:rFonts w:ascii="Times New Roman" w:hAnsi="Times New Roman"/>
        </w:rPr>
        <w:t>).</w:t>
      </w:r>
    </w:p>
    <w:p w14:paraId="476CDC16" w14:textId="77777777" w:rsidR="00CA3A63" w:rsidRDefault="004D54D1" w:rsidP="0021639E">
      <w:pPr>
        <w:spacing w:after="120"/>
        <w:rPr>
          <w:rFonts w:ascii="Times New Roman" w:hAnsi="Times New Roman"/>
          <w:iCs/>
          <w:szCs w:val="24"/>
        </w:rPr>
      </w:pPr>
      <w:r>
        <w:rPr>
          <w:rFonts w:ascii="Times New Roman" w:hAnsi="Times New Roman"/>
        </w:rPr>
        <w:t xml:space="preserve">Le </w:t>
      </w:r>
      <w:r>
        <w:rPr>
          <w:rFonts w:ascii="Times New Roman" w:hAnsi="Times New Roman"/>
          <w:i/>
          <w:iCs/>
        </w:rPr>
        <w:t>paragraphe 36</w:t>
      </w:r>
      <w:r>
        <w:rPr>
          <w:rFonts w:ascii="Times New Roman" w:hAnsi="Times New Roman"/>
        </w:rPr>
        <w:t xml:space="preserve"> invite la Commission à mieux coopérer avec les citoyens et à donner un suivi adapté aux ICE ayant abouti, y compris au moyen de propositions législatives;</w:t>
      </w:r>
    </w:p>
    <w:p w14:paraId="51EE885A" w14:textId="1315D3D9" w:rsidR="00435DCB" w:rsidRPr="00D078F7" w:rsidRDefault="00435DCB" w:rsidP="0021639E">
      <w:pPr>
        <w:spacing w:after="120"/>
        <w:rPr>
          <w:rFonts w:ascii="Times New Roman" w:hAnsi="Times New Roman"/>
          <w:iCs/>
          <w:szCs w:val="24"/>
        </w:rPr>
      </w:pPr>
      <w:r>
        <w:rPr>
          <w:rFonts w:ascii="Times New Roman" w:hAnsi="Times New Roman"/>
        </w:rPr>
        <w:t>L’initiative citoyenne européenne (ICE) est un instrument unique de démocratie participative. Elle donne aux citoyens de l’UE le pouvoir de s’adresser directement à la Commission européenne et de l’inviter à prendre des mesures sur une question qui les intéresse. Depuis 2020, 28 nouvelles initiatives ont été enregistrées. En outre, trois initiatives ayant abouti ont été soumises à la Commission pour réponse en octobre 2022 et janvier 2023: Le document «Sauvons les abeilles» a été soumis en octobre 2022, pour réponse au 7 avril de cette année. «Stop à la pêche aux ailerons» et «Pour des cosmétiques sans cruauté» ont été soumis en janvier de cette année, avec un délai de réponse fixé respectivement au 11 juillet et au 25 juillet.</w:t>
      </w:r>
    </w:p>
    <w:p w14:paraId="46F1D444" w14:textId="19F120A1" w:rsidR="00435DCB" w:rsidRPr="00D078F7" w:rsidRDefault="00435DCB" w:rsidP="0021639E">
      <w:pPr>
        <w:spacing w:after="120"/>
        <w:rPr>
          <w:rFonts w:ascii="Times New Roman" w:hAnsi="Times New Roman"/>
          <w:iCs/>
          <w:szCs w:val="24"/>
        </w:rPr>
      </w:pPr>
      <w:r>
        <w:rPr>
          <w:rFonts w:ascii="Times New Roman" w:hAnsi="Times New Roman"/>
        </w:rPr>
        <w:t>Au cours de la phase d’examen de six mois, la Commission analyse attentivement chaque initiative ayant abouti avant d’exposer ses conclusions juridiques et politiques et les actions qu’elle compte entreprendre, le cas échéant, ainsi que les raisons pour lesquelles elle agit ou non. La Commission prend également en considération toute position exprimée par le Parlement européen.</w:t>
      </w:r>
    </w:p>
    <w:p w14:paraId="0FD7167C" w14:textId="6D3D32FC" w:rsidR="00435DCB" w:rsidRPr="00435DCB" w:rsidRDefault="00435DCB" w:rsidP="0021639E">
      <w:pPr>
        <w:spacing w:after="120"/>
        <w:rPr>
          <w:rFonts w:ascii="Times New Roman" w:hAnsi="Times New Roman"/>
          <w:iCs/>
          <w:szCs w:val="24"/>
        </w:rPr>
      </w:pPr>
      <w:r>
        <w:rPr>
          <w:rFonts w:ascii="Times New Roman" w:hAnsi="Times New Roman"/>
        </w:rPr>
        <w:t>Dans sa réponse, la Commission tient également compte des principes de subsidiarité et de proportionnalité, ainsi que des mesures déjà prises, par exemple depuis le lancement de l’ICE concernée. Les mesures de suivi les plus appropriées peuvent donc varier et inclure des actions non législatives. Le succès de l’ICE ne devrait pas être évalué uniquement à l’aune de la question de savoir si une suite législative est proposée ou non. La valeur ajoutée de l’ICE réside également dans les possibilités qu’elle offre aux citoyens de l’Union d’engager un débat sur les différentes politiques au sein des institutions de l’UE.</w:t>
      </w:r>
    </w:p>
    <w:sectPr w:rsidR="00435DCB" w:rsidRPr="00435DCB" w:rsidSect="000C26BB">
      <w:headerReference w:type="default" r:id="rId28"/>
      <w:footerReference w:type="even" r:id="rId29"/>
      <w:footerReference w:type="default" r:id="rId30"/>
      <w:footerReference w:type="first" r:id="rId31"/>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2183" w14:textId="77777777" w:rsidR="009A217C" w:rsidRDefault="009A217C" w:rsidP="00A22E42">
      <w:pPr>
        <w:spacing w:after="0"/>
      </w:pPr>
      <w:r>
        <w:separator/>
      </w:r>
    </w:p>
  </w:endnote>
  <w:endnote w:type="continuationSeparator" w:id="0">
    <w:p w14:paraId="389006BE" w14:textId="77777777" w:rsidR="009A217C" w:rsidRDefault="009A217C" w:rsidP="00A22E42">
      <w:pPr>
        <w:spacing w:after="0"/>
      </w:pPr>
      <w:r>
        <w:continuationSeparator/>
      </w:r>
    </w:p>
  </w:endnote>
  <w:endnote w:type="continuationNotice" w:id="1">
    <w:p w14:paraId="4FEE51D7" w14:textId="77777777" w:rsidR="009A217C" w:rsidRDefault="009A21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EFE" w14:textId="77777777"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1B1A14E" w14:textId="77777777" w:rsidR="003D02C2" w:rsidRDefault="003D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CA49" w14:textId="03A60B04"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960">
      <w:rPr>
        <w:rStyle w:val="PageNumber"/>
        <w:noProof/>
      </w:rPr>
      <w:t>4</w:t>
    </w:r>
    <w:r>
      <w:rPr>
        <w:rStyle w:val="PageNumber"/>
      </w:rPr>
      <w:fldChar w:fldCharType="end"/>
    </w:r>
  </w:p>
  <w:p w14:paraId="63B40DDC" w14:textId="77777777" w:rsidR="003D02C2" w:rsidRPr="008A6623" w:rsidRDefault="003D02C2">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F39C" w14:textId="604AE934"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960">
      <w:rPr>
        <w:rStyle w:val="PageNumber"/>
        <w:noProof/>
      </w:rPr>
      <w:t>1</w:t>
    </w:r>
    <w:r>
      <w:rPr>
        <w:rStyle w:val="PageNumber"/>
      </w:rPr>
      <w:fldChar w:fldCharType="end"/>
    </w:r>
  </w:p>
  <w:p w14:paraId="2CDA76DF" w14:textId="77777777" w:rsidR="003D02C2" w:rsidRDefault="003D02C2">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673F" w14:textId="77777777" w:rsidR="009A217C" w:rsidRDefault="009A217C" w:rsidP="00A22E42">
      <w:pPr>
        <w:spacing w:after="0"/>
      </w:pPr>
      <w:r>
        <w:separator/>
      </w:r>
    </w:p>
  </w:footnote>
  <w:footnote w:type="continuationSeparator" w:id="0">
    <w:p w14:paraId="0E38340E" w14:textId="77777777" w:rsidR="009A217C" w:rsidRDefault="009A217C" w:rsidP="00A22E42">
      <w:pPr>
        <w:spacing w:after="0"/>
      </w:pPr>
      <w:r>
        <w:continuationSeparator/>
      </w:r>
    </w:p>
  </w:footnote>
  <w:footnote w:type="continuationNotice" w:id="1">
    <w:p w14:paraId="1923B566" w14:textId="77777777" w:rsidR="009A217C" w:rsidRDefault="009A217C">
      <w:pPr>
        <w:spacing w:after="0"/>
      </w:pPr>
    </w:p>
  </w:footnote>
  <w:footnote w:id="2">
    <w:p w14:paraId="68A45186" w14:textId="0284BA3D" w:rsidR="00E304D8" w:rsidRPr="008F5059" w:rsidRDefault="00E304D8" w:rsidP="008F5059">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T-448/21, T-506/21 et T-651/21</w:t>
      </w:r>
    </w:p>
  </w:footnote>
  <w:footnote w:id="3">
    <w:p w14:paraId="49BC2A7E" w14:textId="32C8CA67" w:rsidR="00665997" w:rsidRPr="008F5059" w:rsidRDefault="00665997" w:rsidP="008F5059">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T-689/21 Auken et al./COM; T-761/21 Courtois et al.</w:t>
      </w:r>
    </w:p>
  </w:footnote>
  <w:footnote w:id="4">
    <w:p w14:paraId="164F1A27" w14:textId="4A46BC24" w:rsidR="00F808FD" w:rsidRPr="00CA3A63" w:rsidRDefault="00F808FD" w:rsidP="00CA3A63">
      <w:pPr>
        <w:pStyle w:val="FootnoteText"/>
        <w:spacing w:after="0"/>
        <w:rPr>
          <w:rFonts w:ascii="Times New Roman" w:hAnsi="Times New Roman"/>
        </w:rPr>
      </w:pPr>
      <w:r>
        <w:rPr>
          <w:rStyle w:val="FootnoteReference"/>
          <w:rFonts w:ascii="Times New Roman" w:hAnsi="Times New Roman"/>
          <w:sz w:val="24"/>
        </w:rPr>
        <w:footnoteRef/>
      </w:r>
      <w:r>
        <w:rPr>
          <w:rFonts w:ascii="Times New Roman" w:hAnsi="Times New Roman"/>
          <w:sz w:val="24"/>
        </w:rPr>
        <w:t xml:space="preserve"> </w:t>
      </w:r>
      <w:r>
        <w:tab/>
      </w:r>
      <w:r>
        <w:rPr>
          <w:rFonts w:ascii="Times New Roman" w:hAnsi="Times New Roman"/>
        </w:rPr>
        <w:t>Communication de la Commission - Le droit de l’UE: une meilleure application pour de meilleurs résultats», C/2016/8600, JO C 18 du 19.1.2017, p. 10.</w:t>
      </w:r>
    </w:p>
  </w:footnote>
  <w:footnote w:id="5">
    <w:p w14:paraId="73AAFBC5" w14:textId="16AC841A" w:rsidR="00F808FD" w:rsidRPr="00CA3A63" w:rsidRDefault="00F808FD" w:rsidP="00CA3A6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Communication de la Commission — Faire appliquer le droit de l’Union afin de permettre à l’Europe de tenir ses engagements, COM(2022) 518 du 13.10.2022.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F686" w14:textId="77777777" w:rsidR="00FE772B" w:rsidRDefault="00FE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6D40"/>
    <w:multiLevelType w:val="hybridMultilevel"/>
    <w:tmpl w:val="1F4AB39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E2C36"/>
    <w:multiLevelType w:val="hybridMultilevel"/>
    <w:tmpl w:val="13F03580"/>
    <w:lvl w:ilvl="0" w:tplc="6ECAD506">
      <w:numFmt w:val="bullet"/>
      <w:lvlText w:val="•"/>
      <w:lvlJc w:val="left"/>
      <w:pPr>
        <w:ind w:left="720" w:hanging="720"/>
      </w:pPr>
      <w:rPr>
        <w:rFonts w:ascii="Times New Roman" w:eastAsia="Times New Roman" w:hAnsi="Times New Roman" w:cs="Times New Roman" w:hint="default"/>
        <w: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E95926"/>
    <w:multiLevelType w:val="hybridMultilevel"/>
    <w:tmpl w:val="39BE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3D179D"/>
    <w:multiLevelType w:val="hybridMultilevel"/>
    <w:tmpl w:val="2FBA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F1067F"/>
    <w:multiLevelType w:val="hybridMultilevel"/>
    <w:tmpl w:val="EA02DD9E"/>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0572F8"/>
    <w:multiLevelType w:val="hybridMultilevel"/>
    <w:tmpl w:val="51A4915A"/>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E06F37"/>
    <w:multiLevelType w:val="hybridMultilevel"/>
    <w:tmpl w:val="F3ACD52E"/>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1016B3"/>
    <w:multiLevelType w:val="hybridMultilevel"/>
    <w:tmpl w:val="5420D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A926DC"/>
    <w:multiLevelType w:val="hybridMultilevel"/>
    <w:tmpl w:val="34F874DC"/>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55CF3363"/>
    <w:multiLevelType w:val="hybridMultilevel"/>
    <w:tmpl w:val="2348C57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0413FF"/>
    <w:multiLevelType w:val="hybridMultilevel"/>
    <w:tmpl w:val="2BD295E0"/>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D9E121C"/>
    <w:multiLevelType w:val="hybridMultilevel"/>
    <w:tmpl w:val="EFB81294"/>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1D67876"/>
    <w:multiLevelType w:val="hybridMultilevel"/>
    <w:tmpl w:val="3B047B1A"/>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623498"/>
    <w:multiLevelType w:val="hybridMultilevel"/>
    <w:tmpl w:val="D8306896"/>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B4B2C75"/>
    <w:multiLevelType w:val="hybridMultilevel"/>
    <w:tmpl w:val="62B06CF4"/>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F10622A"/>
    <w:multiLevelType w:val="hybridMultilevel"/>
    <w:tmpl w:val="3F82C802"/>
    <w:lvl w:ilvl="0" w:tplc="6CE06B26">
      <w:numFmt w:val="bullet"/>
      <w:lvlText w:val="•"/>
      <w:lvlJc w:val="left"/>
      <w:pPr>
        <w:ind w:left="1440" w:hanging="72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7F1B04BD"/>
    <w:multiLevelType w:val="hybridMultilevel"/>
    <w:tmpl w:val="F4004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95598676">
    <w:abstractNumId w:val="9"/>
  </w:num>
  <w:num w:numId="2" w16cid:durableId="1513253712">
    <w:abstractNumId w:val="7"/>
  </w:num>
  <w:num w:numId="3" w16cid:durableId="978923096">
    <w:abstractNumId w:val="2"/>
  </w:num>
  <w:num w:numId="4" w16cid:durableId="596599813">
    <w:abstractNumId w:val="17"/>
  </w:num>
  <w:num w:numId="5" w16cid:durableId="169638164">
    <w:abstractNumId w:val="6"/>
  </w:num>
  <w:num w:numId="6" w16cid:durableId="1584292104">
    <w:abstractNumId w:val="16"/>
  </w:num>
  <w:num w:numId="7" w16cid:durableId="1514420512">
    <w:abstractNumId w:val="13"/>
  </w:num>
  <w:num w:numId="8" w16cid:durableId="2099476709">
    <w:abstractNumId w:val="14"/>
  </w:num>
  <w:num w:numId="9" w16cid:durableId="1815291125">
    <w:abstractNumId w:val="12"/>
  </w:num>
  <w:num w:numId="10" w16cid:durableId="127866546">
    <w:abstractNumId w:val="1"/>
  </w:num>
  <w:num w:numId="11" w16cid:durableId="558713774">
    <w:abstractNumId w:val="4"/>
  </w:num>
  <w:num w:numId="12" w16cid:durableId="140509862">
    <w:abstractNumId w:val="11"/>
  </w:num>
  <w:num w:numId="13" w16cid:durableId="277566900">
    <w:abstractNumId w:val="0"/>
  </w:num>
  <w:num w:numId="14" w16cid:durableId="713846178">
    <w:abstractNumId w:val="8"/>
  </w:num>
  <w:num w:numId="15" w16cid:durableId="584723609">
    <w:abstractNumId w:val="10"/>
  </w:num>
  <w:num w:numId="16" w16cid:durableId="2104763286">
    <w:abstractNumId w:val="15"/>
  </w:num>
  <w:num w:numId="17" w16cid:durableId="1549607186">
    <w:abstractNumId w:val="5"/>
  </w:num>
  <w:num w:numId="18" w16cid:durableId="46597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0C26BB"/>
    <w:rsid w:val="00004889"/>
    <w:rsid w:val="00011699"/>
    <w:rsid w:val="00015B9A"/>
    <w:rsid w:val="0004163E"/>
    <w:rsid w:val="00050C7E"/>
    <w:rsid w:val="000723F7"/>
    <w:rsid w:val="00074771"/>
    <w:rsid w:val="0007679E"/>
    <w:rsid w:val="000840F1"/>
    <w:rsid w:val="000B0106"/>
    <w:rsid w:val="000C26BB"/>
    <w:rsid w:val="000C2790"/>
    <w:rsid w:val="000C2C2B"/>
    <w:rsid w:val="000E1211"/>
    <w:rsid w:val="000E6D78"/>
    <w:rsid w:val="000F1BE5"/>
    <w:rsid w:val="001052F4"/>
    <w:rsid w:val="00107C25"/>
    <w:rsid w:val="00117811"/>
    <w:rsid w:val="00122E53"/>
    <w:rsid w:val="00161670"/>
    <w:rsid w:val="001660BD"/>
    <w:rsid w:val="001722E2"/>
    <w:rsid w:val="00185674"/>
    <w:rsid w:val="001B1AB8"/>
    <w:rsid w:val="001D70E3"/>
    <w:rsid w:val="001F228A"/>
    <w:rsid w:val="001F4C07"/>
    <w:rsid w:val="00200F57"/>
    <w:rsid w:val="0021639E"/>
    <w:rsid w:val="00231264"/>
    <w:rsid w:val="00243D65"/>
    <w:rsid w:val="002755B2"/>
    <w:rsid w:val="00284161"/>
    <w:rsid w:val="002B6ED6"/>
    <w:rsid w:val="002B7A32"/>
    <w:rsid w:val="002C6830"/>
    <w:rsid w:val="002D69FA"/>
    <w:rsid w:val="002F0A81"/>
    <w:rsid w:val="00331A20"/>
    <w:rsid w:val="00332944"/>
    <w:rsid w:val="00352C07"/>
    <w:rsid w:val="0036470D"/>
    <w:rsid w:val="003739DF"/>
    <w:rsid w:val="00376E09"/>
    <w:rsid w:val="00377865"/>
    <w:rsid w:val="00394C92"/>
    <w:rsid w:val="003D02C2"/>
    <w:rsid w:val="004004EF"/>
    <w:rsid w:val="004012BF"/>
    <w:rsid w:val="00405AED"/>
    <w:rsid w:val="00412887"/>
    <w:rsid w:val="00430A3D"/>
    <w:rsid w:val="00435DCB"/>
    <w:rsid w:val="00437F1B"/>
    <w:rsid w:val="00471997"/>
    <w:rsid w:val="00472F4C"/>
    <w:rsid w:val="00486510"/>
    <w:rsid w:val="0048768B"/>
    <w:rsid w:val="00494DCD"/>
    <w:rsid w:val="004A3E21"/>
    <w:rsid w:val="004A4D83"/>
    <w:rsid w:val="004B0803"/>
    <w:rsid w:val="004B5F8C"/>
    <w:rsid w:val="004B7DB5"/>
    <w:rsid w:val="004C085A"/>
    <w:rsid w:val="004D54D1"/>
    <w:rsid w:val="00510F29"/>
    <w:rsid w:val="005722FE"/>
    <w:rsid w:val="0059437F"/>
    <w:rsid w:val="005973F7"/>
    <w:rsid w:val="005A5F7B"/>
    <w:rsid w:val="005B30FB"/>
    <w:rsid w:val="005D762B"/>
    <w:rsid w:val="005E4AC7"/>
    <w:rsid w:val="00613DB0"/>
    <w:rsid w:val="00627701"/>
    <w:rsid w:val="00633325"/>
    <w:rsid w:val="006653D6"/>
    <w:rsid w:val="00665997"/>
    <w:rsid w:val="006760BE"/>
    <w:rsid w:val="006831DB"/>
    <w:rsid w:val="006A3A97"/>
    <w:rsid w:val="006B028B"/>
    <w:rsid w:val="006B64EB"/>
    <w:rsid w:val="006C24E4"/>
    <w:rsid w:val="006D5CAB"/>
    <w:rsid w:val="006F40AD"/>
    <w:rsid w:val="006F7C21"/>
    <w:rsid w:val="0071101F"/>
    <w:rsid w:val="00716ECC"/>
    <w:rsid w:val="007262CA"/>
    <w:rsid w:val="007526DA"/>
    <w:rsid w:val="007601C1"/>
    <w:rsid w:val="00760B47"/>
    <w:rsid w:val="007663DD"/>
    <w:rsid w:val="0079339B"/>
    <w:rsid w:val="00793DBD"/>
    <w:rsid w:val="007C0617"/>
    <w:rsid w:val="007C35AB"/>
    <w:rsid w:val="007D7A7E"/>
    <w:rsid w:val="0080036D"/>
    <w:rsid w:val="00801617"/>
    <w:rsid w:val="008323AF"/>
    <w:rsid w:val="00842EFF"/>
    <w:rsid w:val="00852D2D"/>
    <w:rsid w:val="00854B40"/>
    <w:rsid w:val="00855F9E"/>
    <w:rsid w:val="00861296"/>
    <w:rsid w:val="0088288B"/>
    <w:rsid w:val="008A43B2"/>
    <w:rsid w:val="008B5802"/>
    <w:rsid w:val="008C0802"/>
    <w:rsid w:val="008C112F"/>
    <w:rsid w:val="008C3978"/>
    <w:rsid w:val="008C634F"/>
    <w:rsid w:val="008D08CF"/>
    <w:rsid w:val="008D38BF"/>
    <w:rsid w:val="008F475D"/>
    <w:rsid w:val="008F5059"/>
    <w:rsid w:val="008F7B58"/>
    <w:rsid w:val="00906E4E"/>
    <w:rsid w:val="00911CAE"/>
    <w:rsid w:val="00953E1F"/>
    <w:rsid w:val="009616EC"/>
    <w:rsid w:val="00966191"/>
    <w:rsid w:val="00973494"/>
    <w:rsid w:val="00984C88"/>
    <w:rsid w:val="00990098"/>
    <w:rsid w:val="0099034E"/>
    <w:rsid w:val="009A06F8"/>
    <w:rsid w:val="009A217C"/>
    <w:rsid w:val="009A3939"/>
    <w:rsid w:val="009B4EF7"/>
    <w:rsid w:val="009F0349"/>
    <w:rsid w:val="009F1937"/>
    <w:rsid w:val="00A02EA3"/>
    <w:rsid w:val="00A050E7"/>
    <w:rsid w:val="00A0772A"/>
    <w:rsid w:val="00A14A5F"/>
    <w:rsid w:val="00A22E42"/>
    <w:rsid w:val="00A2565D"/>
    <w:rsid w:val="00A664BC"/>
    <w:rsid w:val="00A86E4F"/>
    <w:rsid w:val="00A928B5"/>
    <w:rsid w:val="00A9799A"/>
    <w:rsid w:val="00AA3955"/>
    <w:rsid w:val="00AB6F58"/>
    <w:rsid w:val="00AC54BC"/>
    <w:rsid w:val="00AC7BB7"/>
    <w:rsid w:val="00AE258A"/>
    <w:rsid w:val="00AE50CD"/>
    <w:rsid w:val="00AF41DE"/>
    <w:rsid w:val="00B17896"/>
    <w:rsid w:val="00B304C8"/>
    <w:rsid w:val="00B36513"/>
    <w:rsid w:val="00B43B58"/>
    <w:rsid w:val="00B5752D"/>
    <w:rsid w:val="00B60E6C"/>
    <w:rsid w:val="00B61661"/>
    <w:rsid w:val="00B7294E"/>
    <w:rsid w:val="00B82B17"/>
    <w:rsid w:val="00B85EA6"/>
    <w:rsid w:val="00B930C6"/>
    <w:rsid w:val="00BB4964"/>
    <w:rsid w:val="00BE7A12"/>
    <w:rsid w:val="00BE7E6C"/>
    <w:rsid w:val="00C174C6"/>
    <w:rsid w:val="00C26E52"/>
    <w:rsid w:val="00C34BEE"/>
    <w:rsid w:val="00C93B9C"/>
    <w:rsid w:val="00CA1E8F"/>
    <w:rsid w:val="00CA3A63"/>
    <w:rsid w:val="00CC135C"/>
    <w:rsid w:val="00CD7AA3"/>
    <w:rsid w:val="00CE5C96"/>
    <w:rsid w:val="00CF13BE"/>
    <w:rsid w:val="00D078F7"/>
    <w:rsid w:val="00D25ED1"/>
    <w:rsid w:val="00D52AFE"/>
    <w:rsid w:val="00D80372"/>
    <w:rsid w:val="00D90ACB"/>
    <w:rsid w:val="00DA390C"/>
    <w:rsid w:val="00DA712F"/>
    <w:rsid w:val="00DC1BFC"/>
    <w:rsid w:val="00DC2D22"/>
    <w:rsid w:val="00E03E03"/>
    <w:rsid w:val="00E304D8"/>
    <w:rsid w:val="00E4312F"/>
    <w:rsid w:val="00E473F9"/>
    <w:rsid w:val="00E73631"/>
    <w:rsid w:val="00E8785B"/>
    <w:rsid w:val="00E9031B"/>
    <w:rsid w:val="00EB1836"/>
    <w:rsid w:val="00EB2DD6"/>
    <w:rsid w:val="00EE5897"/>
    <w:rsid w:val="00EF3960"/>
    <w:rsid w:val="00F013E5"/>
    <w:rsid w:val="00F1240F"/>
    <w:rsid w:val="00F12BB3"/>
    <w:rsid w:val="00F1666A"/>
    <w:rsid w:val="00F174D4"/>
    <w:rsid w:val="00F279BB"/>
    <w:rsid w:val="00F56DC0"/>
    <w:rsid w:val="00F64C6D"/>
    <w:rsid w:val="00F77218"/>
    <w:rsid w:val="00F808FD"/>
    <w:rsid w:val="00F84954"/>
    <w:rsid w:val="00F873EE"/>
    <w:rsid w:val="00F91A47"/>
    <w:rsid w:val="00F9204D"/>
    <w:rsid w:val="00F963E4"/>
    <w:rsid w:val="00F966B1"/>
    <w:rsid w:val="00FC36D0"/>
    <w:rsid w:val="00FC445F"/>
    <w:rsid w:val="00FD4EB6"/>
    <w:rsid w:val="00FE4551"/>
    <w:rsid w:val="00FE772B"/>
    <w:rsid w:val="00FF111A"/>
    <w:rsid w:val="00FF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1FCE"/>
  <w15:docId w15:val="{471EA209-B637-442B-9A29-10CAD016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BB"/>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26BB"/>
    <w:pPr>
      <w:spacing w:after="0"/>
      <w:ind w:right="-567"/>
      <w:jc w:val="left"/>
    </w:pPr>
    <w:rPr>
      <w:rFonts w:ascii="Arial" w:hAnsi="Arial"/>
      <w:sz w:val="16"/>
    </w:rPr>
  </w:style>
  <w:style w:type="character" w:customStyle="1" w:styleId="FooterChar">
    <w:name w:val="Footer Char"/>
    <w:basedOn w:val="DefaultParagraphFont"/>
    <w:link w:val="Footer"/>
    <w:rsid w:val="000C26BB"/>
    <w:rPr>
      <w:rFonts w:ascii="Arial" w:eastAsia="Times New Roman" w:hAnsi="Arial" w:cs="Times New Roman"/>
      <w:sz w:val="16"/>
      <w:szCs w:val="20"/>
      <w:lang w:eastAsia="en-GB"/>
    </w:rPr>
  </w:style>
  <w:style w:type="character" w:styleId="PageNumber">
    <w:name w:val="page number"/>
    <w:basedOn w:val="DefaultParagraphFont"/>
    <w:rsid w:val="000C26BB"/>
  </w:style>
  <w:style w:type="paragraph" w:customStyle="1" w:styleId="Default">
    <w:name w:val="Default"/>
    <w:rsid w:val="000C26BB"/>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ZnakZnak">
    <w:name w:val="Znak Znak"/>
    <w:basedOn w:val="Normal"/>
    <w:rsid w:val="000C26BB"/>
    <w:pPr>
      <w:spacing w:after="0" w:line="360" w:lineRule="auto"/>
    </w:pPr>
    <w:rPr>
      <w:rFonts w:ascii="Verdana" w:hAnsi="Verdana"/>
      <w:sz w:val="20"/>
      <w:lang w:eastAsia="pl-PL"/>
    </w:rPr>
  </w:style>
  <w:style w:type="character" w:styleId="Hyperlink">
    <w:name w:val="Hyperlink"/>
    <w:basedOn w:val="DefaultParagraphFont"/>
    <w:uiPriority w:val="99"/>
    <w:unhideWhenUsed/>
    <w:rsid w:val="000C26BB"/>
    <w:rPr>
      <w:color w:val="0000FF" w:themeColor="hyperlink"/>
      <w:u w:val="single"/>
    </w:rPr>
  </w:style>
  <w:style w:type="paragraph" w:customStyle="1" w:styleId="Text1">
    <w:name w:val="Text 1"/>
    <w:basedOn w:val="Normal"/>
    <w:link w:val="Text1Char"/>
    <w:rsid w:val="00074771"/>
    <w:pPr>
      <w:ind w:left="482"/>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074771"/>
    <w:pPr>
      <w:ind w:left="357" w:hanging="357"/>
    </w:pPr>
    <w:rPr>
      <w:sz w:val="20"/>
    </w:rPr>
  </w:style>
  <w:style w:type="character" w:customStyle="1" w:styleId="FootnoteTextChar">
    <w:name w:val="Footnote Text Char"/>
    <w:aliases w:val="o Char"/>
    <w:basedOn w:val="DefaultParagraphFont"/>
    <w:uiPriority w:val="99"/>
    <w:rsid w:val="00074771"/>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74771"/>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74771"/>
    <w:rPr>
      <w:rFonts w:ascii="Courier New" w:eastAsia="Times New Roman" w:hAnsi="Courier New" w:cs="Times New Roman"/>
      <w:sz w:val="20"/>
      <w:szCs w:val="20"/>
      <w:lang w:eastAsia="en-GB"/>
    </w:rPr>
  </w:style>
  <w:style w:type="character" w:customStyle="1" w:styleId="Text1Char">
    <w:name w:val="Text 1 Char"/>
    <w:link w:val="Text1"/>
    <w:rsid w:val="00074771"/>
    <w:rPr>
      <w:rFonts w:ascii="Courier New" w:eastAsia="Times New Roman" w:hAnsi="Courier New"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74771"/>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sid w:val="00973494"/>
    <w:rPr>
      <w:sz w:val="16"/>
      <w:szCs w:val="16"/>
    </w:rPr>
  </w:style>
  <w:style w:type="paragraph" w:styleId="CommentText">
    <w:name w:val="annotation text"/>
    <w:basedOn w:val="Normal"/>
    <w:link w:val="CommentTextChar"/>
    <w:uiPriority w:val="99"/>
    <w:semiHidden/>
    <w:unhideWhenUsed/>
    <w:rsid w:val="00973494"/>
    <w:rPr>
      <w:sz w:val="20"/>
    </w:rPr>
  </w:style>
  <w:style w:type="character" w:customStyle="1" w:styleId="CommentTextChar">
    <w:name w:val="Comment Text Char"/>
    <w:basedOn w:val="DefaultParagraphFont"/>
    <w:link w:val="CommentText"/>
    <w:uiPriority w:val="99"/>
    <w:semiHidden/>
    <w:rsid w:val="00973494"/>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9734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4"/>
    <w:rPr>
      <w:rFonts w:ascii="Segoe UI" w:eastAsia="Times New Roman" w:hAnsi="Segoe UI" w:cs="Segoe UI"/>
      <w:sz w:val="18"/>
      <w:szCs w:val="18"/>
      <w:lang w:eastAsia="en-GB"/>
    </w:rPr>
  </w:style>
  <w:style w:type="paragraph" w:styleId="NormalWeb">
    <w:name w:val="Normal (Web)"/>
    <w:basedOn w:val="Normal"/>
    <w:uiPriority w:val="99"/>
    <w:unhideWhenUsed/>
    <w:rsid w:val="00973494"/>
    <w:pPr>
      <w:spacing w:before="100" w:beforeAutospacing="1" w:after="100" w:afterAutospacing="1"/>
      <w:jc w:val="left"/>
    </w:pPr>
    <w:rPr>
      <w:rFonts w:ascii="Times New Roman" w:hAnsi="Times New Roman"/>
      <w:szCs w:val="24"/>
      <w:lang w:eastAsia="en-US"/>
    </w:rPr>
  </w:style>
  <w:style w:type="paragraph" w:styleId="Header">
    <w:name w:val="header"/>
    <w:basedOn w:val="Normal"/>
    <w:link w:val="HeaderChar"/>
    <w:uiPriority w:val="99"/>
    <w:unhideWhenUsed/>
    <w:rsid w:val="001F228A"/>
    <w:pPr>
      <w:tabs>
        <w:tab w:val="center" w:pos="4513"/>
        <w:tab w:val="right" w:pos="9026"/>
      </w:tabs>
      <w:spacing w:after="0"/>
    </w:pPr>
  </w:style>
  <w:style w:type="character" w:customStyle="1" w:styleId="HeaderChar">
    <w:name w:val="Header Char"/>
    <w:basedOn w:val="DefaultParagraphFont"/>
    <w:link w:val="Header"/>
    <w:uiPriority w:val="99"/>
    <w:rsid w:val="001F228A"/>
    <w:rPr>
      <w:rFonts w:ascii="Courier New" w:eastAsia="Times New Roman" w:hAnsi="Courier New"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AE50CD"/>
    <w:rPr>
      <w:b/>
      <w:bCs/>
    </w:rPr>
  </w:style>
  <w:style w:type="character" w:customStyle="1" w:styleId="CommentSubjectChar">
    <w:name w:val="Comment Subject Char"/>
    <w:basedOn w:val="CommentTextChar"/>
    <w:link w:val="CommentSubject"/>
    <w:uiPriority w:val="99"/>
    <w:semiHidden/>
    <w:rsid w:val="00AE50CD"/>
    <w:rPr>
      <w:rFonts w:ascii="Courier New" w:eastAsia="Times New Roman" w:hAnsi="Courier New" w:cs="Times New Roman"/>
      <w:b/>
      <w:bCs/>
      <w:sz w:val="20"/>
      <w:szCs w:val="20"/>
      <w:lang w:eastAsia="en-GB"/>
    </w:rPr>
  </w:style>
  <w:style w:type="character" w:customStyle="1" w:styleId="UnresolvedMention1">
    <w:name w:val="Unresolved Mention1"/>
    <w:basedOn w:val="DefaultParagraphFont"/>
    <w:uiPriority w:val="99"/>
    <w:semiHidden/>
    <w:unhideWhenUsed/>
    <w:rsid w:val="00185674"/>
    <w:rPr>
      <w:color w:val="605E5C"/>
      <w:shd w:val="clear" w:color="auto" w:fill="E1DFDD"/>
    </w:rPr>
  </w:style>
  <w:style w:type="paragraph" w:customStyle="1" w:styleId="NormalHanging12a">
    <w:name w:val="NormalHanging12a"/>
    <w:basedOn w:val="Normal"/>
    <w:link w:val="NormalHanging12aChar"/>
    <w:rsid w:val="009A3939"/>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9A3939"/>
    <w:rPr>
      <w:rFonts w:ascii="Times New Roman" w:eastAsia="Times New Roman" w:hAnsi="Times New Roman" w:cs="Times New Roman"/>
      <w:sz w:val="24"/>
      <w:szCs w:val="20"/>
      <w:lang w:eastAsia="en-GB"/>
    </w:rPr>
  </w:style>
  <w:style w:type="character" w:customStyle="1" w:styleId="epname">
    <w:name w:val="ep_name"/>
    <w:basedOn w:val="DefaultParagraphFont"/>
    <w:rsid w:val="00405AED"/>
  </w:style>
  <w:style w:type="character" w:customStyle="1" w:styleId="epicon">
    <w:name w:val="ep_icon"/>
    <w:basedOn w:val="DefaultParagraphFont"/>
    <w:rsid w:val="00405AED"/>
  </w:style>
  <w:style w:type="paragraph" w:styleId="ListParagraph">
    <w:name w:val="List Paragraph"/>
    <w:basedOn w:val="Normal"/>
    <w:uiPriority w:val="34"/>
    <w:qFormat/>
    <w:rsid w:val="00861296"/>
    <w:pPr>
      <w:ind w:left="720"/>
      <w:contextualSpacing/>
    </w:pPr>
  </w:style>
  <w:style w:type="character" w:styleId="FollowedHyperlink">
    <w:name w:val="FollowedHyperlink"/>
    <w:basedOn w:val="DefaultParagraphFont"/>
    <w:uiPriority w:val="99"/>
    <w:semiHidden/>
    <w:unhideWhenUsed/>
    <w:rsid w:val="00D078F7"/>
    <w:rPr>
      <w:color w:val="800080" w:themeColor="followedHyperlink"/>
      <w:u w:val="single"/>
    </w:rPr>
  </w:style>
  <w:style w:type="paragraph" w:styleId="Revision">
    <w:name w:val="Revision"/>
    <w:hidden/>
    <w:uiPriority w:val="99"/>
    <w:semiHidden/>
    <w:rsid w:val="00FE772B"/>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6181">
      <w:bodyDiv w:val="1"/>
      <w:marLeft w:val="0"/>
      <w:marRight w:val="0"/>
      <w:marTop w:val="0"/>
      <w:marBottom w:val="0"/>
      <w:divBdr>
        <w:top w:val="none" w:sz="0" w:space="0" w:color="auto"/>
        <w:left w:val="none" w:sz="0" w:space="0" w:color="auto"/>
        <w:bottom w:val="none" w:sz="0" w:space="0" w:color="auto"/>
        <w:right w:val="none" w:sz="0" w:space="0" w:color="auto"/>
      </w:divBdr>
    </w:div>
    <w:div w:id="146089744">
      <w:bodyDiv w:val="1"/>
      <w:marLeft w:val="0"/>
      <w:marRight w:val="0"/>
      <w:marTop w:val="0"/>
      <w:marBottom w:val="0"/>
      <w:divBdr>
        <w:top w:val="none" w:sz="0" w:space="0" w:color="auto"/>
        <w:left w:val="none" w:sz="0" w:space="0" w:color="auto"/>
        <w:bottom w:val="none" w:sz="0" w:space="0" w:color="auto"/>
        <w:right w:val="none" w:sz="0" w:space="0" w:color="auto"/>
      </w:divBdr>
    </w:div>
    <w:div w:id="181864327">
      <w:bodyDiv w:val="1"/>
      <w:marLeft w:val="0"/>
      <w:marRight w:val="0"/>
      <w:marTop w:val="0"/>
      <w:marBottom w:val="0"/>
      <w:divBdr>
        <w:top w:val="none" w:sz="0" w:space="0" w:color="auto"/>
        <w:left w:val="none" w:sz="0" w:space="0" w:color="auto"/>
        <w:bottom w:val="none" w:sz="0" w:space="0" w:color="auto"/>
        <w:right w:val="none" w:sz="0" w:space="0" w:color="auto"/>
      </w:divBdr>
    </w:div>
    <w:div w:id="588391239">
      <w:bodyDiv w:val="1"/>
      <w:marLeft w:val="0"/>
      <w:marRight w:val="0"/>
      <w:marTop w:val="0"/>
      <w:marBottom w:val="0"/>
      <w:divBdr>
        <w:top w:val="none" w:sz="0" w:space="0" w:color="auto"/>
        <w:left w:val="none" w:sz="0" w:space="0" w:color="auto"/>
        <w:bottom w:val="none" w:sz="0" w:space="0" w:color="auto"/>
        <w:right w:val="none" w:sz="0" w:space="0" w:color="auto"/>
      </w:divBdr>
    </w:div>
    <w:div w:id="974749309">
      <w:bodyDiv w:val="1"/>
      <w:marLeft w:val="0"/>
      <w:marRight w:val="0"/>
      <w:marTop w:val="0"/>
      <w:marBottom w:val="0"/>
      <w:divBdr>
        <w:top w:val="none" w:sz="0" w:space="0" w:color="auto"/>
        <w:left w:val="none" w:sz="0" w:space="0" w:color="auto"/>
        <w:bottom w:val="none" w:sz="0" w:space="0" w:color="auto"/>
        <w:right w:val="none" w:sz="0" w:space="0" w:color="auto"/>
      </w:divBdr>
    </w:div>
    <w:div w:id="1181165141">
      <w:bodyDiv w:val="1"/>
      <w:marLeft w:val="0"/>
      <w:marRight w:val="0"/>
      <w:marTop w:val="0"/>
      <w:marBottom w:val="0"/>
      <w:divBdr>
        <w:top w:val="none" w:sz="0" w:space="0" w:color="auto"/>
        <w:left w:val="none" w:sz="0" w:space="0" w:color="auto"/>
        <w:bottom w:val="none" w:sz="0" w:space="0" w:color="auto"/>
        <w:right w:val="none" w:sz="0" w:space="0" w:color="auto"/>
      </w:divBdr>
    </w:div>
    <w:div w:id="1214387214">
      <w:bodyDiv w:val="1"/>
      <w:marLeft w:val="0"/>
      <w:marRight w:val="0"/>
      <w:marTop w:val="0"/>
      <w:marBottom w:val="0"/>
      <w:divBdr>
        <w:top w:val="none" w:sz="0" w:space="0" w:color="auto"/>
        <w:left w:val="none" w:sz="0" w:space="0" w:color="auto"/>
        <w:bottom w:val="none" w:sz="0" w:space="0" w:color="auto"/>
        <w:right w:val="none" w:sz="0" w:space="0" w:color="auto"/>
      </w:divBdr>
    </w:div>
    <w:div w:id="1333992038">
      <w:bodyDiv w:val="1"/>
      <w:marLeft w:val="0"/>
      <w:marRight w:val="0"/>
      <w:marTop w:val="0"/>
      <w:marBottom w:val="0"/>
      <w:divBdr>
        <w:top w:val="none" w:sz="0" w:space="0" w:color="auto"/>
        <w:left w:val="none" w:sz="0" w:space="0" w:color="auto"/>
        <w:bottom w:val="none" w:sz="0" w:space="0" w:color="auto"/>
        <w:right w:val="none" w:sz="0" w:space="0" w:color="auto"/>
      </w:divBdr>
    </w:div>
    <w:div w:id="1467819975">
      <w:bodyDiv w:val="1"/>
      <w:marLeft w:val="0"/>
      <w:marRight w:val="0"/>
      <w:marTop w:val="0"/>
      <w:marBottom w:val="0"/>
      <w:divBdr>
        <w:top w:val="none" w:sz="0" w:space="0" w:color="auto"/>
        <w:left w:val="none" w:sz="0" w:space="0" w:color="auto"/>
        <w:bottom w:val="none" w:sz="0" w:space="0" w:color="auto"/>
        <w:right w:val="none" w:sz="0" w:space="0" w:color="auto"/>
      </w:divBdr>
    </w:div>
    <w:div w:id="1523085653">
      <w:bodyDiv w:val="1"/>
      <w:marLeft w:val="0"/>
      <w:marRight w:val="0"/>
      <w:marTop w:val="0"/>
      <w:marBottom w:val="0"/>
      <w:divBdr>
        <w:top w:val="none" w:sz="0" w:space="0" w:color="auto"/>
        <w:left w:val="none" w:sz="0" w:space="0" w:color="auto"/>
        <w:bottom w:val="none" w:sz="0" w:space="0" w:color="auto"/>
        <w:right w:val="none" w:sz="0" w:space="0" w:color="auto"/>
      </w:divBdr>
    </w:div>
    <w:div w:id="163482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ebgate.ec.testa.eu/questmetasearch/search.php?searchedText=Enforcing%20EU%20law%20for%20a%20Europe%20that%20delivers&amp;selectedSourceLang=EN&amp;selectedDestLang=FR" TargetMode="External"/><Relationship Id="rId18" Type="http://schemas.openxmlformats.org/officeDocument/2006/relationships/hyperlink" Target="https://environment.ec.europa.eu/law-and-governance/environmental-implementation-review_en" TargetMode="External"/><Relationship Id="rId26" Type="http://schemas.openxmlformats.org/officeDocument/2006/relationships/hyperlink" Target="https://oeil.secure.europarl.europa.eu/oeil/popups/ficheprocedure.do?lang=en&amp;reference=2020/2044(INI)" TargetMode="External"/><Relationship Id="rId3" Type="http://schemas.openxmlformats.org/officeDocument/2006/relationships/styles" Target="styles.xml"/><Relationship Id="rId21" Type="http://schemas.openxmlformats.org/officeDocument/2006/relationships/hyperlink" Target="http://ec.europa.eu/environment/legal/compliance_en.htm" TargetMode="External"/><Relationship Id="rId7" Type="http://schemas.openxmlformats.org/officeDocument/2006/relationships/endnotes" Target="endnotes.xml"/><Relationship Id="rId12" Type="http://schemas.openxmlformats.org/officeDocument/2006/relationships/hyperlink" Target="https://oeil.secure.europarl.europa.eu/oeil/popups/ficheprocedure.do?lang=en&amp;reference=2020/2275(INI)" TargetMode="External"/><Relationship Id="rId17" Type="http://schemas.openxmlformats.org/officeDocument/2006/relationships/hyperlink" Target="https://oeil.secure.europarl.europa.eu/oeil/popups/ficheprocedure.do?reference=2021/2679(RSP)&amp;l=en" TargetMode="External"/><Relationship Id="rId25" Type="http://schemas.openxmlformats.org/officeDocument/2006/relationships/hyperlink" Target="https://oceans-and-fisheries.ec.europa.eu/system/files/2021-03/2018-06-26-eumss-revised-action-plan_e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eil.secure.europarl.europa.eu/oeil/popups/ficheprocedure.do?reference=2021/2019(INI)&amp;l=en" TargetMode="External"/><Relationship Id="rId20" Type="http://schemas.openxmlformats.org/officeDocument/2006/relationships/hyperlink" Target="https://eur-lex.europa.eu/legal-content/FR/TXT/?uri=CELEX%3A32008L009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il.secure.europarl.europa.eu/oeil/popups/ficheprocedure.do?reference=2021/2019(INI)&amp;l=en" TargetMode="External"/><Relationship Id="rId24" Type="http://schemas.openxmlformats.org/officeDocument/2006/relationships/hyperlink" Target="https://op.europa.eu/s/vet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eil.secure.europarl.europa.eu/oeil/popups/ficheprocedure.do?lang=en&amp;reference=2020/2044(INI)" TargetMode="External"/><Relationship Id="rId23" Type="http://schemas.openxmlformats.org/officeDocument/2006/relationships/hyperlink" Target="https://op.europa.eu/s/vbur" TargetMode="External"/><Relationship Id="rId28" Type="http://schemas.openxmlformats.org/officeDocument/2006/relationships/header" Target="header1.xml"/><Relationship Id="rId10" Type="http://schemas.openxmlformats.org/officeDocument/2006/relationships/hyperlink" Target="https://oeil.secure.europarl.europa.eu/oeil/popups/ficheprocedure.do?lang=en&amp;reference=2020/2044(INI)" TargetMode="External"/><Relationship Id="rId19" Type="http://schemas.openxmlformats.org/officeDocument/2006/relationships/hyperlink" Target="https://commission.europa.eu/publications/annual-activity-report-2021-environment_e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FR/TXT/HTML/?uri=CELEX:52017XC0119(01)&amp;from=FR" TargetMode="External"/><Relationship Id="rId14" Type="http://schemas.openxmlformats.org/officeDocument/2006/relationships/hyperlink" Target="https://eur-lex.europa.eu/legal-content/EN/TXT/?uri=CELEX%3A52022SC0194&amp;qid=1658192867646" TargetMode="External"/><Relationship Id="rId22" Type="http://schemas.openxmlformats.org/officeDocument/2006/relationships/hyperlink" Target="https://commission.europa.eu/about-european-commission/service-standards-and-principles/ethics-and-good-administration/good-administration_fr" TargetMode="External"/><Relationship Id="rId27" Type="http://schemas.openxmlformats.org/officeDocument/2006/relationships/hyperlink" Target="https://oeil.secure.europarl.europa.eu/oeil/popups/ficheprocedure.do?reference=2021%2F2019(INI)&amp;l=fr" TargetMode="External"/><Relationship Id="rId30" Type="http://schemas.openxmlformats.org/officeDocument/2006/relationships/footer" Target="footer2.xml"/><Relationship Id="rId8" Type="http://schemas.openxmlformats.org/officeDocument/2006/relationships/hyperlink" Target="https://eur-lex.europa.eu/legal-content/FR/TXT/HTML/?uri=CELEX:52017XC0119(01)&amp;fr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9D09-EFCE-4EFD-BA60-6018A8F7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4202</Words>
  <Characters>23282</Characters>
  <Application>Microsoft Office Word</Application>
  <DocSecurity>0</DocSecurity>
  <Lines>352</Lines>
  <Paragraphs>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Ioana Cristina (SG)</dc:creator>
  <cp:keywords/>
  <dc:description/>
  <cp:lastModifiedBy>DELBAER Gerda (SG)</cp:lastModifiedBy>
  <cp:revision>2</cp:revision>
  <dcterms:created xsi:type="dcterms:W3CDTF">2023-04-21T14:43:00Z</dcterms:created>
  <dcterms:modified xsi:type="dcterms:W3CDTF">2023-04-21T14:43:00Z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2023-01-16T12:21:46Z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b091f617-97f2-4623-902b-01c51d41bd7e</vt:lpwstr>
  </property>
  <property fmtid="{D5CDD505-2E9C-101B-9397-08002B2CF9AE}" pid="8" name="MSIP_Label_6bd9ddd1-4d20-43f6-abfa-fc3c07406f94_ContentBits">
    <vt:lpwstr>0</vt:lpwstr>
  </property>
</Properties>
</file>