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C1C25" w14:textId="77777777" w:rsidR="0097033C" w:rsidRPr="00925AE6" w:rsidRDefault="0097033C" w:rsidP="0097033C">
      <w:pPr>
        <w:spacing w:after="600"/>
        <w:jc w:val="center"/>
        <w:rPr>
          <w:rFonts w:ascii="Times New Roman" w:hAnsi="Times New Roman"/>
          <w:b/>
          <w:bCs/>
          <w:szCs w:val="24"/>
        </w:rPr>
      </w:pPr>
      <w:bookmarkStart w:id="0" w:name="UA"/>
      <w:bookmarkStart w:id="1" w:name="democracy"/>
      <w:bookmarkStart w:id="2" w:name="VisionZero"/>
      <w:r>
        <w:rPr>
          <w:rFonts w:ascii="Times New Roman" w:hAnsi="Times New Roman"/>
          <w:b/>
        </w:rPr>
        <w:t>Suite donnée à la résolution non législative du Parlement européen sur la mise en place d’un tribunal sur le crime d’agression en Ukraine</w:t>
      </w:r>
    </w:p>
    <w:bookmarkEnd w:id="0"/>
    <w:p w14:paraId="0C608525" w14:textId="77777777" w:rsidR="0097033C" w:rsidRPr="00C52A61" w:rsidRDefault="0097033C" w:rsidP="0097033C">
      <w:pPr>
        <w:ind w:left="567" w:hanging="567"/>
        <w:rPr>
          <w:rFonts w:ascii="Times New Roman" w:hAnsi="Times New Roman"/>
          <w:i/>
          <w:iCs/>
        </w:rPr>
      </w:pPr>
      <w:r>
        <w:rPr>
          <w:rFonts w:ascii="Times New Roman" w:hAnsi="Times New Roman"/>
          <w:b/>
        </w:rPr>
        <w:t>1.</w:t>
      </w:r>
      <w:r>
        <w:tab/>
      </w:r>
      <w:r>
        <w:rPr>
          <w:rFonts w:ascii="Times New Roman" w:hAnsi="Times New Roman"/>
          <w:b/>
        </w:rPr>
        <w:t xml:space="preserve">Résolution présentée conformément à l’article 132, </w:t>
      </w:r>
      <w:r>
        <w:rPr>
          <w:rFonts w:ascii="Times New Roman" w:hAnsi="Times New Roman"/>
          <w:b/>
          <w:color w:val="1E1E1F"/>
          <w:shd w:val="clear" w:color="auto" w:fill="FFFFFF"/>
        </w:rPr>
        <w:t>paragraphes 2 et 4,</w:t>
      </w:r>
      <w:r>
        <w:rPr>
          <w:rFonts w:ascii="Times New Roman" w:hAnsi="Times New Roman"/>
          <w:b/>
        </w:rPr>
        <w:t xml:space="preserve"> du règlement intérieur du Parlement européen</w:t>
      </w:r>
    </w:p>
    <w:p w14:paraId="6DE09DC7" w14:textId="77777777" w:rsidR="0097033C" w:rsidRPr="00846116" w:rsidRDefault="0097033C" w:rsidP="0097033C">
      <w:pPr>
        <w:ind w:left="567" w:hanging="567"/>
        <w:rPr>
          <w:rFonts w:ascii="Times New Roman" w:hAnsi="Times New Roman"/>
          <w:i/>
          <w:szCs w:val="24"/>
        </w:rPr>
      </w:pPr>
      <w:r>
        <w:rPr>
          <w:rFonts w:ascii="Times New Roman" w:hAnsi="Times New Roman"/>
          <w:b/>
        </w:rPr>
        <w:t>2.</w:t>
      </w:r>
      <w:r>
        <w:tab/>
      </w:r>
      <w:r>
        <w:rPr>
          <w:rFonts w:ascii="Times New Roman" w:hAnsi="Times New Roman"/>
          <w:b/>
        </w:rPr>
        <w:t xml:space="preserve">Numéro de référence: </w:t>
      </w:r>
      <w:r>
        <w:rPr>
          <w:rFonts w:ascii="Times New Roman" w:hAnsi="Times New Roman"/>
        </w:rPr>
        <w:t>2022/3017 (RSP) / RC-B9-0063/2023 / P9_TA(2023)0015</w:t>
      </w:r>
    </w:p>
    <w:p w14:paraId="5D11C41E" w14:textId="77777777" w:rsidR="0097033C" w:rsidRPr="00925AE6" w:rsidRDefault="0097033C" w:rsidP="0097033C">
      <w:pPr>
        <w:ind w:left="567" w:hanging="567"/>
        <w:rPr>
          <w:rFonts w:ascii="Times New Roman"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19 janvier 2023</w:t>
      </w:r>
    </w:p>
    <w:p w14:paraId="0D9D913D" w14:textId="77777777" w:rsidR="0097033C" w:rsidRPr="00925AE6" w:rsidRDefault="0097033C" w:rsidP="0097033C">
      <w:pPr>
        <w:ind w:left="567" w:hanging="567"/>
        <w:rPr>
          <w:rFonts w:ascii="Times New Roman" w:hAnsi="Times New Roman"/>
        </w:rPr>
      </w:pPr>
      <w:r>
        <w:rPr>
          <w:rFonts w:ascii="Times New Roman" w:hAnsi="Times New Roman"/>
          <w:b/>
        </w:rPr>
        <w:t>4.</w:t>
      </w:r>
      <w:r>
        <w:tab/>
      </w:r>
      <w:r>
        <w:rPr>
          <w:rFonts w:ascii="Times New Roman" w:hAnsi="Times New Roman"/>
          <w:b/>
        </w:rPr>
        <w:t xml:space="preserve">Commission parlementaire compétente: </w:t>
      </w:r>
      <w:r>
        <w:rPr>
          <w:rFonts w:ascii="Times New Roman" w:hAnsi="Times New Roman"/>
        </w:rPr>
        <w:t>sans objet</w:t>
      </w:r>
    </w:p>
    <w:p w14:paraId="70D97892" w14:textId="77777777" w:rsidR="0097033C" w:rsidRPr="00925AE6" w:rsidRDefault="0097033C" w:rsidP="0097033C">
      <w:pPr>
        <w:widowControl w:val="0"/>
        <w:ind w:left="567" w:hanging="567"/>
        <w:rPr>
          <w:rFonts w:ascii="Times New Roman" w:hAnsi="Times New Roman"/>
          <w:b/>
          <w:szCs w:val="24"/>
        </w:rPr>
      </w:pPr>
      <w:r>
        <w:rPr>
          <w:rFonts w:ascii="Times New Roman" w:hAnsi="Times New Roman"/>
          <w:b/>
        </w:rPr>
        <w:t>5.</w:t>
      </w:r>
      <w:r>
        <w:tab/>
      </w:r>
      <w:r>
        <w:rPr>
          <w:rFonts w:ascii="Times New Roman" w:hAnsi="Times New Roman"/>
          <w:b/>
        </w:rPr>
        <w:t xml:space="preserve">Analyse/évaluation succincte de la résolution et des demandes qu’elle contient: </w:t>
      </w:r>
    </w:p>
    <w:p w14:paraId="61F367B5" w14:textId="77777777" w:rsidR="0097033C" w:rsidRDefault="0097033C" w:rsidP="0097033C">
      <w:pPr>
        <w:widowControl w:val="0"/>
        <w:spacing w:after="120"/>
        <w:rPr>
          <w:rFonts w:ascii="Times New Roman" w:hAnsi="Times New Roman"/>
        </w:rPr>
      </w:pPr>
      <w:r>
        <w:rPr>
          <w:rFonts w:ascii="Times New Roman" w:hAnsi="Times New Roman"/>
        </w:rPr>
        <w:t xml:space="preserve">La résolution du Parlement européen condamne une nouvelle fois l’acte d’agression mené par la Russie, qui constitue une violation claire de la charte des Nations unies et de l’ordre international fondé sur des règles (points 1 et 2). Elle invite l’Union européenne et ses États membres à faire pression en faveur de la création d’un tribunal spécial pour le crime d’agression contre l’Ukraine (point 3) et à rechercher activement le soutien de la communauté internationale, de préférence au sein des Nations unies (points 4 et 6). </w:t>
      </w:r>
    </w:p>
    <w:p w14:paraId="51DE6F88" w14:textId="5C055364" w:rsidR="0097033C" w:rsidRDefault="0097033C" w:rsidP="0097033C">
      <w:pPr>
        <w:widowControl w:val="0"/>
        <w:spacing w:after="120"/>
        <w:rPr>
          <w:rFonts w:ascii="Times New Roman" w:hAnsi="Times New Roman"/>
          <w:szCs w:val="24"/>
        </w:rPr>
      </w:pPr>
      <w:r>
        <w:rPr>
          <w:rFonts w:ascii="Times New Roman" w:hAnsi="Times New Roman"/>
        </w:rPr>
        <w:t>La résolution invite les institutions de l’Union, en particulier la Commission et le Service européen pour l’action extérieure (SEAE), à soutenir la mise en place d’un parquet provisoire, considérée comme une étape importante et concrète sur la voie d’enquêtes et de poursuites sur le crime d’agression (point 9).</w:t>
      </w:r>
    </w:p>
    <w:p w14:paraId="5D699A02" w14:textId="77777777" w:rsidR="0097033C" w:rsidRDefault="0097033C" w:rsidP="0097033C">
      <w:pPr>
        <w:widowControl w:val="0"/>
        <w:spacing w:after="120"/>
        <w:rPr>
          <w:rFonts w:ascii="Times New Roman" w:hAnsi="Times New Roman"/>
        </w:rPr>
      </w:pPr>
      <w:r>
        <w:rPr>
          <w:rFonts w:ascii="Times New Roman" w:hAnsi="Times New Roman"/>
        </w:rPr>
        <w:t>La résolution invite l’Union européenne, les États membres et leurs partenaires et alliés, à poursuivre les discussions engagées sur la possibilité juridique d’utiliser les avoirs souverains de l’État russe au bénéfice de l’Ukraine. Elle invite notamment à analyser plus en détail la possibilité de lever la protection accordée par l’immunité souveraine ou d’en limiter la portée au regard de la nature des violations commises durant la guerre d’agression de la Russie contre l’Ukraine (point 12).</w:t>
      </w:r>
    </w:p>
    <w:p w14:paraId="37462441" w14:textId="77777777" w:rsidR="0097033C" w:rsidRDefault="0097033C" w:rsidP="0097033C">
      <w:pPr>
        <w:widowControl w:val="0"/>
        <w:spacing w:after="120"/>
        <w:rPr>
          <w:rFonts w:ascii="Times New Roman" w:hAnsi="Times New Roman"/>
        </w:rPr>
      </w:pPr>
      <w:r>
        <w:rPr>
          <w:rFonts w:ascii="Times New Roman" w:hAnsi="Times New Roman"/>
        </w:rPr>
        <w:t>La résolution demande à l’UE d’adopter une position commune sur le crime d’agression et sur les amendements de Kampala. Elle demande également aux États membres qui ne l’ont pas encore fait de ratifier les amendements de Kampala. (point 15).</w:t>
      </w:r>
    </w:p>
    <w:p w14:paraId="18E9B02D" w14:textId="77777777" w:rsidR="0097033C" w:rsidRDefault="0097033C" w:rsidP="0097033C">
      <w:pPr>
        <w:widowControl w:val="0"/>
        <w:ind w:left="567" w:hanging="567"/>
        <w:rPr>
          <w:rFonts w:ascii="Times New Roman" w:hAnsi="Times New Roman"/>
          <w:b/>
          <w:bCs/>
        </w:rPr>
      </w:pPr>
      <w:r>
        <w:rPr>
          <w:rFonts w:ascii="Times New Roman" w:hAnsi="Times New Roman"/>
          <w:b/>
        </w:rPr>
        <w:t>6.</w:t>
      </w:r>
      <w:r>
        <w:tab/>
      </w:r>
      <w:r>
        <w:rPr>
          <w:rFonts w:ascii="Times New Roman" w:hAnsi="Times New Roman"/>
          <w:b/>
        </w:rPr>
        <w:t>Réponse à ces demandes et aperçu des mesures que la Commission a prises ou envisage de prendre:</w:t>
      </w:r>
    </w:p>
    <w:p w14:paraId="58186AAA" w14:textId="77777777" w:rsidR="0097033C" w:rsidRPr="00395C99" w:rsidRDefault="0097033C" w:rsidP="0097033C">
      <w:pPr>
        <w:widowControl w:val="0"/>
        <w:spacing w:after="120"/>
        <w:rPr>
          <w:rFonts w:ascii="Times New Roman" w:hAnsi="Times New Roman"/>
        </w:rPr>
      </w:pPr>
      <w:r>
        <w:rPr>
          <w:rFonts w:ascii="Times New Roman" w:hAnsi="Times New Roman"/>
        </w:rPr>
        <w:t xml:space="preserve">La résolution invite la Commission à soutenir la mise en place d’un tribunal spécial pour le crime d’agression contre l’Ukraine et à apporter une réponse juridique appropriée au moyen de diverses mesures. </w:t>
      </w:r>
    </w:p>
    <w:p w14:paraId="3BC0DE10" w14:textId="77777777" w:rsidR="0097033C" w:rsidRPr="00395C99" w:rsidRDefault="0097033C" w:rsidP="0097033C">
      <w:pPr>
        <w:spacing w:after="120"/>
        <w:rPr>
          <w:rFonts w:ascii="Times New Roman" w:hAnsi="Times New Roman"/>
        </w:rPr>
      </w:pPr>
      <w:r>
        <w:rPr>
          <w:rFonts w:ascii="Times New Roman" w:hAnsi="Times New Roman"/>
        </w:rPr>
        <w:t>Faisant écho aux conclusions présentées dans la résolution, la Commission a fait de bon nombre des mesures qui y sont recensées une priorité. Veiller à ce que les responsables du crime d’agression contre l’Ukraine rendent des comptes est un des principaux objectifs de la Commission.</w:t>
      </w:r>
    </w:p>
    <w:p w14:paraId="7113F1A3" w14:textId="538B776D" w:rsidR="0097033C" w:rsidRPr="00395C99" w:rsidRDefault="0097033C" w:rsidP="0097033C">
      <w:pPr>
        <w:widowControl w:val="0"/>
        <w:spacing w:after="120"/>
        <w:rPr>
          <w:rFonts w:ascii="Times New Roman" w:hAnsi="Times New Roman"/>
          <w:b/>
          <w:bCs/>
          <w:i/>
          <w:iCs/>
        </w:rPr>
      </w:pPr>
      <w:r>
        <w:rPr>
          <w:rFonts w:ascii="Times New Roman" w:hAnsi="Times New Roman"/>
          <w:b/>
          <w:i/>
        </w:rPr>
        <w:t>Invitation à soutenir la mise en place d’un tribunal spécial pour le crime d’agression (points </w:t>
      </w:r>
      <w:r w:rsidR="00BB3DAA">
        <w:rPr>
          <w:rFonts w:ascii="Times New Roman" w:hAnsi="Times New Roman"/>
          <w:b/>
          <w:i/>
        </w:rPr>
        <w:t>3, 4</w:t>
      </w:r>
      <w:r>
        <w:rPr>
          <w:rFonts w:ascii="Times New Roman" w:hAnsi="Times New Roman"/>
          <w:b/>
          <w:i/>
        </w:rPr>
        <w:t xml:space="preserve"> et</w:t>
      </w:r>
      <w:r w:rsidR="00BB3DAA">
        <w:rPr>
          <w:rFonts w:ascii="Times New Roman" w:hAnsi="Times New Roman"/>
          <w:b/>
          <w:i/>
        </w:rPr>
        <w:t> </w:t>
      </w:r>
      <w:r>
        <w:rPr>
          <w:rFonts w:ascii="Times New Roman" w:hAnsi="Times New Roman"/>
          <w:b/>
          <w:i/>
        </w:rPr>
        <w:t>6)</w:t>
      </w:r>
    </w:p>
    <w:p w14:paraId="2529F4A6" w14:textId="77777777" w:rsidR="0097033C" w:rsidRPr="000D2086" w:rsidRDefault="0097033C" w:rsidP="0097033C">
      <w:pPr>
        <w:widowControl w:val="0"/>
        <w:spacing w:after="120"/>
        <w:rPr>
          <w:rFonts w:ascii="Times New Roman" w:hAnsi="Times New Roman"/>
          <w:color w:val="000000" w:themeColor="text1"/>
        </w:rPr>
      </w:pPr>
      <w:r>
        <w:rPr>
          <w:rFonts w:ascii="Times New Roman" w:hAnsi="Times New Roman"/>
          <w:color w:val="000000" w:themeColor="text1"/>
        </w:rPr>
        <w:t xml:space="preserve">Dans ses conclusions des 20 et 21 octobre 2022, le Conseil européen a invité le haut représentant et la Commission à étudier les options permettant de faire en sorte que les auteurs </w:t>
      </w:r>
      <w:r>
        <w:rPr>
          <w:rFonts w:ascii="Times New Roman" w:hAnsi="Times New Roman"/>
          <w:color w:val="000000" w:themeColor="text1"/>
        </w:rPr>
        <w:lastRenderedPageBreak/>
        <w:t>des atrocités commises en Ukraine répondent pleinement de leurs actes, y compris du crime d’agression. La nécessité de faire avancer les travaux visant à ce que les responsables du crime d’agression rendent des comptes a été de nouveau mentionnée dans les conclusions du Conseil européen du 15 décembre. La Commission et le haut représentant ont préparé un document d’options qui présente les pistes possibles pour garantir que les Russes, y compris leurs dirigeants, répondent pleinement de leurs actes en matière de crimes internationaux. Ce document examine tout particulièrement la légitimité de la mise en place d’un mécanisme d'établissement des responsabilités qui pourrait permettre d’engager des poursuites à l’encontre des plus hauts dirigeants russes responsables du crime d’agression.</w:t>
      </w:r>
    </w:p>
    <w:p w14:paraId="559B56A6" w14:textId="48CF807F" w:rsidR="0097033C" w:rsidRPr="000D2086" w:rsidRDefault="0097033C" w:rsidP="0097033C">
      <w:pPr>
        <w:widowControl w:val="0"/>
        <w:spacing w:after="120"/>
        <w:rPr>
          <w:rFonts w:ascii="Times New Roman" w:hAnsi="Times New Roman"/>
          <w:color w:val="000000" w:themeColor="text1"/>
        </w:rPr>
      </w:pPr>
      <w:r>
        <w:rPr>
          <w:rFonts w:ascii="Times New Roman" w:hAnsi="Times New Roman"/>
          <w:color w:val="000000" w:themeColor="text1"/>
        </w:rPr>
        <w:t xml:space="preserve">Le document vise à approfondir les réflexions sur ce sujet qui soulève des questions politiques et juridiques complexes et appelle de nouvelles discussions avec les États membres et l’Ukraine, ainsi qu’avec les partenaires internationaux de l’Union. </w:t>
      </w:r>
    </w:p>
    <w:p w14:paraId="4358100C" w14:textId="77777777" w:rsidR="0097033C" w:rsidRPr="003515C1" w:rsidRDefault="0097033C" w:rsidP="0097033C">
      <w:pPr>
        <w:widowControl w:val="0"/>
        <w:spacing w:after="120"/>
        <w:rPr>
          <w:rFonts w:ascii="Times New Roman" w:hAnsi="Times New Roman"/>
          <w:color w:val="000000" w:themeColor="text1"/>
        </w:rPr>
      </w:pPr>
      <w:r>
        <w:rPr>
          <w:rFonts w:ascii="Times New Roman" w:hAnsi="Times New Roman"/>
          <w:color w:val="000000" w:themeColor="text1"/>
        </w:rPr>
        <w:t>La Commission et le SEAE travaillent en étroite coordination avec les institutions européennes et internationales concernées, ainsi qu’avec l’Ukraine et d’autres partenaires partageant les mêmes valeurs - notamment au niveau du G7 - pour trouver un mécanisme approprié qui pourrait obtenir l'appui international nécessaire.</w:t>
      </w:r>
    </w:p>
    <w:p w14:paraId="246C6BDC" w14:textId="77777777" w:rsidR="0097033C" w:rsidRPr="000D2086" w:rsidRDefault="0097033C" w:rsidP="0097033C">
      <w:pPr>
        <w:widowControl w:val="0"/>
        <w:spacing w:after="120"/>
        <w:rPr>
          <w:rFonts w:ascii="Times New Roman" w:hAnsi="Times New Roman"/>
          <w:color w:val="000000" w:themeColor="text1"/>
        </w:rPr>
      </w:pPr>
      <w:r>
        <w:rPr>
          <w:rFonts w:ascii="Times New Roman" w:hAnsi="Times New Roman"/>
          <w:color w:val="000000" w:themeColor="text1"/>
        </w:rPr>
        <w:t>L’assemblée générale des Nations unies a adopté, le 23 février, la résolution en faveur d’une paix juste, qui fait référence à la nécessité de faire en sorte que les auteurs des crimes les plus graves au regard du droit international qui auront été commis sur le territoire ukrainien répondent de leurs actes. Le SEAE et les services de la Commission coopèrent étroitement avec la délégation de l’Union européenne à New York afin de coordonner les actions sur le plan international.</w:t>
      </w:r>
    </w:p>
    <w:p w14:paraId="6E72A60B" w14:textId="77777777" w:rsidR="0097033C" w:rsidRPr="000D2086" w:rsidRDefault="0097033C" w:rsidP="0097033C">
      <w:pPr>
        <w:widowControl w:val="0"/>
        <w:spacing w:after="120"/>
        <w:rPr>
          <w:rFonts w:ascii="Times New Roman" w:hAnsi="Times New Roman"/>
          <w:color w:val="000000" w:themeColor="text1"/>
        </w:rPr>
      </w:pPr>
      <w:r>
        <w:rPr>
          <w:rFonts w:ascii="Times New Roman" w:hAnsi="Times New Roman"/>
          <w:color w:val="000000" w:themeColor="text1"/>
        </w:rPr>
        <w:t>Le SEAE et les services de la Commission continueront d'œuvrer pour une compréhension et une aide internationales qui puissent garantir l'obligation de rendre des comptes et le respect des valeurs de justice et de paix.</w:t>
      </w:r>
    </w:p>
    <w:p w14:paraId="3F58ED01" w14:textId="77777777" w:rsidR="0097033C" w:rsidRDefault="0097033C" w:rsidP="0097033C">
      <w:pPr>
        <w:spacing w:after="120"/>
        <w:rPr>
          <w:rFonts w:ascii="Times New Roman" w:hAnsi="Times New Roman"/>
          <w:b/>
          <w:bCs/>
          <w:i/>
          <w:iCs/>
          <w:szCs w:val="24"/>
        </w:rPr>
      </w:pPr>
      <w:r>
        <w:rPr>
          <w:rFonts w:ascii="Times New Roman" w:hAnsi="Times New Roman"/>
          <w:b/>
          <w:i/>
        </w:rPr>
        <w:t>Invitation à soutenir la mise en place d’un parquet provisoire pour le crime d’agression (point 9)</w:t>
      </w:r>
    </w:p>
    <w:p w14:paraId="518926B0" w14:textId="77777777" w:rsidR="0097033C" w:rsidRDefault="0097033C" w:rsidP="0097033C">
      <w:pPr>
        <w:spacing w:after="120"/>
        <w:rPr>
          <w:rFonts w:ascii="Times New Roman" w:hAnsi="Times New Roman"/>
        </w:rPr>
      </w:pPr>
      <w:r>
        <w:rPr>
          <w:rFonts w:ascii="Times New Roman" w:hAnsi="Times New Roman"/>
        </w:rPr>
        <w:t>La Commission prend actuellement des mesures pour utiliser la structure existante de l’équipe commune d’enquête créée pour traiter les crimes internationaux commis en Ukraine afin de mettre en place un centre de coordination bénéficiant d'un soutien international et hébergé par l’Agence de l’Union européenne pour la coopération judiciaire en matière pénale (Eurojust). Le centre international chargé des poursuites pour le crime d’agression contre l’Ukraine (ICPA) fournira une structure pour aider l’Ukraine et les autres membres de l’équipe commune d’enquête. Il assurera la collecte, l’analyse et la préservation des preuves relatives au crime d’agression commis contre l’Ukraine en vue de futurs procès, que ce soit devant les autorités nationales, la Cour pénale internationale (pour les crimes relevant de sa compétence) ou un éventuel futur tribunal spécial.</w:t>
      </w:r>
    </w:p>
    <w:p w14:paraId="159E1A49" w14:textId="77777777" w:rsidR="0097033C" w:rsidRDefault="0097033C" w:rsidP="0097033C">
      <w:pPr>
        <w:spacing w:after="120"/>
        <w:rPr>
          <w:rFonts w:ascii="Times New Roman" w:hAnsi="Times New Roman"/>
        </w:rPr>
      </w:pPr>
      <w:r>
        <w:rPr>
          <w:rFonts w:ascii="Times New Roman" w:hAnsi="Times New Roman"/>
        </w:rPr>
        <w:t>L’ICPA permettra aux procureurs ukrainiens et aux autres membres de l’équipe commune d’enquête sur l’Ukraine de travailler ensemble dans les mêmes locaux et de bénéficier d’un soutien constant de la part d’Eurojust. Il permettra aussi une coopération étroite avec la Cour pénale internationale, qui fait également partie de l’équipe commune d’enquête. À la demande des autorités nationales compétentes, les preuves pourraient être conservées dans la base de données sur les preuves de grands crimes internationaux d’Eurojust, en vue d’une utilisation ultérieure.</w:t>
      </w:r>
    </w:p>
    <w:p w14:paraId="6D632F05" w14:textId="77777777" w:rsidR="0097033C" w:rsidRDefault="0097033C" w:rsidP="0097033C">
      <w:pPr>
        <w:spacing w:after="120"/>
        <w:rPr>
          <w:rFonts w:ascii="Times New Roman" w:hAnsi="Times New Roman"/>
        </w:rPr>
      </w:pPr>
      <w:r>
        <w:rPr>
          <w:rFonts w:ascii="Times New Roman" w:hAnsi="Times New Roman"/>
        </w:rPr>
        <w:t xml:space="preserve">À la suite de l’approbation du Conseil européen du 10 février, les membres de l’équipe commune d’enquête ont franchi une première étape importante en modifiant la base juridique de la coopération de manière à permettre une coopération renforcée au sein de l’ICPA. </w:t>
      </w:r>
      <w:r>
        <w:rPr>
          <w:rFonts w:ascii="Times New Roman" w:hAnsi="Times New Roman"/>
        </w:rPr>
        <w:lastRenderedPageBreak/>
        <w:t>Actuellement, les discussions avec les parties prenantes concernées se poursuivent à propos des modalités exactes de cette coopération renforcée et de sa mise en œuvre, y compris en ce qui concerne les questions budgétaires et de sécurité.</w:t>
      </w:r>
    </w:p>
    <w:p w14:paraId="110FBE1E" w14:textId="77777777" w:rsidR="0097033C" w:rsidRPr="00395C99" w:rsidRDefault="0097033C" w:rsidP="0097033C">
      <w:pPr>
        <w:widowControl w:val="0"/>
        <w:spacing w:after="120"/>
        <w:rPr>
          <w:rFonts w:ascii="Times New Roman" w:hAnsi="Times New Roman"/>
          <w:b/>
          <w:bCs/>
          <w:i/>
          <w:iCs/>
        </w:rPr>
      </w:pPr>
      <w:r>
        <w:rPr>
          <w:rFonts w:ascii="Times New Roman" w:hAnsi="Times New Roman"/>
          <w:b/>
          <w:i/>
        </w:rPr>
        <w:t>Invitation à adopter une position commune sur le crime d’agression et sur les amendements de Kampala (point 15)</w:t>
      </w:r>
    </w:p>
    <w:p w14:paraId="23FD3C92" w14:textId="77777777" w:rsidR="0097033C" w:rsidRPr="00692656" w:rsidRDefault="0097033C" w:rsidP="0097033C">
      <w:pPr>
        <w:widowControl w:val="0"/>
        <w:spacing w:after="120"/>
        <w:rPr>
          <w:rFonts w:ascii="Times New Roman" w:hAnsi="Times New Roman"/>
        </w:rPr>
      </w:pPr>
      <w:r>
        <w:rPr>
          <w:rFonts w:ascii="Times New Roman" w:hAnsi="Times New Roman"/>
        </w:rPr>
        <w:t>La Commission continuera à promouvoir la justice internationale et la lutte contre l’impunité en encourageant l’Ukraine et d’autres pays tiers, mais aussi les États membres qui n’ont pas accepté les amendements relatifs au crime d’agression, à ratifier le statut de Rome, y compris les amendements de Kampala.</w:t>
      </w:r>
    </w:p>
    <w:p w14:paraId="4509854E" w14:textId="77777777" w:rsidR="0097033C" w:rsidRPr="00692656" w:rsidRDefault="0097033C" w:rsidP="0097033C">
      <w:pPr>
        <w:spacing w:after="120"/>
        <w:rPr>
          <w:rFonts w:ascii="Times New Roman" w:eastAsia="Calibri" w:hAnsi="Times New Roman"/>
          <w:b/>
          <w:bCs/>
          <w:i/>
          <w:iCs/>
        </w:rPr>
      </w:pPr>
      <w:r>
        <w:rPr>
          <w:rFonts w:ascii="Times New Roman" w:hAnsi="Times New Roman"/>
          <w:b/>
          <w:i/>
        </w:rPr>
        <w:t>Invitation à engager des discussions sur la possibilité d’utiliser les avoirs souverains de l’État russe au bénéfice de l’Ukraine (point 12)</w:t>
      </w:r>
    </w:p>
    <w:p w14:paraId="194BDA21" w14:textId="77777777" w:rsidR="0097033C" w:rsidRPr="00361D47" w:rsidRDefault="0097033C" w:rsidP="0097033C">
      <w:pPr>
        <w:spacing w:after="120"/>
        <w:rPr>
          <w:rFonts w:ascii="Times New Roman" w:hAnsi="Times New Roman"/>
        </w:rPr>
      </w:pPr>
      <w:r>
        <w:rPr>
          <w:rFonts w:ascii="Times New Roman" w:hAnsi="Times New Roman"/>
        </w:rPr>
        <w:t>La Commission est fermement résolue à faire en sorte que la Russie paie pour les dommages causés par sa guerre d’agression contre l’Ukraine. À la suite des conclusions du Conseil européen des 20 et 21 octobre 2022, la Commission a présenté, le 30 novembre 2022, différentes options pour une utilisation possible des avoirs russes gelés et immobilisés au profit de l’Ukraine. À court terme, la Commission étudie des options pour la gestion financière des fonds publics russes concernés. Ces options ont été présentées aux États membres. Cette présentation est sans préjudice des discussions menées à ce sujet avec des partenaires partageant les mêmes valeurs en dehors de l’Union et dans le contexte d’organisations internationales. Un groupe ad hoc sur les avoirs gelés et immobilisés a également été créé au sein du Conseil afin d’examiner la question de l’utilisation des avoirs russes gelés à des fins de compensation.</w:t>
      </w:r>
    </w:p>
    <w:p w14:paraId="0DFBE0D5" w14:textId="6B53FD7B" w:rsidR="0097033C" w:rsidRPr="00361D47" w:rsidRDefault="0097033C" w:rsidP="0097033C">
      <w:pPr>
        <w:spacing w:after="120"/>
        <w:rPr>
          <w:rFonts w:ascii="Times New Roman" w:eastAsia="Calibri" w:hAnsi="Times New Roman"/>
        </w:rPr>
      </w:pPr>
      <w:r>
        <w:rPr>
          <w:rFonts w:ascii="Times New Roman" w:hAnsi="Times New Roman"/>
        </w:rPr>
        <w:t>Dans ses conclusions du 15 décembre 2022, le Conseil européen a fait le point sur les options présentées par la Commission et l’a invitée à faire avancer les travaux. La Commission travaille actuellement en étroite coopération avec les États membres afin de continuer à inventorier et à tracer les avoirs russes immobilisés dans l’UE. Dans le contexte la task force «Gel et saisie», un questionnaire sur la déclaration des avoirs gelés et immobilisés a été transmis aux États membres le 19 janvier. La proposition conjointe de la Commission et du haut représentant concernant un dixième train de sanctions, qui a été adoptée par le Conseil le 25 février, comprend de nouvelles obligations de déclaration des avoirs immobilisés pour les États membres. Cette initiative est le résultat d’une étroite coopération avec nos partenaires internationaux, notamment le groupe de travail du G7 sur les élites, les mandataires et les oligarques russes (task force «REPO»).</w:t>
      </w:r>
    </w:p>
    <w:p w14:paraId="12ED11BD" w14:textId="77777777" w:rsidR="0097033C" w:rsidRPr="00EB72B4" w:rsidRDefault="0097033C" w:rsidP="0097033C">
      <w:pPr>
        <w:spacing w:after="120"/>
        <w:rPr>
          <w:rFonts w:ascii="Times New Roman" w:hAnsi="Times New Roman"/>
          <w:color w:val="000000"/>
          <w:szCs w:val="24"/>
        </w:rPr>
      </w:pPr>
      <w:r>
        <w:rPr>
          <w:rFonts w:ascii="Times New Roman" w:hAnsi="Times New Roman"/>
        </w:rPr>
        <w:t>Le 2 décembre, la Commission a adopté une proposition de directive relative à la définition des infractions pénales et des sanctions applicables en cas de violation des mesures restrictives de l’Union. Des discussions sont en cours au Conseil et au Parlement européen. Cette proposition renforcerait l’application des mesures restrictives dans les États membres, réduirait le risque que les contrevenants recherchent la juridiction la plus favorable, augmenterait l’effet dissuasif des sanctions et contribuerait à créer des conditions d’égalité entre les États membres et au niveau mondial. Enfin, après l’entrée en vigueur de ces règles relatives au rapprochement des définitions des infractions pénales et des sanctions liées à la violation des mesures restrictives de l’Union, les règles renforcées en matière de recouvrement et de confiscation d’avoirs, énoncées dans la proposition de directive révisée relative au recouvrement et à la confiscation d’avoirs qui a été adoptée par la Commission en mai 2022 et qui fait actuellement l’objet de discussions au Conseil et au Parlement européen, pourraient devenir applicables aux biens liés à la violation des mesures restrictives de l’Union. En effet, les produits de la violation des mesures restrictives de l’Union pourraient faire l’objet de mesures de confiscation en vertu du droit pénal.</w:t>
      </w:r>
    </w:p>
    <w:bookmarkEnd w:id="1"/>
    <w:bookmarkEnd w:id="2"/>
    <w:sectPr w:rsidR="0097033C" w:rsidRPr="00EB72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8CE2" w14:textId="77777777" w:rsidR="00943E9F" w:rsidRDefault="00943E9F" w:rsidP="00FB61D4">
      <w:pPr>
        <w:spacing w:after="0"/>
      </w:pPr>
      <w:r>
        <w:separator/>
      </w:r>
    </w:p>
  </w:endnote>
  <w:endnote w:type="continuationSeparator" w:id="0">
    <w:p w14:paraId="2F2E917F" w14:textId="77777777" w:rsidR="00943E9F" w:rsidRDefault="00943E9F" w:rsidP="00FB61D4">
      <w:pPr>
        <w:spacing w:after="0"/>
      </w:pPr>
      <w:r>
        <w:continuationSeparator/>
      </w:r>
    </w:p>
  </w:endnote>
  <w:endnote w:type="continuationNotice" w:id="1">
    <w:p w14:paraId="4CE97D12" w14:textId="77777777" w:rsidR="00943E9F" w:rsidRDefault="00943E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13385"/>
      <w:docPartObj>
        <w:docPartGallery w:val="Page Numbers (Bottom of Page)"/>
        <w:docPartUnique/>
      </w:docPartObj>
    </w:sdtPr>
    <w:sdtEndPr>
      <w:rPr>
        <w:noProof/>
      </w:rPr>
    </w:sdtEndPr>
    <w:sdtContent>
      <w:p w14:paraId="4F577C66" w14:textId="70FA32E7" w:rsidR="00DB7552" w:rsidRDefault="00DB7552">
        <w:pPr>
          <w:pStyle w:val="Footer"/>
          <w:jc w:val="cente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BB3DAA">
          <w:rPr>
            <w:rFonts w:ascii="Times New Roman" w:hAnsi="Times New Roman"/>
            <w:noProof/>
            <w:sz w:val="20"/>
          </w:rPr>
          <w:t>1</w:t>
        </w:r>
        <w:r>
          <w:rPr>
            <w:rFonts w:ascii="Times New Roman" w:hAnsi="Times New Roman"/>
            <w:sz w:val="20"/>
          </w:rPr>
          <w:fldChar w:fldCharType="end"/>
        </w:r>
      </w:p>
    </w:sdtContent>
  </w:sdt>
  <w:p w14:paraId="2BF20521" w14:textId="7E4A1956" w:rsidR="4CD1BBF1" w:rsidRDefault="4CD1BBF1" w:rsidP="006F0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FCB85" w14:textId="77777777" w:rsidR="00943E9F" w:rsidRDefault="00943E9F" w:rsidP="00FB61D4">
      <w:pPr>
        <w:spacing w:after="0"/>
      </w:pPr>
      <w:r>
        <w:separator/>
      </w:r>
    </w:p>
  </w:footnote>
  <w:footnote w:type="continuationSeparator" w:id="0">
    <w:p w14:paraId="03915DBD" w14:textId="77777777" w:rsidR="00943E9F" w:rsidRDefault="00943E9F" w:rsidP="00FB61D4">
      <w:pPr>
        <w:spacing w:after="0"/>
      </w:pPr>
      <w:r>
        <w:continuationSeparator/>
      </w:r>
    </w:p>
  </w:footnote>
  <w:footnote w:type="continuationNotice" w:id="1">
    <w:p w14:paraId="0FC2793F" w14:textId="77777777" w:rsidR="00943E9F" w:rsidRDefault="00943E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D4DD" w14:textId="607B0AB9" w:rsidR="00755A16" w:rsidRDefault="00755A16">
    <w:pPr>
      <w:pStyle w:val="Header"/>
      <w:jc w:val="center"/>
    </w:pPr>
  </w:p>
  <w:p w14:paraId="0FB02115" w14:textId="08311B34" w:rsidR="4CD1BBF1" w:rsidRDefault="4CD1BBF1" w:rsidP="006F0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D939E"/>
    <w:multiLevelType w:val="hybridMultilevel"/>
    <w:tmpl w:val="D0B2C6FC"/>
    <w:lvl w:ilvl="0" w:tplc="FFFFFFFF">
      <w:start w:val="1"/>
      <w:numFmt w:val="bullet"/>
      <w:lvlText w:val=""/>
      <w:lvlJc w:val="left"/>
      <w:pPr>
        <w:ind w:left="720" w:hanging="360"/>
      </w:pPr>
      <w:rPr>
        <w:rFonts w:ascii="Symbol" w:hAnsi="Symbol" w:hint="default"/>
      </w:rPr>
    </w:lvl>
    <w:lvl w:ilvl="1" w:tplc="F5A6A38A">
      <w:start w:val="1"/>
      <w:numFmt w:val="bullet"/>
      <w:lvlText w:val="o"/>
      <w:lvlJc w:val="left"/>
      <w:pPr>
        <w:ind w:left="1440" w:hanging="360"/>
      </w:pPr>
      <w:rPr>
        <w:rFonts w:ascii="Courier New" w:hAnsi="Courier New" w:hint="default"/>
      </w:rPr>
    </w:lvl>
    <w:lvl w:ilvl="2" w:tplc="7F4C2ABC">
      <w:start w:val="1"/>
      <w:numFmt w:val="bullet"/>
      <w:lvlText w:val=""/>
      <w:lvlJc w:val="left"/>
      <w:pPr>
        <w:ind w:left="2160" w:hanging="360"/>
      </w:pPr>
      <w:rPr>
        <w:rFonts w:ascii="Wingdings" w:hAnsi="Wingdings" w:hint="default"/>
      </w:rPr>
    </w:lvl>
    <w:lvl w:ilvl="3" w:tplc="BE7647C0">
      <w:start w:val="1"/>
      <w:numFmt w:val="bullet"/>
      <w:lvlText w:val=""/>
      <w:lvlJc w:val="left"/>
      <w:pPr>
        <w:ind w:left="2880" w:hanging="360"/>
      </w:pPr>
      <w:rPr>
        <w:rFonts w:ascii="Symbol" w:hAnsi="Symbol" w:hint="default"/>
      </w:rPr>
    </w:lvl>
    <w:lvl w:ilvl="4" w:tplc="1BA4DE7E">
      <w:start w:val="1"/>
      <w:numFmt w:val="bullet"/>
      <w:lvlText w:val="o"/>
      <w:lvlJc w:val="left"/>
      <w:pPr>
        <w:ind w:left="3600" w:hanging="360"/>
      </w:pPr>
      <w:rPr>
        <w:rFonts w:ascii="Courier New" w:hAnsi="Courier New" w:hint="default"/>
      </w:rPr>
    </w:lvl>
    <w:lvl w:ilvl="5" w:tplc="0F987C3C">
      <w:start w:val="1"/>
      <w:numFmt w:val="bullet"/>
      <w:lvlText w:val=""/>
      <w:lvlJc w:val="left"/>
      <w:pPr>
        <w:ind w:left="4320" w:hanging="360"/>
      </w:pPr>
      <w:rPr>
        <w:rFonts w:ascii="Wingdings" w:hAnsi="Wingdings" w:hint="default"/>
      </w:rPr>
    </w:lvl>
    <w:lvl w:ilvl="6" w:tplc="ADE84618">
      <w:start w:val="1"/>
      <w:numFmt w:val="bullet"/>
      <w:lvlText w:val=""/>
      <w:lvlJc w:val="left"/>
      <w:pPr>
        <w:ind w:left="5040" w:hanging="360"/>
      </w:pPr>
      <w:rPr>
        <w:rFonts w:ascii="Symbol" w:hAnsi="Symbol" w:hint="default"/>
      </w:rPr>
    </w:lvl>
    <w:lvl w:ilvl="7" w:tplc="5CD4CEF2">
      <w:start w:val="1"/>
      <w:numFmt w:val="bullet"/>
      <w:lvlText w:val="o"/>
      <w:lvlJc w:val="left"/>
      <w:pPr>
        <w:ind w:left="5760" w:hanging="360"/>
      </w:pPr>
      <w:rPr>
        <w:rFonts w:ascii="Courier New" w:hAnsi="Courier New" w:hint="default"/>
      </w:rPr>
    </w:lvl>
    <w:lvl w:ilvl="8" w:tplc="D636615A">
      <w:start w:val="1"/>
      <w:numFmt w:val="bullet"/>
      <w:lvlText w:val=""/>
      <w:lvlJc w:val="left"/>
      <w:pPr>
        <w:ind w:left="6480" w:hanging="360"/>
      </w:pPr>
      <w:rPr>
        <w:rFonts w:ascii="Wingdings" w:hAnsi="Wingdings" w:hint="default"/>
      </w:rPr>
    </w:lvl>
  </w:abstractNum>
  <w:abstractNum w:abstractNumId="1" w15:restartNumberingAfterBreak="0">
    <w:nsid w:val="37AF627B"/>
    <w:multiLevelType w:val="hybridMultilevel"/>
    <w:tmpl w:val="BDC4B53A"/>
    <w:lvl w:ilvl="0" w:tplc="FC0AB978">
      <w:start w:val="5"/>
      <w:numFmt w:val="bullet"/>
      <w:lvlText w:val=""/>
      <w:lvlJc w:val="left"/>
      <w:pPr>
        <w:ind w:left="720" w:hanging="360"/>
      </w:pPr>
      <w:rPr>
        <w:rFonts w:ascii="Wingdings" w:eastAsia="Times New Roman" w:hAnsi="Wingdings"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360D0"/>
    <w:multiLevelType w:val="hybridMultilevel"/>
    <w:tmpl w:val="BD44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D3A85"/>
    <w:multiLevelType w:val="hybridMultilevel"/>
    <w:tmpl w:val="1A8E3026"/>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083B4C"/>
    <w:multiLevelType w:val="hybridMultilevel"/>
    <w:tmpl w:val="CA6C3B16"/>
    <w:lvl w:ilvl="0" w:tplc="0B1ECCC8">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45404E"/>
    <w:multiLevelType w:val="hybridMultilevel"/>
    <w:tmpl w:val="4B16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29842380">
    <w:abstractNumId w:val="0"/>
  </w:num>
  <w:num w:numId="2" w16cid:durableId="1094209450">
    <w:abstractNumId w:val="4"/>
  </w:num>
  <w:num w:numId="3" w16cid:durableId="1570968006">
    <w:abstractNumId w:val="1"/>
  </w:num>
  <w:num w:numId="4" w16cid:durableId="965816451">
    <w:abstractNumId w:val="5"/>
  </w:num>
  <w:num w:numId="5" w16cid:durableId="245383850">
    <w:abstractNumId w:val="2"/>
  </w:num>
  <w:num w:numId="6" w16cid:durableId="1993630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FR" w:vendorID="64" w:dllVersion="6"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B61D4"/>
    <w:rsid w:val="00086792"/>
    <w:rsid w:val="00090608"/>
    <w:rsid w:val="0009429D"/>
    <w:rsid w:val="000B4579"/>
    <w:rsid w:val="000C0FDB"/>
    <w:rsid w:val="000D2086"/>
    <w:rsid w:val="000D2D5B"/>
    <w:rsid w:val="000E0193"/>
    <w:rsid w:val="00110DBF"/>
    <w:rsid w:val="001207CA"/>
    <w:rsid w:val="001967B3"/>
    <w:rsid w:val="001F0588"/>
    <w:rsid w:val="00234879"/>
    <w:rsid w:val="00236080"/>
    <w:rsid w:val="00254932"/>
    <w:rsid w:val="00261C21"/>
    <w:rsid w:val="00267882"/>
    <w:rsid w:val="00274A56"/>
    <w:rsid w:val="00281D80"/>
    <w:rsid w:val="00282B5C"/>
    <w:rsid w:val="00287F84"/>
    <w:rsid w:val="002B6696"/>
    <w:rsid w:val="002F5130"/>
    <w:rsid w:val="00300888"/>
    <w:rsid w:val="00317177"/>
    <w:rsid w:val="003471DA"/>
    <w:rsid w:val="003515C1"/>
    <w:rsid w:val="00361D47"/>
    <w:rsid w:val="00363C4A"/>
    <w:rsid w:val="00387BA5"/>
    <w:rsid w:val="003D19CA"/>
    <w:rsid w:val="00403D79"/>
    <w:rsid w:val="0041777B"/>
    <w:rsid w:val="00417F77"/>
    <w:rsid w:val="00425D80"/>
    <w:rsid w:val="00442621"/>
    <w:rsid w:val="004460E2"/>
    <w:rsid w:val="00453263"/>
    <w:rsid w:val="00481966"/>
    <w:rsid w:val="00485242"/>
    <w:rsid w:val="00490588"/>
    <w:rsid w:val="004A1F63"/>
    <w:rsid w:val="004B5FEF"/>
    <w:rsid w:val="004B6537"/>
    <w:rsid w:val="004E3566"/>
    <w:rsid w:val="004F170A"/>
    <w:rsid w:val="005139C6"/>
    <w:rsid w:val="0054521C"/>
    <w:rsid w:val="005A5997"/>
    <w:rsid w:val="005D2360"/>
    <w:rsid w:val="00601140"/>
    <w:rsid w:val="00622777"/>
    <w:rsid w:val="00677E1C"/>
    <w:rsid w:val="00692656"/>
    <w:rsid w:val="006A0C35"/>
    <w:rsid w:val="006A3727"/>
    <w:rsid w:val="006B63B3"/>
    <w:rsid w:val="006C7812"/>
    <w:rsid w:val="006F0584"/>
    <w:rsid w:val="00725D2E"/>
    <w:rsid w:val="007331CF"/>
    <w:rsid w:val="00755A16"/>
    <w:rsid w:val="0078C267"/>
    <w:rsid w:val="007C6C16"/>
    <w:rsid w:val="007D2E32"/>
    <w:rsid w:val="00840A40"/>
    <w:rsid w:val="00841B62"/>
    <w:rsid w:val="00846116"/>
    <w:rsid w:val="008D6565"/>
    <w:rsid w:val="008E002E"/>
    <w:rsid w:val="00943E9F"/>
    <w:rsid w:val="0095234C"/>
    <w:rsid w:val="0095275C"/>
    <w:rsid w:val="00957568"/>
    <w:rsid w:val="0097033C"/>
    <w:rsid w:val="00983160"/>
    <w:rsid w:val="009855A4"/>
    <w:rsid w:val="009B3551"/>
    <w:rsid w:val="00A3708E"/>
    <w:rsid w:val="00A43896"/>
    <w:rsid w:val="00A65DA4"/>
    <w:rsid w:val="00A97C5D"/>
    <w:rsid w:val="00AD505C"/>
    <w:rsid w:val="00AE6B35"/>
    <w:rsid w:val="00AF175C"/>
    <w:rsid w:val="00AF31CF"/>
    <w:rsid w:val="00AF52B3"/>
    <w:rsid w:val="00B52FBC"/>
    <w:rsid w:val="00B57B6B"/>
    <w:rsid w:val="00B666FB"/>
    <w:rsid w:val="00B82607"/>
    <w:rsid w:val="00BB1A7D"/>
    <w:rsid w:val="00BB3DAA"/>
    <w:rsid w:val="00BB4A0F"/>
    <w:rsid w:val="00BB7D5F"/>
    <w:rsid w:val="00BE621F"/>
    <w:rsid w:val="00C07B43"/>
    <w:rsid w:val="00C1633A"/>
    <w:rsid w:val="00C32FD0"/>
    <w:rsid w:val="00C510AD"/>
    <w:rsid w:val="00C52A61"/>
    <w:rsid w:val="00C816B7"/>
    <w:rsid w:val="00C86068"/>
    <w:rsid w:val="00C870CA"/>
    <w:rsid w:val="00CA4087"/>
    <w:rsid w:val="00D826DE"/>
    <w:rsid w:val="00D832AF"/>
    <w:rsid w:val="00DB7552"/>
    <w:rsid w:val="00DC17E5"/>
    <w:rsid w:val="00DF2CC1"/>
    <w:rsid w:val="00E21825"/>
    <w:rsid w:val="00E43046"/>
    <w:rsid w:val="00E433E7"/>
    <w:rsid w:val="00E53A56"/>
    <w:rsid w:val="00E563BA"/>
    <w:rsid w:val="00E86EAB"/>
    <w:rsid w:val="00EE4C09"/>
    <w:rsid w:val="00F01104"/>
    <w:rsid w:val="00F32F33"/>
    <w:rsid w:val="00F36850"/>
    <w:rsid w:val="00F72AA0"/>
    <w:rsid w:val="00F75E12"/>
    <w:rsid w:val="00F907C7"/>
    <w:rsid w:val="00FA38C4"/>
    <w:rsid w:val="00FB4DEE"/>
    <w:rsid w:val="00FB61D4"/>
    <w:rsid w:val="00FC3914"/>
    <w:rsid w:val="00FD1C12"/>
    <w:rsid w:val="020E3555"/>
    <w:rsid w:val="025C62A8"/>
    <w:rsid w:val="02928D74"/>
    <w:rsid w:val="02EE3B1C"/>
    <w:rsid w:val="0391A425"/>
    <w:rsid w:val="042054C4"/>
    <w:rsid w:val="045C4747"/>
    <w:rsid w:val="04A290A5"/>
    <w:rsid w:val="04A8AF0B"/>
    <w:rsid w:val="061A7F20"/>
    <w:rsid w:val="06348F24"/>
    <w:rsid w:val="07332DFE"/>
    <w:rsid w:val="0757F586"/>
    <w:rsid w:val="077AA08F"/>
    <w:rsid w:val="077DA8B3"/>
    <w:rsid w:val="08257892"/>
    <w:rsid w:val="084F5B72"/>
    <w:rsid w:val="088BC1D2"/>
    <w:rsid w:val="08CEFE5F"/>
    <w:rsid w:val="08EAC4C1"/>
    <w:rsid w:val="0986302A"/>
    <w:rsid w:val="09FCE6FE"/>
    <w:rsid w:val="0A776A0A"/>
    <w:rsid w:val="0AC32C1B"/>
    <w:rsid w:val="0BA0FA5E"/>
    <w:rsid w:val="0BEA9D9F"/>
    <w:rsid w:val="0C006DD4"/>
    <w:rsid w:val="0C069F21"/>
    <w:rsid w:val="0C8D774F"/>
    <w:rsid w:val="0D341142"/>
    <w:rsid w:val="0D963384"/>
    <w:rsid w:val="0DB2BE58"/>
    <w:rsid w:val="0DECBF01"/>
    <w:rsid w:val="0E230F14"/>
    <w:rsid w:val="0E48459B"/>
    <w:rsid w:val="0E9C1024"/>
    <w:rsid w:val="0F855792"/>
    <w:rsid w:val="0F99F642"/>
    <w:rsid w:val="104144FA"/>
    <w:rsid w:val="1096D3B7"/>
    <w:rsid w:val="10B8294C"/>
    <w:rsid w:val="116E09B6"/>
    <w:rsid w:val="122AB692"/>
    <w:rsid w:val="1232A418"/>
    <w:rsid w:val="12766C17"/>
    <w:rsid w:val="1316A9A0"/>
    <w:rsid w:val="146D6765"/>
    <w:rsid w:val="1474B052"/>
    <w:rsid w:val="15CB25B2"/>
    <w:rsid w:val="160B76F8"/>
    <w:rsid w:val="16CE9BBB"/>
    <w:rsid w:val="170B994E"/>
    <w:rsid w:val="18A769AF"/>
    <w:rsid w:val="18B2B039"/>
    <w:rsid w:val="18BC8258"/>
    <w:rsid w:val="1901F193"/>
    <w:rsid w:val="1913C905"/>
    <w:rsid w:val="195C0366"/>
    <w:rsid w:val="1A3DB5FD"/>
    <w:rsid w:val="1A4C1079"/>
    <w:rsid w:val="1A50CF56"/>
    <w:rsid w:val="1A6C5A60"/>
    <w:rsid w:val="1A8B73AC"/>
    <w:rsid w:val="1BD9865E"/>
    <w:rsid w:val="1C9B5556"/>
    <w:rsid w:val="1CB420F4"/>
    <w:rsid w:val="1D35321F"/>
    <w:rsid w:val="1D7556BF"/>
    <w:rsid w:val="1D855614"/>
    <w:rsid w:val="1D868650"/>
    <w:rsid w:val="1E4A5717"/>
    <w:rsid w:val="200805AE"/>
    <w:rsid w:val="21FB26AB"/>
    <w:rsid w:val="2253CE61"/>
    <w:rsid w:val="22C2CB78"/>
    <w:rsid w:val="232852DD"/>
    <w:rsid w:val="235FEA19"/>
    <w:rsid w:val="2396F70C"/>
    <w:rsid w:val="23E49843"/>
    <w:rsid w:val="2462E64B"/>
    <w:rsid w:val="24D1C5F3"/>
    <w:rsid w:val="24DF5E53"/>
    <w:rsid w:val="24F51DB9"/>
    <w:rsid w:val="25772CE7"/>
    <w:rsid w:val="258068A4"/>
    <w:rsid w:val="25DABDB7"/>
    <w:rsid w:val="263BF6DF"/>
    <w:rsid w:val="26CE97CE"/>
    <w:rsid w:val="26E21C8B"/>
    <w:rsid w:val="27671563"/>
    <w:rsid w:val="277E414A"/>
    <w:rsid w:val="2812F948"/>
    <w:rsid w:val="28131793"/>
    <w:rsid w:val="282E6AD3"/>
    <w:rsid w:val="283BA4FF"/>
    <w:rsid w:val="28B1FA62"/>
    <w:rsid w:val="28B80966"/>
    <w:rsid w:val="2933B0CA"/>
    <w:rsid w:val="2A2215ED"/>
    <w:rsid w:val="2A53D9C7"/>
    <w:rsid w:val="2A76A984"/>
    <w:rsid w:val="2AB46E21"/>
    <w:rsid w:val="2AC1963B"/>
    <w:rsid w:val="2B5BB41D"/>
    <w:rsid w:val="2BEFAA28"/>
    <w:rsid w:val="2C2717E6"/>
    <w:rsid w:val="2C4E87C5"/>
    <w:rsid w:val="2C8A3B65"/>
    <w:rsid w:val="2C9BCD0E"/>
    <w:rsid w:val="2D3B04B6"/>
    <w:rsid w:val="2DF55D8A"/>
    <w:rsid w:val="2DFE46CA"/>
    <w:rsid w:val="2E73EC74"/>
    <w:rsid w:val="2F4A2C9B"/>
    <w:rsid w:val="30A3280C"/>
    <w:rsid w:val="30EC1C81"/>
    <w:rsid w:val="310DBD05"/>
    <w:rsid w:val="314E93C2"/>
    <w:rsid w:val="317E9778"/>
    <w:rsid w:val="318C1E8E"/>
    <w:rsid w:val="31C7CA11"/>
    <w:rsid w:val="32BB6BCE"/>
    <w:rsid w:val="32C6DAD2"/>
    <w:rsid w:val="32DD22C6"/>
    <w:rsid w:val="33639A72"/>
    <w:rsid w:val="33BBF7CD"/>
    <w:rsid w:val="33E43A04"/>
    <w:rsid w:val="342E7D4C"/>
    <w:rsid w:val="3471289C"/>
    <w:rsid w:val="34AB4207"/>
    <w:rsid w:val="351747B6"/>
    <w:rsid w:val="357C3DA7"/>
    <w:rsid w:val="36EB148C"/>
    <w:rsid w:val="373A6169"/>
    <w:rsid w:val="37622730"/>
    <w:rsid w:val="3795A90E"/>
    <w:rsid w:val="37AE9BAB"/>
    <w:rsid w:val="3A538CDE"/>
    <w:rsid w:val="3A7CA4C1"/>
    <w:rsid w:val="3A87EB4B"/>
    <w:rsid w:val="3A8F0A3F"/>
    <w:rsid w:val="3A99C7F2"/>
    <w:rsid w:val="3A9FA654"/>
    <w:rsid w:val="3AA4DBB1"/>
    <w:rsid w:val="3AC61488"/>
    <w:rsid w:val="3B5EA1E9"/>
    <w:rsid w:val="3D5C0FEC"/>
    <w:rsid w:val="3DC0BA02"/>
    <w:rsid w:val="3DCB99CD"/>
    <w:rsid w:val="3E86288F"/>
    <w:rsid w:val="3EE5DD21"/>
    <w:rsid w:val="3F3F4D36"/>
    <w:rsid w:val="3F5C8A63"/>
    <w:rsid w:val="3F8307B3"/>
    <w:rsid w:val="3F898D70"/>
    <w:rsid w:val="3FA3BAAE"/>
    <w:rsid w:val="40BEE9BC"/>
    <w:rsid w:val="43662462"/>
    <w:rsid w:val="4368622F"/>
    <w:rsid w:val="4381ABC2"/>
    <w:rsid w:val="43F68A7E"/>
    <w:rsid w:val="4415A534"/>
    <w:rsid w:val="44AFB054"/>
    <w:rsid w:val="45C41CC5"/>
    <w:rsid w:val="460A5112"/>
    <w:rsid w:val="461F85C0"/>
    <w:rsid w:val="4774F13B"/>
    <w:rsid w:val="48308CC8"/>
    <w:rsid w:val="48CED9C5"/>
    <w:rsid w:val="49B16974"/>
    <w:rsid w:val="4A28033F"/>
    <w:rsid w:val="4BEA2DE2"/>
    <w:rsid w:val="4BF9A9B9"/>
    <w:rsid w:val="4CD1BBF1"/>
    <w:rsid w:val="4CFC152C"/>
    <w:rsid w:val="4D763948"/>
    <w:rsid w:val="4DCC7C55"/>
    <w:rsid w:val="4DD9146E"/>
    <w:rsid w:val="4E8DE641"/>
    <w:rsid w:val="4ED5AD7D"/>
    <w:rsid w:val="4EF7A3CC"/>
    <w:rsid w:val="4F14C37E"/>
    <w:rsid w:val="501043F8"/>
    <w:rsid w:val="5015559F"/>
    <w:rsid w:val="502843D1"/>
    <w:rsid w:val="50AC75F3"/>
    <w:rsid w:val="51166C14"/>
    <w:rsid w:val="512CF928"/>
    <w:rsid w:val="51F9C7D6"/>
    <w:rsid w:val="51FC050B"/>
    <w:rsid w:val="521E3C59"/>
    <w:rsid w:val="524729A3"/>
    <w:rsid w:val="52C8C989"/>
    <w:rsid w:val="5303C9F5"/>
    <w:rsid w:val="54084D6F"/>
    <w:rsid w:val="542EA0BC"/>
    <w:rsid w:val="55C3A4E1"/>
    <w:rsid w:val="55E42653"/>
    <w:rsid w:val="5645DD05"/>
    <w:rsid w:val="57994554"/>
    <w:rsid w:val="57C33341"/>
    <w:rsid w:val="588ED2A9"/>
    <w:rsid w:val="58B427A7"/>
    <w:rsid w:val="58EE3DAC"/>
    <w:rsid w:val="5A1AA859"/>
    <w:rsid w:val="5AC44710"/>
    <w:rsid w:val="5B9B9CFE"/>
    <w:rsid w:val="5C0C2F50"/>
    <w:rsid w:val="5C646E8E"/>
    <w:rsid w:val="5D062EEF"/>
    <w:rsid w:val="5D933BC1"/>
    <w:rsid w:val="5D949498"/>
    <w:rsid w:val="5E05A4D7"/>
    <w:rsid w:val="6049163B"/>
    <w:rsid w:val="619D228E"/>
    <w:rsid w:val="6261DBD3"/>
    <w:rsid w:val="6291860A"/>
    <w:rsid w:val="62F8FB6B"/>
    <w:rsid w:val="6322B552"/>
    <w:rsid w:val="633C96E3"/>
    <w:rsid w:val="63B3A987"/>
    <w:rsid w:val="64790768"/>
    <w:rsid w:val="655D3DBB"/>
    <w:rsid w:val="65822E8E"/>
    <w:rsid w:val="658701BC"/>
    <w:rsid w:val="65E121C0"/>
    <w:rsid w:val="65FA4A1D"/>
    <w:rsid w:val="6660059A"/>
    <w:rsid w:val="66B857BF"/>
    <w:rsid w:val="671B3AA9"/>
    <w:rsid w:val="67487947"/>
    <w:rsid w:val="683D3759"/>
    <w:rsid w:val="692DF968"/>
    <w:rsid w:val="694AAD21"/>
    <w:rsid w:val="698348C4"/>
    <w:rsid w:val="69DC7147"/>
    <w:rsid w:val="6A304FE0"/>
    <w:rsid w:val="6A4035FA"/>
    <w:rsid w:val="6AD98DAF"/>
    <w:rsid w:val="6AF95542"/>
    <w:rsid w:val="6BF59BD0"/>
    <w:rsid w:val="6C00E2BE"/>
    <w:rsid w:val="6C43EFBE"/>
    <w:rsid w:val="6C5850CA"/>
    <w:rsid w:val="6C8CF048"/>
    <w:rsid w:val="6CB06F3B"/>
    <w:rsid w:val="6D606A2F"/>
    <w:rsid w:val="6E269828"/>
    <w:rsid w:val="6EE23336"/>
    <w:rsid w:val="6FAA626B"/>
    <w:rsid w:val="6FB9E486"/>
    <w:rsid w:val="6FDED7DC"/>
    <w:rsid w:val="704085E4"/>
    <w:rsid w:val="705FD830"/>
    <w:rsid w:val="708FFE42"/>
    <w:rsid w:val="70A5DB29"/>
    <w:rsid w:val="70E4F9FE"/>
    <w:rsid w:val="711AB9E5"/>
    <w:rsid w:val="712BC1ED"/>
    <w:rsid w:val="714A6E5D"/>
    <w:rsid w:val="715A035A"/>
    <w:rsid w:val="72BFA4C8"/>
    <w:rsid w:val="7353E8EB"/>
    <w:rsid w:val="739671F0"/>
    <w:rsid w:val="74174796"/>
    <w:rsid w:val="745B7529"/>
    <w:rsid w:val="746362AF"/>
    <w:rsid w:val="752F5224"/>
    <w:rsid w:val="754D3FDE"/>
    <w:rsid w:val="76284584"/>
    <w:rsid w:val="7646A448"/>
    <w:rsid w:val="76E71706"/>
    <w:rsid w:val="77B9AFE1"/>
    <w:rsid w:val="780EBD4F"/>
    <w:rsid w:val="79893B5F"/>
    <w:rsid w:val="7A03871A"/>
    <w:rsid w:val="7A9C96C7"/>
    <w:rsid w:val="7AECC863"/>
    <w:rsid w:val="7BCE481E"/>
    <w:rsid w:val="7BD192F9"/>
    <w:rsid w:val="7CE22E72"/>
    <w:rsid w:val="7CEF2800"/>
    <w:rsid w:val="7D2FB5BF"/>
    <w:rsid w:val="7DF37903"/>
    <w:rsid w:val="7DF5B0E2"/>
    <w:rsid w:val="7E0A44F5"/>
    <w:rsid w:val="7E96CD21"/>
    <w:rsid w:val="7F6A6BB8"/>
    <w:rsid w:val="7F7007EA"/>
    <w:rsid w:val="7FA61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1C6B"/>
  <w15:chartTrackingRefBased/>
  <w15:docId w15:val="{746ABB97-6A1F-4DE3-8B7C-5AD9C95B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D4"/>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rsid w:val="00FB61D4"/>
    <w:pPr>
      <w:ind w:left="357" w:hanging="357"/>
    </w:pPr>
    <w:rPr>
      <w:sz w:val="20"/>
    </w:rPr>
  </w:style>
  <w:style w:type="character" w:customStyle="1" w:styleId="FootnoteTextChar">
    <w:name w:val="Footnote Text Char"/>
    <w:basedOn w:val="DefaultParagraphFont"/>
    <w:uiPriority w:val="99"/>
    <w:semiHidden/>
    <w:rsid w:val="00FB61D4"/>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FB61D4"/>
    <w:rPr>
      <w:vertAlign w:val="superscript"/>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FB61D4"/>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B61D4"/>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rsid w:val="00261C21"/>
    <w:pPr>
      <w:ind w:left="720"/>
      <w:contextualSpacing/>
    </w:pPr>
  </w:style>
  <w:style w:type="character" w:styleId="Hyperlink">
    <w:name w:val="Hyperlink"/>
    <w:basedOn w:val="DefaultParagraphFont"/>
    <w:uiPriority w:val="99"/>
    <w:unhideWhenUsed/>
    <w:rsid w:val="003D19CA"/>
    <w:rPr>
      <w:color w:val="0000FF" w:themeColor="hyperlink"/>
      <w:u w:val="single"/>
    </w:rPr>
  </w:style>
  <w:style w:type="paragraph" w:styleId="BalloonText">
    <w:name w:val="Balloon Text"/>
    <w:basedOn w:val="Normal"/>
    <w:link w:val="BalloonTextChar"/>
    <w:uiPriority w:val="99"/>
    <w:semiHidden/>
    <w:unhideWhenUsed/>
    <w:rsid w:val="00AD50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05C"/>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6A3727"/>
    <w:rPr>
      <w:sz w:val="16"/>
      <w:szCs w:val="16"/>
    </w:rPr>
  </w:style>
  <w:style w:type="paragraph" w:styleId="CommentText">
    <w:name w:val="annotation text"/>
    <w:basedOn w:val="Normal"/>
    <w:link w:val="CommentTextChar"/>
    <w:uiPriority w:val="99"/>
    <w:semiHidden/>
    <w:unhideWhenUsed/>
    <w:rsid w:val="006A3727"/>
    <w:rPr>
      <w:sz w:val="20"/>
    </w:rPr>
  </w:style>
  <w:style w:type="character" w:customStyle="1" w:styleId="CommentTextChar">
    <w:name w:val="Comment Text Char"/>
    <w:basedOn w:val="DefaultParagraphFont"/>
    <w:link w:val="CommentText"/>
    <w:uiPriority w:val="99"/>
    <w:semiHidden/>
    <w:rsid w:val="006A3727"/>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A3727"/>
    <w:rPr>
      <w:b/>
      <w:bCs/>
    </w:rPr>
  </w:style>
  <w:style w:type="character" w:customStyle="1" w:styleId="CommentSubjectChar">
    <w:name w:val="Comment Subject Char"/>
    <w:basedOn w:val="CommentTextChar"/>
    <w:link w:val="CommentSubject"/>
    <w:uiPriority w:val="99"/>
    <w:semiHidden/>
    <w:rsid w:val="006A3727"/>
    <w:rPr>
      <w:rFonts w:ascii="Courier New" w:eastAsia="Times New Roman" w:hAnsi="Courier New" w:cs="Times New Roman"/>
      <w:b/>
      <w:bCs/>
      <w:sz w:val="20"/>
      <w:szCs w:val="20"/>
      <w:lang w:eastAsia="en-GB"/>
    </w:rPr>
  </w:style>
  <w:style w:type="paragraph" w:styleId="Revision">
    <w:name w:val="Revision"/>
    <w:hidden/>
    <w:uiPriority w:val="99"/>
    <w:semiHidden/>
    <w:rsid w:val="005139C6"/>
    <w:pPr>
      <w:spacing w:after="0" w:line="240" w:lineRule="auto"/>
    </w:pPr>
    <w:rPr>
      <w:rFonts w:ascii="Courier New" w:eastAsia="Times New Roman" w:hAnsi="Courier New" w:cs="Times New Roman"/>
      <w:sz w:val="24"/>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b21a4a1d-4eb8-49d3-b465-be101281b0f3" xsi:nil="true"/>
    <_Flow_SignoffStatus xmlns="b21a4a1d-4eb8-49d3-b465-be101281b0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8" ma:contentTypeDescription="Create a new document." ma:contentTypeScope="" ma:versionID="85f5c216a14ad46c5f718776a53e2fec">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d225fce4ab3cbb65b281e99370d76c81"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2" nillable="true" ma:displayName="Comments" ma:format="Dropdown" ma:internalName="Comments">
      <xsd:simpleType>
        <xsd:restriction base="dms:Note">
          <xsd:maxLength value="255"/>
        </xsd:restriction>
      </xsd:simpleType>
    </xsd:element>
    <xsd:element name="_Flow_SignoffStatus" ma:index="1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8D62-60C8-454A-9B1E-0DAC1254576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f34a3906-e2fe-45dd-be63-435c8762400b"/>
    <ds:schemaRef ds:uri="b21a4a1d-4eb8-49d3-b465-be101281b0f3"/>
    <ds:schemaRef ds:uri="http://www.w3.org/XML/1998/namespace"/>
    <ds:schemaRef ds:uri="http://purl.org/dc/dcmitype/"/>
  </ds:schemaRefs>
</ds:datastoreItem>
</file>

<file path=customXml/itemProps2.xml><?xml version="1.0" encoding="utf-8"?>
<ds:datastoreItem xmlns:ds="http://schemas.openxmlformats.org/officeDocument/2006/customXml" ds:itemID="{E78BCE19-FB67-450D-9684-F8A1BE23641E}">
  <ds:schemaRefs>
    <ds:schemaRef ds:uri="http://schemas.microsoft.com/sharepoint/v3/contenttype/forms"/>
  </ds:schemaRefs>
</ds:datastoreItem>
</file>

<file path=customXml/itemProps3.xml><?xml version="1.0" encoding="utf-8"?>
<ds:datastoreItem xmlns:ds="http://schemas.openxmlformats.org/officeDocument/2006/customXml" ds:itemID="{0738E7D8-A283-402F-8801-7BD494CFD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3E9D62-994F-4162-9AB8-69EEEFA8C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1669</Words>
  <Characters>9218</Characters>
  <Application>Microsoft Office Word</Application>
  <DocSecurity>0</DocSecurity>
  <Lines>135</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DODEKOVA Gabriela (SG)</dc:creator>
  <cp:keywords/>
  <dc:description/>
  <cp:lastModifiedBy>DELBAER Gerda (SG)</cp:lastModifiedBy>
  <cp:revision>2</cp:revision>
  <dcterms:created xsi:type="dcterms:W3CDTF">2023-04-21T09:59:00Z</dcterms:created>
  <dcterms:modified xsi:type="dcterms:W3CDTF">2023-04-21T09:59:00Z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2022-06-14T09:44:59Z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5bd8ea6a-17ef-4ae2-9318-ec815d5b809b</vt:lpwstr>
  </property>
  <property fmtid="{D5CDD505-2E9C-101B-9397-08002B2CF9AE}" pid="8" name="MSIP_Label_6bd9ddd1-4d20-43f6-abfa-fc3c07406f94_ContentBits">
    <vt:lpwstr>0</vt:lpwstr>
  </property>
  <property fmtid="{D5CDD505-2E9C-101B-9397-08002B2CF9AE}" pid="9" name="ContentTypeId">
    <vt:lpwstr>0x010100724FDE23FB365D4CB8B2901107175F9F</vt:lpwstr>
  </property>
</Properties>
</file>