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59E" w:rsidRPr="00B2559E" w:rsidRDefault="00B2559E" w:rsidP="00B2559E">
      <w:pPr>
        <w:spacing w:after="240"/>
        <w:jc w:val="center"/>
        <w:rPr>
          <w:lang w:val="fr-FR"/>
        </w:rPr>
      </w:pPr>
      <w:r w:rsidRPr="00B2559E">
        <w:rPr>
          <w:b/>
          <w:lang w:val="fr-FR"/>
        </w:rPr>
        <w:t>PROCÉDURE LÉGISLATIVE ORDINAIRE – Première lecture</w:t>
      </w:r>
    </w:p>
    <w:p w:rsidR="00B2559E" w:rsidRPr="00B2559E" w:rsidRDefault="00B2559E" w:rsidP="00B2559E">
      <w:pPr>
        <w:spacing w:after="600"/>
        <w:jc w:val="center"/>
        <w:rPr>
          <w:b/>
          <w:bCs/>
          <w:shd w:val="clear" w:color="auto" w:fill="FFFFFF"/>
          <w:lang w:val="fr-FR"/>
        </w:rPr>
      </w:pPr>
      <w:bookmarkStart w:id="0" w:name="cars"/>
      <w:r w:rsidRPr="00B2559E">
        <w:rPr>
          <w:b/>
          <w:lang w:val="fr-FR"/>
        </w:rPr>
        <w:t>Suite donnée à la résolution législative du Parlement européen sur la proposition de règlement du Parlement européen et du Conseil modifiant le règlement (UE) 2019/631 en ce qui concerne le renforcement des normes de performance en matière d’émissions de CO</w:t>
      </w:r>
      <w:r w:rsidRPr="00B2559E">
        <w:rPr>
          <w:b/>
          <w:vertAlign w:val="subscript"/>
          <w:lang w:val="fr-FR"/>
        </w:rPr>
        <w:t>2</w:t>
      </w:r>
      <w:r w:rsidRPr="00B2559E">
        <w:rPr>
          <w:b/>
          <w:lang w:val="fr-FR"/>
        </w:rPr>
        <w:t xml:space="preserve"> pour les voitures particulières neuves et les véhicules utilitaires légers neufs conformément à l’ambition accrue de l’Union en matière de climat</w:t>
      </w:r>
      <w:bookmarkEnd w:id="0"/>
    </w:p>
    <w:p w:rsidR="00B2559E" w:rsidRPr="00B2559E" w:rsidRDefault="00B2559E" w:rsidP="00B2559E">
      <w:pPr>
        <w:spacing w:after="240"/>
        <w:ind w:left="567" w:hanging="567"/>
        <w:rPr>
          <w:lang w:val="fr-FR"/>
        </w:rPr>
      </w:pPr>
      <w:r w:rsidRPr="00B2559E">
        <w:rPr>
          <w:b/>
          <w:lang w:val="fr-FR"/>
        </w:rPr>
        <w:t>1.</w:t>
      </w:r>
      <w:r w:rsidRPr="00B2559E">
        <w:rPr>
          <w:lang w:val="fr-FR"/>
        </w:rPr>
        <w:tab/>
      </w:r>
      <w:r w:rsidRPr="00B2559E">
        <w:rPr>
          <w:b/>
          <w:lang w:val="fr-FR"/>
        </w:rPr>
        <w:t xml:space="preserve">Rapporteur: </w:t>
      </w:r>
      <w:r w:rsidRPr="00B2559E">
        <w:rPr>
          <w:lang w:val="fr-FR"/>
        </w:rPr>
        <w:t>Jan HUITEMA (Renew/NL)</w:t>
      </w:r>
    </w:p>
    <w:p w:rsidR="00B2559E" w:rsidRPr="00B2559E" w:rsidRDefault="00B2559E" w:rsidP="00B2559E">
      <w:pPr>
        <w:spacing w:after="240"/>
        <w:ind w:left="567" w:hanging="567"/>
        <w:rPr>
          <w:lang w:val="fr-FR"/>
        </w:rPr>
      </w:pPr>
      <w:r w:rsidRPr="00B2559E">
        <w:rPr>
          <w:b/>
          <w:lang w:val="fr-FR"/>
        </w:rPr>
        <w:t>2.</w:t>
      </w:r>
      <w:r w:rsidRPr="00B2559E">
        <w:rPr>
          <w:lang w:val="fr-FR"/>
        </w:rPr>
        <w:tab/>
      </w:r>
      <w:r w:rsidRPr="00B2559E">
        <w:rPr>
          <w:b/>
          <w:lang w:val="fr-FR"/>
        </w:rPr>
        <w:t>Numéros de référence:</w:t>
      </w:r>
      <w:r w:rsidRPr="00B2559E">
        <w:rPr>
          <w:lang w:val="fr-FR"/>
        </w:rPr>
        <w:t xml:space="preserve"> 2021/0197 (COD) / A9-0150/2022 / P9_</w:t>
      </w:r>
      <w:proofErr w:type="gramStart"/>
      <w:r w:rsidRPr="00B2559E">
        <w:rPr>
          <w:lang w:val="fr-FR"/>
        </w:rPr>
        <w:t>TA(</w:t>
      </w:r>
      <w:proofErr w:type="gramEnd"/>
      <w:r w:rsidRPr="00B2559E">
        <w:rPr>
          <w:lang w:val="fr-FR"/>
        </w:rPr>
        <w:t>2023)0039</w:t>
      </w:r>
    </w:p>
    <w:p w:rsidR="00B2559E" w:rsidRPr="00B2559E" w:rsidRDefault="00B2559E" w:rsidP="00B2559E">
      <w:pPr>
        <w:spacing w:after="240"/>
        <w:ind w:left="567" w:hanging="567"/>
        <w:rPr>
          <w:lang w:val="fr-FR"/>
        </w:rPr>
      </w:pPr>
      <w:r w:rsidRPr="00B2559E">
        <w:rPr>
          <w:b/>
          <w:lang w:val="fr-FR"/>
        </w:rPr>
        <w:t>3.</w:t>
      </w:r>
      <w:r w:rsidRPr="00B2559E">
        <w:rPr>
          <w:lang w:val="fr-FR"/>
        </w:rPr>
        <w:tab/>
      </w:r>
      <w:r w:rsidRPr="00B2559E">
        <w:rPr>
          <w:b/>
          <w:lang w:val="fr-FR"/>
        </w:rPr>
        <w:t xml:space="preserve">Date d’adoption de la résolution: </w:t>
      </w:r>
      <w:r w:rsidRPr="00B2559E">
        <w:rPr>
          <w:lang w:val="fr-FR"/>
        </w:rPr>
        <w:t>14 février 2023</w:t>
      </w:r>
    </w:p>
    <w:p w:rsidR="00B2559E" w:rsidRPr="00B2559E" w:rsidRDefault="00B2559E" w:rsidP="00B2559E">
      <w:pPr>
        <w:spacing w:after="240"/>
        <w:ind w:left="567" w:hanging="567"/>
        <w:rPr>
          <w:lang w:val="fr-FR"/>
        </w:rPr>
      </w:pPr>
      <w:r w:rsidRPr="00B2559E">
        <w:rPr>
          <w:b/>
          <w:lang w:val="fr-FR"/>
        </w:rPr>
        <w:t>4.</w:t>
      </w:r>
      <w:r w:rsidRPr="00B2559E">
        <w:rPr>
          <w:lang w:val="fr-FR"/>
        </w:rPr>
        <w:tab/>
      </w:r>
      <w:r w:rsidRPr="00B2559E">
        <w:rPr>
          <w:b/>
          <w:lang w:val="fr-FR"/>
        </w:rPr>
        <w:t xml:space="preserve">Base juridique: </w:t>
      </w:r>
      <w:r w:rsidRPr="00B2559E">
        <w:rPr>
          <w:lang w:val="fr-FR"/>
        </w:rPr>
        <w:t xml:space="preserve">article 192, paragraphe 1, </w:t>
      </w:r>
      <w:r w:rsidRPr="00B2559E">
        <w:rPr>
          <w:rStyle w:val="doceo-font-family-base"/>
          <w:lang w:val="fr-FR"/>
        </w:rPr>
        <w:t>du traité sur le fonctionnement de l’Union européenne</w:t>
      </w:r>
    </w:p>
    <w:p w:rsidR="00B2559E" w:rsidRPr="00B2559E" w:rsidRDefault="00B2559E" w:rsidP="00B2559E">
      <w:pPr>
        <w:spacing w:after="240"/>
        <w:ind w:left="567" w:hanging="567"/>
        <w:rPr>
          <w:i/>
          <w:lang w:val="fr-FR"/>
        </w:rPr>
      </w:pPr>
      <w:r w:rsidRPr="00B2559E">
        <w:rPr>
          <w:b/>
          <w:lang w:val="fr-FR"/>
        </w:rPr>
        <w:t>5.</w:t>
      </w:r>
      <w:r w:rsidRPr="00B2559E">
        <w:rPr>
          <w:lang w:val="fr-FR"/>
        </w:rPr>
        <w:tab/>
      </w:r>
      <w:r w:rsidRPr="00B2559E">
        <w:rPr>
          <w:b/>
          <w:lang w:val="fr-FR"/>
        </w:rPr>
        <w:t xml:space="preserve">Commission parlementaire compétente: </w:t>
      </w:r>
      <w:r w:rsidRPr="00B2559E">
        <w:rPr>
          <w:lang w:val="fr-FR"/>
        </w:rPr>
        <w:t>commission de l’environnement, de la santé publique et de la sécurité alimentaire (ENVI)</w:t>
      </w:r>
    </w:p>
    <w:p w:rsidR="00B2559E" w:rsidRPr="00B2559E" w:rsidRDefault="00B2559E" w:rsidP="00B2559E">
      <w:pPr>
        <w:tabs>
          <w:tab w:val="left" w:pos="567"/>
        </w:tabs>
        <w:spacing w:after="200" w:line="276" w:lineRule="auto"/>
        <w:rPr>
          <w:color w:val="000000"/>
          <w:lang w:val="fr-FR"/>
        </w:rPr>
      </w:pPr>
      <w:r w:rsidRPr="00B2559E">
        <w:rPr>
          <w:b/>
          <w:lang w:val="fr-FR"/>
        </w:rPr>
        <w:t>6.</w:t>
      </w:r>
      <w:r w:rsidRPr="00B2559E">
        <w:rPr>
          <w:lang w:val="fr-FR"/>
        </w:rPr>
        <w:tab/>
      </w:r>
      <w:r w:rsidRPr="00B2559E">
        <w:rPr>
          <w:b/>
          <w:lang w:val="fr-FR"/>
        </w:rPr>
        <w:t>Position de la Commission:</w:t>
      </w:r>
      <w:r w:rsidRPr="00B2559E">
        <w:rPr>
          <w:color w:val="000000"/>
          <w:sz w:val="22"/>
          <w:lang w:val="fr-FR"/>
        </w:rPr>
        <w:t xml:space="preserve"> </w:t>
      </w:r>
      <w:r w:rsidRPr="00B2559E">
        <w:rPr>
          <w:color w:val="000000"/>
          <w:lang w:val="fr-FR"/>
        </w:rPr>
        <w:t>la Commission accepte tous les amendements.</w:t>
      </w:r>
    </w:p>
    <w:p w:rsidR="008765BE" w:rsidRPr="00B2559E" w:rsidRDefault="008765BE">
      <w:pPr>
        <w:rPr>
          <w:lang w:val="fr-FR"/>
        </w:rPr>
      </w:pPr>
      <w:bookmarkStart w:id="1" w:name="_GoBack"/>
      <w:bookmarkEnd w:id="1"/>
    </w:p>
    <w:sectPr w:rsidR="008765BE" w:rsidRPr="00B255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9E"/>
    <w:rsid w:val="005762E3"/>
    <w:rsid w:val="008765BE"/>
    <w:rsid w:val="00B2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1C343-26F1-428F-9E1E-72C08304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character" w:customStyle="1" w:styleId="doceo-font-family-base">
    <w:name w:val="doceo-font-family-base"/>
    <w:basedOn w:val="DefaultParagraphFont"/>
    <w:rsid w:val="00B25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2023-04-13T09:20:00Z</dcterms:created>
  <dcterms:modified xsi:type="dcterms:W3CDTF">2023-04-13T09:21:00Z</dcterms:modified>
</cp:coreProperties>
</file>