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23" w:rsidRPr="009B1FF1" w:rsidRDefault="001E0E23" w:rsidP="001E0E23">
      <w:pPr>
        <w:spacing w:after="240"/>
        <w:jc w:val="center"/>
      </w:pPr>
      <w:r>
        <w:rPr>
          <w:b/>
        </w:rPr>
        <w:t>ORDINARY</w:t>
      </w:r>
      <w:r w:rsidRPr="009B1FF1">
        <w:rPr>
          <w:b/>
        </w:rPr>
        <w:t xml:space="preserve"> LEGISLATIVE </w:t>
      </w:r>
      <w:r w:rsidRPr="009B1FF1">
        <w:rPr>
          <w:b/>
          <w:caps/>
        </w:rPr>
        <w:t>procedure</w:t>
      </w:r>
      <w:r w:rsidRPr="009B1FF1">
        <w:rPr>
          <w:b/>
        </w:rPr>
        <w:t xml:space="preserve"> – First reading</w:t>
      </w:r>
    </w:p>
    <w:p w:rsidR="001E0E23" w:rsidRPr="00ED13C3" w:rsidRDefault="001E0E23" w:rsidP="001E0E23">
      <w:pPr>
        <w:spacing w:after="600"/>
        <w:jc w:val="center"/>
        <w:rPr>
          <w:b/>
          <w:bCs/>
          <w:shd w:val="clear" w:color="auto" w:fill="FFFFFF"/>
          <w:lang w:val="en-IE"/>
        </w:rPr>
      </w:pPr>
      <w:bookmarkStart w:id="0" w:name="LULUCF"/>
      <w:proofErr w:type="gramStart"/>
      <w:r w:rsidRPr="00DA51AA">
        <w:rPr>
          <w:b/>
          <w:bCs/>
        </w:rPr>
        <w:t xml:space="preserve">Follow up to the </w:t>
      </w:r>
      <w:r w:rsidRPr="00DA51AA">
        <w:rPr>
          <w:b/>
        </w:rPr>
        <w:t>European Parliament legislative resolution</w:t>
      </w:r>
      <w:r w:rsidRPr="00DA51AA">
        <w:rPr>
          <w:b/>
          <w:bCs/>
        </w:rPr>
        <w:t xml:space="preserve"> </w:t>
      </w:r>
      <w:r w:rsidRPr="00ED13C3">
        <w:rPr>
          <w:b/>
          <w:bCs/>
          <w:shd w:val="clear" w:color="auto" w:fill="FFFFFF"/>
          <w:lang w:val="en-IE"/>
        </w:rPr>
        <w:t>on the proposal for a regulation of the European Parliament and of the Council Amending Regulations (EU) 2018/841 as regards the scope, simplifying the compliance rules, setting out the targets of the Member States for 2030 and committing to the collective achievement of climate neutrality by 2035 in the land use, forestry and agriculture sector, and (EU) 2018/1999 as regards improvement in monitoring, reporting, tracking of progress and review</w:t>
      </w:r>
      <w:proofErr w:type="gramEnd"/>
    </w:p>
    <w:bookmarkEnd w:id="0"/>
    <w:p w:rsidR="001E0E23" w:rsidRPr="001E0E23" w:rsidRDefault="001E0E23" w:rsidP="001E0E23">
      <w:pPr>
        <w:spacing w:after="240"/>
        <w:ind w:left="567" w:hanging="567"/>
        <w:rPr>
          <w:lang w:val="fr-FR"/>
        </w:rPr>
      </w:pPr>
      <w:r w:rsidRPr="001E0E23">
        <w:rPr>
          <w:b/>
          <w:lang w:val="fr-FR"/>
        </w:rPr>
        <w:t>1.</w:t>
      </w:r>
      <w:r w:rsidRPr="001E0E23">
        <w:rPr>
          <w:b/>
          <w:lang w:val="fr-FR"/>
        </w:rPr>
        <w:tab/>
        <w:t xml:space="preserve">Rapporteur: </w:t>
      </w:r>
      <w:r w:rsidRPr="001E0E23">
        <w:rPr>
          <w:noProof/>
          <w:lang w:val="fr-FR"/>
        </w:rPr>
        <w:t xml:space="preserve">Ville NIINISTÖ </w:t>
      </w:r>
      <w:r w:rsidRPr="001E0E23">
        <w:rPr>
          <w:lang w:val="fr-FR"/>
        </w:rPr>
        <w:t>(Greens/EFA / FI)</w:t>
      </w:r>
    </w:p>
    <w:p w:rsidR="001E0E23" w:rsidRPr="002B7441" w:rsidRDefault="001E0E23" w:rsidP="001E0E23">
      <w:pPr>
        <w:spacing w:after="240"/>
        <w:ind w:left="567" w:hanging="567"/>
      </w:pPr>
      <w:r w:rsidRPr="002B7441">
        <w:rPr>
          <w:b/>
        </w:rPr>
        <w:t>2.</w:t>
      </w:r>
      <w:r w:rsidRPr="002B7441">
        <w:rPr>
          <w:b/>
        </w:rPr>
        <w:tab/>
        <w:t>Reference numbers:</w:t>
      </w:r>
      <w:r w:rsidRPr="002B7441">
        <w:t xml:space="preserve"> 202</w:t>
      </w:r>
      <w:r>
        <w:t>1</w:t>
      </w:r>
      <w:r w:rsidRPr="002B7441">
        <w:t>/0</w:t>
      </w:r>
      <w:r>
        <w:t>201</w:t>
      </w:r>
      <w:r w:rsidRPr="002B7441">
        <w:t xml:space="preserve"> (</w:t>
      </w:r>
      <w:r>
        <w:t>COD</w:t>
      </w:r>
      <w:r w:rsidRPr="002B7441">
        <w:t>)</w:t>
      </w:r>
      <w:r>
        <w:t xml:space="preserve"> </w:t>
      </w:r>
      <w:r w:rsidRPr="002B7441">
        <w:t xml:space="preserve">/ </w:t>
      </w:r>
      <w:r w:rsidRPr="00011837">
        <w:rPr>
          <w:noProof/>
        </w:rPr>
        <w:t>A9-0</w:t>
      </w:r>
      <w:r>
        <w:rPr>
          <w:noProof/>
        </w:rPr>
        <w:t>161</w:t>
      </w:r>
      <w:r w:rsidRPr="00011837">
        <w:rPr>
          <w:noProof/>
        </w:rPr>
        <w:t xml:space="preserve">/2022 / </w:t>
      </w:r>
      <w:r w:rsidRPr="00A70CE1">
        <w:t>P9_</w:t>
      </w:r>
      <w:proofErr w:type="gramStart"/>
      <w:r w:rsidRPr="00A70CE1">
        <w:t>TA(</w:t>
      </w:r>
      <w:proofErr w:type="gramEnd"/>
      <w:r w:rsidRPr="00A70CE1">
        <w:t>202</w:t>
      </w:r>
      <w:r>
        <w:t>3</w:t>
      </w:r>
      <w:r w:rsidRPr="00A70CE1">
        <w:t>)0</w:t>
      </w:r>
      <w:r>
        <w:t>066</w:t>
      </w:r>
    </w:p>
    <w:p w:rsidR="001E0E23" w:rsidRPr="002B7441" w:rsidRDefault="001E0E23" w:rsidP="001E0E23">
      <w:pPr>
        <w:spacing w:after="240"/>
        <w:ind w:left="567" w:hanging="567"/>
      </w:pPr>
      <w:r w:rsidRPr="002B7441">
        <w:rPr>
          <w:b/>
        </w:rPr>
        <w:t>3.</w:t>
      </w:r>
      <w:r w:rsidRPr="002B7441">
        <w:rPr>
          <w:b/>
        </w:rPr>
        <w:tab/>
        <w:t xml:space="preserve">Date of adoption of the resolution: </w:t>
      </w:r>
      <w:r w:rsidRPr="00837EFB">
        <w:rPr>
          <w:bCs/>
        </w:rPr>
        <w:t>1</w:t>
      </w:r>
      <w:r>
        <w:rPr>
          <w:bCs/>
        </w:rPr>
        <w:t>4</w:t>
      </w:r>
      <w:r w:rsidRPr="00837EFB">
        <w:rPr>
          <w:bCs/>
        </w:rPr>
        <w:t xml:space="preserve"> </w:t>
      </w:r>
      <w:r>
        <w:rPr>
          <w:bCs/>
        </w:rPr>
        <w:t>March</w:t>
      </w:r>
      <w:r>
        <w:t xml:space="preserve"> 2023</w:t>
      </w:r>
    </w:p>
    <w:p w:rsidR="001E0E23" w:rsidRPr="002B7441" w:rsidRDefault="001E0E23" w:rsidP="001E0E23">
      <w:pPr>
        <w:spacing w:after="240"/>
        <w:ind w:left="567" w:hanging="567"/>
      </w:pPr>
      <w:r w:rsidRPr="002B7441">
        <w:rPr>
          <w:b/>
        </w:rPr>
        <w:t>4.</w:t>
      </w:r>
      <w:r w:rsidRPr="002B7441">
        <w:rPr>
          <w:b/>
        </w:rPr>
        <w:tab/>
        <w:t xml:space="preserve">Legal basis: </w:t>
      </w:r>
      <w:r w:rsidRPr="0090155F">
        <w:rPr>
          <w:lang w:val="en-IE"/>
        </w:rPr>
        <w:t xml:space="preserve">Article </w:t>
      </w:r>
      <w:r>
        <w:rPr>
          <w:lang w:val="en-IE"/>
        </w:rPr>
        <w:t>192(1)</w:t>
      </w:r>
      <w:r w:rsidRPr="002B7441">
        <w:rPr>
          <w:rStyle w:val="doceo-font-family-base"/>
        </w:rPr>
        <w:t xml:space="preserve"> of the Treaty on the Functioning of the European Union</w:t>
      </w:r>
    </w:p>
    <w:p w:rsidR="001E0E23" w:rsidRPr="002B7441" w:rsidRDefault="001E0E23" w:rsidP="001E0E23">
      <w:pPr>
        <w:spacing w:after="240"/>
        <w:ind w:left="567" w:hanging="567"/>
        <w:rPr>
          <w:i/>
        </w:rPr>
      </w:pPr>
      <w:r w:rsidRPr="002B7441">
        <w:rPr>
          <w:b/>
        </w:rPr>
        <w:t>5.</w:t>
      </w:r>
      <w:r w:rsidRPr="002B7441">
        <w:rPr>
          <w:b/>
        </w:rPr>
        <w:tab/>
        <w:t xml:space="preserve">Competent Parliamentary Committee: </w:t>
      </w:r>
      <w:r>
        <w:t xml:space="preserve">Committee on </w:t>
      </w:r>
      <w:r w:rsidRPr="00EB5500">
        <w:rPr>
          <w:lang w:val="en-IE"/>
        </w:rPr>
        <w:t>Environment, Public Health and Food Safety</w:t>
      </w:r>
      <w:r>
        <w:rPr>
          <w:lang w:val="en-IE"/>
        </w:rPr>
        <w:t xml:space="preserve"> </w:t>
      </w:r>
      <w:r>
        <w:t>(ENVI)</w:t>
      </w:r>
    </w:p>
    <w:p w:rsidR="001E0E23" w:rsidRDefault="001E0E23" w:rsidP="001E0E23">
      <w:pPr>
        <w:tabs>
          <w:tab w:val="left" w:pos="567"/>
        </w:tabs>
        <w:spacing w:after="200" w:line="276" w:lineRule="auto"/>
        <w:rPr>
          <w:color w:val="000000"/>
        </w:rPr>
      </w:pPr>
      <w:r w:rsidRPr="002B7441">
        <w:rPr>
          <w:b/>
        </w:rPr>
        <w:t>6.</w:t>
      </w:r>
      <w:r w:rsidRPr="002B7441">
        <w:rPr>
          <w:b/>
        </w:rPr>
        <w:tab/>
        <w:t>Commission's position:</w:t>
      </w:r>
      <w:r w:rsidRPr="002B7441">
        <w:rPr>
          <w:color w:val="000000"/>
          <w:sz w:val="22"/>
          <w:szCs w:val="22"/>
        </w:rPr>
        <w:t xml:space="preserve"> </w:t>
      </w:r>
      <w:r w:rsidRPr="002B7441">
        <w:rPr>
          <w:color w:val="000000"/>
        </w:rPr>
        <w:t xml:space="preserve">accepts </w:t>
      </w:r>
      <w:r>
        <w:rPr>
          <w:color w:val="000000"/>
        </w:rPr>
        <w:t>all</w:t>
      </w:r>
      <w:r w:rsidRPr="002B7441">
        <w:rPr>
          <w:color w:val="000000"/>
        </w:rPr>
        <w:t xml:space="preserve"> amendments.</w:t>
      </w:r>
    </w:p>
    <w:p w:rsidR="001E0E23" w:rsidRPr="00B80B2F" w:rsidRDefault="001E0E23" w:rsidP="001E0E23">
      <w:pPr>
        <w:tabs>
          <w:tab w:val="left" w:pos="567"/>
        </w:tabs>
        <w:spacing w:after="120"/>
        <w:rPr>
          <w:color w:val="000000"/>
          <w:lang w:val="en-IE"/>
        </w:rPr>
      </w:pPr>
      <w:r>
        <w:rPr>
          <w:color w:val="000000"/>
        </w:rPr>
        <w:t>The Commission presented the following statement</w:t>
      </w:r>
      <w:r w:rsidRPr="00B80B2F">
        <w:rPr>
          <w:lang w:val="en-IE"/>
        </w:rPr>
        <w:t>:</w:t>
      </w:r>
    </w:p>
    <w:p w:rsidR="001E0E23" w:rsidRDefault="001E0E23" w:rsidP="001E0E23">
      <w:pPr>
        <w:tabs>
          <w:tab w:val="left" w:pos="567"/>
        </w:tabs>
        <w:spacing w:after="120"/>
        <w:rPr>
          <w:color w:val="000000"/>
        </w:rPr>
      </w:pPr>
      <w:r>
        <w:rPr>
          <w:color w:val="000000"/>
        </w:rPr>
        <w:t>“</w:t>
      </w:r>
      <w:r w:rsidRPr="00153D2D">
        <w:rPr>
          <w:color w:val="000000"/>
        </w:rPr>
        <w:t>In its report pursuant to Article 45 of Regulation (EU) 2018/1999 on the Governance of the Energy Union and Climate Action, the Commission will also assess aspects related to access to justice in EU Member States, notably as regards Article 10 of that Regulation, and take this assessment into account as appropriate in any possible subsequent legislative proposal</w:t>
      </w:r>
      <w:r>
        <w:rPr>
          <w:color w:val="000000"/>
        </w:rPr>
        <w:t>”</w:t>
      </w:r>
      <w:r w:rsidRPr="00153D2D">
        <w:rPr>
          <w:color w:val="000000"/>
        </w:rPr>
        <w:t>.</w:t>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23"/>
    <w:rsid w:val="001E0E23"/>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D344E-06AC-48DD-8219-384D677B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doceo-font-family-base">
    <w:name w:val="doceo-font-family-base"/>
    <w:basedOn w:val="DefaultParagraphFont"/>
    <w:rsid w:val="001E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2023-04-26T13:38:00Z</dcterms:created>
  <dcterms:modified xsi:type="dcterms:W3CDTF">2023-04-26T13:39:00Z</dcterms:modified>
</cp:coreProperties>
</file>