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272B" w14:textId="77777777" w:rsidR="001902E0" w:rsidRPr="00266378" w:rsidRDefault="001902E0" w:rsidP="001902E0">
      <w:pPr>
        <w:spacing w:after="600"/>
        <w:jc w:val="center"/>
        <w:rPr>
          <w:rFonts w:ascii="Times New Roman" w:hAnsi="Times New Roman"/>
          <w:color w:val="000000" w:themeColor="text1"/>
          <w:szCs w:val="24"/>
        </w:rPr>
      </w:pPr>
      <w:bookmarkStart w:id="0" w:name="Fertilizers"/>
      <w:r>
        <w:rPr>
          <w:rFonts w:ascii="Times New Roman" w:hAnsi="Times New Roman"/>
          <w:b/>
          <w:color w:val="000000" w:themeColor="text1"/>
        </w:rPr>
        <w:t>Suite donnée à la résolution du Parlement européen du 16 février 2023 sur la communication de la Commission concernant la garantie de la disponibilité et du caractère abordable des engrais</w:t>
      </w:r>
    </w:p>
    <w:bookmarkEnd w:id="0"/>
    <w:p w14:paraId="09FAA18C" w14:textId="77777777" w:rsidR="001902E0" w:rsidRPr="00907B27" w:rsidRDefault="001902E0" w:rsidP="001902E0">
      <w:pPr>
        <w:pStyle w:val="ListParagraph"/>
        <w:numPr>
          <w:ilvl w:val="0"/>
          <w:numId w:val="4"/>
        </w:numPr>
        <w:spacing w:after="240"/>
        <w:ind w:left="567" w:hanging="567"/>
        <w:contextualSpacing w:val="0"/>
        <w:jc w:val="both"/>
        <w:rPr>
          <w:rFonts w:ascii="Times New Roman" w:eastAsiaTheme="minorEastAsia" w:hAnsi="Times New Roman"/>
          <w:b/>
          <w:bCs/>
          <w:color w:val="000000" w:themeColor="text1"/>
          <w:sz w:val="24"/>
          <w:szCs w:val="24"/>
        </w:rPr>
      </w:pPr>
      <w:r>
        <w:rPr>
          <w:rFonts w:ascii="Times New Roman" w:hAnsi="Times New Roman"/>
          <w:b/>
          <w:color w:val="000000" w:themeColor="text1"/>
          <w:sz w:val="24"/>
        </w:rPr>
        <w:t xml:space="preserve">Résolution présentée conformément à l’article 136, paragraphe 5, du règlement intérieur du Parlement européen </w:t>
      </w:r>
    </w:p>
    <w:p w14:paraId="6F143453" w14:textId="77777777" w:rsidR="001902E0" w:rsidRPr="00907B27" w:rsidRDefault="001902E0" w:rsidP="001902E0">
      <w:pPr>
        <w:pStyle w:val="ListParagraph"/>
        <w:numPr>
          <w:ilvl w:val="0"/>
          <w:numId w:val="4"/>
        </w:numPr>
        <w:spacing w:after="240"/>
        <w:ind w:left="567" w:hanging="567"/>
        <w:contextualSpacing w:val="0"/>
        <w:jc w:val="both"/>
        <w:rPr>
          <w:rFonts w:eastAsiaTheme="minorEastAsia"/>
          <w:color w:val="000000" w:themeColor="text1"/>
          <w:sz w:val="24"/>
          <w:szCs w:val="24"/>
        </w:rPr>
      </w:pPr>
      <w:r>
        <w:rPr>
          <w:rFonts w:ascii="Times New Roman" w:hAnsi="Times New Roman"/>
          <w:b/>
          <w:color w:val="000000" w:themeColor="text1"/>
          <w:sz w:val="24"/>
        </w:rPr>
        <w:t xml:space="preserve">Numéros de référence: </w:t>
      </w:r>
      <w:r>
        <w:rPr>
          <w:rFonts w:ascii="Times New Roman" w:hAnsi="Times New Roman"/>
          <w:color w:val="000000" w:themeColor="text1"/>
          <w:sz w:val="24"/>
        </w:rPr>
        <w:t>2022/2982 (RSP) /</w:t>
      </w:r>
      <w:r>
        <w:rPr>
          <w:rFonts w:ascii="Times New Roman" w:hAnsi="Times New Roman"/>
          <w:b/>
          <w:color w:val="000000" w:themeColor="text1"/>
          <w:sz w:val="24"/>
        </w:rPr>
        <w:t xml:space="preserve"> </w:t>
      </w:r>
      <w:r>
        <w:rPr>
          <w:rFonts w:ascii="Times New Roman" w:hAnsi="Times New Roman"/>
          <w:color w:val="000000" w:themeColor="text1"/>
          <w:sz w:val="24"/>
        </w:rPr>
        <w:t>B9-0101/2023</w:t>
      </w:r>
      <w:r>
        <w:rPr>
          <w:rFonts w:ascii="Times New Roman" w:hAnsi="Times New Roman"/>
          <w:b/>
          <w:color w:val="000000" w:themeColor="text1"/>
          <w:sz w:val="24"/>
        </w:rPr>
        <w:t xml:space="preserve"> / </w:t>
      </w:r>
      <w:r>
        <w:rPr>
          <w:rFonts w:ascii="Times New Roman" w:hAnsi="Times New Roman"/>
          <w:color w:val="000000" w:themeColor="text1"/>
          <w:sz w:val="24"/>
        </w:rPr>
        <w:t>P9_TA(2023)0059</w:t>
      </w:r>
    </w:p>
    <w:p w14:paraId="75284464" w14:textId="77777777" w:rsidR="001902E0" w:rsidRPr="00907B27" w:rsidRDefault="001902E0" w:rsidP="001902E0">
      <w:pPr>
        <w:pStyle w:val="ListParagraph"/>
        <w:numPr>
          <w:ilvl w:val="0"/>
          <w:numId w:val="4"/>
        </w:numPr>
        <w:spacing w:after="240"/>
        <w:ind w:left="567" w:hanging="567"/>
        <w:contextualSpacing w:val="0"/>
        <w:jc w:val="both"/>
        <w:rPr>
          <w:rFonts w:ascii="Times New Roman" w:eastAsiaTheme="minorEastAsia" w:hAnsi="Times New Roman"/>
          <w:color w:val="000000" w:themeColor="text1"/>
          <w:sz w:val="24"/>
          <w:szCs w:val="24"/>
        </w:rPr>
      </w:pPr>
      <w:r>
        <w:rPr>
          <w:rFonts w:ascii="Times New Roman" w:hAnsi="Times New Roman"/>
          <w:b/>
          <w:color w:val="000000" w:themeColor="text1"/>
          <w:sz w:val="24"/>
        </w:rPr>
        <w:t xml:space="preserve">Date d'adoption de la résolution: </w:t>
      </w:r>
      <w:r>
        <w:rPr>
          <w:rFonts w:ascii="Times New Roman" w:hAnsi="Times New Roman"/>
          <w:color w:val="000000" w:themeColor="text1"/>
          <w:sz w:val="24"/>
        </w:rPr>
        <w:t>16 février 2023</w:t>
      </w:r>
    </w:p>
    <w:p w14:paraId="24D4B46E" w14:textId="77777777" w:rsidR="001902E0" w:rsidRPr="00907B27" w:rsidRDefault="001902E0" w:rsidP="001902E0">
      <w:pPr>
        <w:pStyle w:val="ListParagraph"/>
        <w:numPr>
          <w:ilvl w:val="0"/>
          <w:numId w:val="4"/>
        </w:numPr>
        <w:spacing w:after="240"/>
        <w:ind w:left="567" w:hanging="567"/>
        <w:contextualSpacing w:val="0"/>
        <w:jc w:val="both"/>
        <w:rPr>
          <w:rFonts w:ascii="Times New Roman" w:eastAsiaTheme="minorEastAsia" w:hAnsi="Times New Roman"/>
          <w:b/>
          <w:bCs/>
          <w:color w:val="000000" w:themeColor="text1"/>
          <w:sz w:val="24"/>
          <w:szCs w:val="24"/>
        </w:rPr>
      </w:pPr>
      <w:r>
        <w:rPr>
          <w:rFonts w:ascii="Times New Roman" w:hAnsi="Times New Roman"/>
          <w:b/>
          <w:color w:val="000000" w:themeColor="text1"/>
          <w:sz w:val="24"/>
        </w:rPr>
        <w:t xml:space="preserve">Commission parlementaire compétente: </w:t>
      </w:r>
      <w:r>
        <w:rPr>
          <w:rFonts w:ascii="Times New Roman" w:hAnsi="Times New Roman"/>
          <w:color w:val="000000" w:themeColor="text1"/>
          <w:sz w:val="24"/>
        </w:rPr>
        <w:t>commission de l’agriculture et du développement rural (AGRI)</w:t>
      </w:r>
    </w:p>
    <w:p w14:paraId="0F1A9C6E" w14:textId="77777777" w:rsidR="001902E0" w:rsidRPr="00907B27" w:rsidRDefault="001902E0" w:rsidP="001902E0">
      <w:pPr>
        <w:pStyle w:val="ListParagraph"/>
        <w:numPr>
          <w:ilvl w:val="0"/>
          <w:numId w:val="4"/>
        </w:numPr>
        <w:spacing w:after="240"/>
        <w:ind w:left="567" w:hanging="567"/>
        <w:contextualSpacing w:val="0"/>
        <w:jc w:val="both"/>
        <w:rPr>
          <w:rFonts w:ascii="Times New Roman" w:eastAsiaTheme="minorEastAsia" w:hAnsi="Times New Roman"/>
          <w:b/>
          <w:bCs/>
          <w:color w:val="000000" w:themeColor="text1"/>
          <w:sz w:val="24"/>
          <w:szCs w:val="24"/>
        </w:rPr>
      </w:pPr>
      <w:r>
        <w:rPr>
          <w:rFonts w:ascii="Times New Roman" w:hAnsi="Times New Roman"/>
          <w:b/>
          <w:color w:val="000000" w:themeColor="text1"/>
          <w:sz w:val="24"/>
        </w:rPr>
        <w:t>Analyse/évaluation succincte de la résolution et des demandes qu’elle contient</w:t>
      </w:r>
    </w:p>
    <w:p w14:paraId="0AEFF1D8" w14:textId="77777777" w:rsidR="001902E0" w:rsidRPr="00907B27" w:rsidRDefault="001902E0" w:rsidP="001902E0">
      <w:pPr>
        <w:spacing w:after="120"/>
        <w:rPr>
          <w:rFonts w:ascii="Times New Roman" w:hAnsi="Times New Roman"/>
          <w:b/>
          <w:bCs/>
          <w:color w:val="000000" w:themeColor="text1"/>
          <w:szCs w:val="24"/>
        </w:rPr>
      </w:pPr>
      <w:r>
        <w:rPr>
          <w:rFonts w:ascii="Times New Roman" w:hAnsi="Times New Roman"/>
          <w:color w:val="000000" w:themeColor="text1"/>
        </w:rPr>
        <w:t>Le Parlement européen a réagi à la communication COM(2022) 590 de la Commission du 9 novembre 2022 intitulée «Garantir la disponibilité et le caractère abordable des engrais». Dans le contexte d’une crise mondiale des engrais minéraux, la Commission a décrit les mesures à court terme pour faire face à la situation. Elle a également décrit des mesures à moyen et à long terme pour la transition vers une production et une utilisation durables d’engrais. La résolution parvient dans une large mesure aux mêmes conclusions que la communication de la Commission, de nombreuses demandes concrètes étant déjà traitées ou en cours de traitement. Le Parlement européen se concentre sur quatre domaines principaux: soutien aux opérateurs pour faire face à la situation difficile en 2022, amélioration de l’efficacité de l’utilisation des nutriments en utilisant les interventions de la politique agricole commune (PAC), remplacement des engrais minéraux par l’énergie verte et les engrais (organiques) issus de l’économie circulaire et renforcement de l’autonomie stratégique ouverte. Le Parlement européen demande de nouvelles mesures dans plusieurs domaines, notamment l’octroi d’un soutien financier supplémentaire, l’amélioration du fonctionnement de la partie de la chaîne d’approvisionnement alimentaire utilisant des engrais, l’élaboration d’une stratégie en matière de protéines, la promotion de l’utilisation d’engrais organiques, en particulier à partir de lisier, la facilitation de la production et des importations d’engrais dans l’Union afin de renforcer l’autonomie stratégique ouverte, et l’accélération de la transition écologique de l’industrie des engrais. Il demande que ces mesures supplémentaires soient présentées dans une nouvelle stratégie de l’UE en matière d’engrais.</w:t>
      </w:r>
    </w:p>
    <w:p w14:paraId="321DA2B1" w14:textId="77777777" w:rsidR="001902E0" w:rsidRPr="00907B27" w:rsidRDefault="001902E0" w:rsidP="001902E0">
      <w:pPr>
        <w:pStyle w:val="ListParagraph"/>
        <w:numPr>
          <w:ilvl w:val="0"/>
          <w:numId w:val="4"/>
        </w:numPr>
        <w:spacing w:after="240"/>
        <w:ind w:left="567" w:hanging="567"/>
        <w:jc w:val="both"/>
        <w:rPr>
          <w:rFonts w:ascii="Times New Roman" w:eastAsia="Times New Roman" w:hAnsi="Times New Roman"/>
          <w:color w:val="000000" w:themeColor="text1"/>
          <w:sz w:val="24"/>
          <w:szCs w:val="24"/>
        </w:rPr>
      </w:pPr>
      <w:r>
        <w:rPr>
          <w:rFonts w:ascii="Times New Roman" w:hAnsi="Times New Roman"/>
          <w:b/>
          <w:color w:val="000000" w:themeColor="text1"/>
          <w:sz w:val="24"/>
        </w:rPr>
        <w:t>Réponse à ces demandes et aperçu des mesures que la Commission a prises ou envisage de prendre</w:t>
      </w:r>
      <w:r>
        <w:rPr>
          <w:rFonts w:ascii="Times New Roman" w:hAnsi="Times New Roman"/>
          <w:color w:val="000000" w:themeColor="text1"/>
          <w:sz w:val="24"/>
        </w:rPr>
        <w:t xml:space="preserve"> </w:t>
      </w:r>
    </w:p>
    <w:p w14:paraId="35F7351F" w14:textId="77777777" w:rsidR="001902E0" w:rsidRPr="00266378" w:rsidRDefault="001902E0" w:rsidP="001902E0">
      <w:pPr>
        <w:spacing w:after="120"/>
        <w:rPr>
          <w:rFonts w:ascii="Times New Roman" w:hAnsi="Times New Roman"/>
          <w:szCs w:val="24"/>
        </w:rPr>
      </w:pPr>
      <w:r>
        <w:rPr>
          <w:rFonts w:ascii="Times New Roman" w:hAnsi="Times New Roman"/>
        </w:rPr>
        <w:t>Les engrais sont des intrants essentiels pour la production agricole, et leur accessibilité financière et leur disponibilité sont essentielles pour garantir la viabilité du secteur agricole dans l’UE. La Commission se félicite de la résolution du Parlement européen intitulée «Disponibilité des engrais dans l’Union» et constate avec satisfaction que le Parlement européen partage largement l’analyse contenue dans sa communication intitulée «Garantir la disponibilité et le caractère abordable des engrais».</w:t>
      </w:r>
    </w:p>
    <w:p w14:paraId="67BDB16A" w14:textId="77777777" w:rsidR="001902E0" w:rsidRPr="00266378" w:rsidRDefault="001902E0" w:rsidP="001902E0">
      <w:pPr>
        <w:spacing w:after="120"/>
        <w:rPr>
          <w:rFonts w:ascii="Times New Roman" w:eastAsia="Calibri" w:hAnsi="Times New Roman"/>
          <w:szCs w:val="24"/>
        </w:rPr>
      </w:pPr>
      <w:r>
        <w:rPr>
          <w:rFonts w:ascii="Times New Roman" w:hAnsi="Times New Roman"/>
        </w:rPr>
        <w:lastRenderedPageBreak/>
        <w:t>La Commission convient que les coûts des engrais et des autres intrants ont une incidence sur les décisions des agriculteurs, avec des répercussions potentielles tout au long de la chaîne d’approvisionnement alimentaire et, en fin de compte, sur la sécurité et l’accessibilité financière des denrées alimentaires (</w:t>
      </w:r>
      <w:r>
        <w:rPr>
          <w:rFonts w:ascii="Times New Roman" w:hAnsi="Times New Roman"/>
          <w:b/>
          <w:bCs/>
        </w:rPr>
        <w:t>paragraphes 1, 2, 3, 6 et 7</w:t>
      </w:r>
      <w:r>
        <w:rPr>
          <w:rFonts w:ascii="Times New Roman" w:hAnsi="Times New Roman"/>
        </w:rPr>
        <w:t>). La guerre d’agression menée par la Russie contre l’Ukraine et la nouvelle augmentation des prix des intrants, en particulier de l’énergie et des engrais minéraux, qui en a résulté, ont mis en évidence la nécessité d’accroître l’autonomie et l’efficacité de la production et de l’utilisation de ces intrants, afin d’atténuer les conséquences négatives pour les producteurs d’engrais et les agriculteurs de l’UE. Depuis octobre 2021, la Commission a proposé plusieurs mesures visant à réduire les prix de l’énergie et à garantir l’approvisionnement énergétique.</w:t>
      </w:r>
    </w:p>
    <w:p w14:paraId="734C1076" w14:textId="77777777" w:rsidR="001902E0" w:rsidRPr="00266378" w:rsidRDefault="001902E0" w:rsidP="001902E0">
      <w:pPr>
        <w:spacing w:after="120"/>
        <w:rPr>
          <w:rFonts w:ascii="Times New Roman" w:hAnsi="Times New Roman"/>
          <w:szCs w:val="24"/>
        </w:rPr>
      </w:pPr>
      <w:r>
        <w:rPr>
          <w:rFonts w:ascii="Times New Roman" w:hAnsi="Times New Roman"/>
        </w:rPr>
        <w:t>Il existe un potentiel important d’amélioration de l’efficacité et d’évolution vers une production et une utilisation d’engrais plus durables. Les plans stratégiques relevant de la PAC qui sont en place depuis janvier 2023 joueront un rôle important en ce qui concerne une utilisation plus durable des engrais. Les États membres sont encouragés à promouvoir encore davantage l’efficacité des nutriments et la fertilité des sols dans leurs plans, par exemple au moyen de programmes écologiques. En termes de production, l’ammoniac vert produit à partir d’énergies renouvelables peut réduire considérablement les émissions de gaz à effet de serre de l’industrie des engrais (</w:t>
      </w:r>
      <w:r>
        <w:rPr>
          <w:rFonts w:ascii="Times New Roman" w:hAnsi="Times New Roman"/>
          <w:b/>
          <w:bCs/>
        </w:rPr>
        <w:t>paragraphes 10, 13 et 30</w:t>
      </w:r>
      <w:r>
        <w:rPr>
          <w:rFonts w:ascii="Times New Roman" w:hAnsi="Times New Roman"/>
        </w:rPr>
        <w:t>).</w:t>
      </w:r>
    </w:p>
    <w:p w14:paraId="482080B8" w14:textId="77777777" w:rsidR="001902E0" w:rsidRDefault="001902E0" w:rsidP="001902E0">
      <w:pPr>
        <w:spacing w:after="120"/>
        <w:rPr>
          <w:rFonts w:ascii="Times New Roman" w:eastAsia="Calibri" w:hAnsi="Times New Roman"/>
          <w:szCs w:val="24"/>
        </w:rPr>
      </w:pPr>
      <w:r>
        <w:rPr>
          <w:rFonts w:ascii="Times New Roman" w:hAnsi="Times New Roman"/>
        </w:rPr>
        <w:t>Dans les circonstances actuelles, la Commission ne voit pas la valeur ajoutée que pourrait apporter l’élaboration d’une stratégie à long terme de l’UE en matière d’engrais. Plusieurs mesures et initiatives ont été mises en place ou seront bientôt mises en œuvre pour promouvoir une gestion durable des nutriments ainsi que la prévention et la restauration de la dégradation des sols, le développement de technologies propres et une approche «zéro émission nette» pour les industries de l’UE afin de maintenir une production européenne durable d’engrais, l’atténuation des difficultés économiques à court terme grâce à un soutien financier aux agriculteurs et à l’industrie des engrais, et la réduction des dépendances en garantissant l’accès aux matières premières nécessaires. La Commission estime qu’une stratégie indépendante sur les engrais n’apporterait que peu de valeur ajoutée à ces mesures et initiatives existantes et à venir, et que l’accent devrait plutôt être mis sur la bonne mise en œuvre de ces dernières.</w:t>
      </w:r>
    </w:p>
    <w:p w14:paraId="21F6E471" w14:textId="77777777" w:rsidR="001902E0" w:rsidRDefault="001902E0" w:rsidP="001902E0">
      <w:pPr>
        <w:spacing w:after="120"/>
        <w:rPr>
          <w:rFonts w:ascii="Times New Roman" w:eastAsia="Calibri" w:hAnsi="Times New Roman"/>
          <w:szCs w:val="24"/>
        </w:rPr>
      </w:pPr>
      <w:r>
        <w:rPr>
          <w:rFonts w:ascii="Times New Roman" w:hAnsi="Times New Roman"/>
        </w:rPr>
        <w:t>Dans l’ensemble, la situation du marché des engrais est moins critique qu’elle ne l’était l’été dernier. Le prix moyen des engrais azotés dans l’UE a confirmé sa tendance à la baisse, qui avait débuté en octobre dernier. Les prix sont revenus à leur niveau d’octobre 2021. Toutefois, ils sont encore deux à trois fois supérieurs à ceux des années précédentes. Les prix du phosphate suivent la même tendance. Les prix de la potasse semblent plus stables.</w:t>
      </w:r>
    </w:p>
    <w:p w14:paraId="17A6957A" w14:textId="77777777" w:rsidR="001902E0" w:rsidRPr="00266378" w:rsidRDefault="001902E0" w:rsidP="001902E0">
      <w:pPr>
        <w:spacing w:after="120"/>
        <w:rPr>
          <w:rFonts w:ascii="Times New Roman" w:hAnsi="Times New Roman"/>
          <w:szCs w:val="24"/>
        </w:rPr>
      </w:pPr>
      <w:r>
        <w:rPr>
          <w:rFonts w:ascii="Times New Roman" w:hAnsi="Times New Roman"/>
        </w:rPr>
        <w:t>La hausse des prix à la production des principales matières premières agricoles a compensé en moyenne la hausse des prix des intrants dans l’ensemble de l’UE, bien qu’au niveau de l’UE, l’augmentation du prix des engrais (81,2 %) et de l’énergie (51,7 %) ait été nettement supérieure à la hausse du prix des produits végétaux (40,8 % pour les céréales). Selon les premières estimations d’Eurostat, le revenu moyen des facteurs dans tous les secteurs de l’agriculture pourrait avoir augmenté de 13,1 % en termes réels l’année dernière par rapport à 2021. Il existe des différences entre les États membres — 16 d’entre eux affichent une augmentation, tandis que 11 autres États membres ont enregistré une baisse (</w:t>
      </w:r>
      <w:r>
        <w:rPr>
          <w:rFonts w:ascii="Times New Roman" w:hAnsi="Times New Roman"/>
          <w:b/>
          <w:bCs/>
        </w:rPr>
        <w:t>paragraphe 4</w:t>
      </w:r>
      <w:r>
        <w:rPr>
          <w:rFonts w:ascii="Times New Roman" w:hAnsi="Times New Roman"/>
        </w:rPr>
        <w:t>).</w:t>
      </w:r>
    </w:p>
    <w:p w14:paraId="6CC1154D" w14:textId="77777777" w:rsidR="001902E0" w:rsidRDefault="001902E0" w:rsidP="001902E0">
      <w:pPr>
        <w:spacing w:after="120"/>
        <w:rPr>
          <w:rFonts w:ascii="Times New Roman" w:eastAsia="Calibri" w:hAnsi="Times New Roman"/>
          <w:szCs w:val="24"/>
        </w:rPr>
      </w:pPr>
      <w:r>
        <w:rPr>
          <w:rFonts w:ascii="Times New Roman" w:hAnsi="Times New Roman"/>
        </w:rPr>
        <w:t xml:space="preserve">En ce qui concerne le soutien aux agriculteurs, la Commission rappelle que plusieurs mesures sont déjà disponibles pour permettre aux États membres de fournir une aide ciblée tout en limitant les </w:t>
      </w:r>
      <w:r>
        <w:rPr>
          <w:rFonts w:ascii="Times New Roman" w:hAnsi="Times New Roman"/>
        </w:rPr>
        <w:lastRenderedPageBreak/>
        <w:t>distorsions du marché intérieur. Par exemple, l’encadrement temporaire de crise (applicable à compter du 9 mars 2023) a permis aux États membres d’utiliser la flexibilité existante au titre des règles en matière d’aides d’État pour soutenir les entreprises et les agriculteurs touchés par la guerre d’agression menée par la Russie contre l’Ukraine, et a défini des conditions communes relatives à la compatibilité des mesures d’aide d’État avec le marché intérieur, afin de garantir des conditions équitables pour les producteurs primaires et les producteurs d’engrais dans tous les États membres de l’UE. Depuis mars 2022, la Commission a autorisé, au titre de l’encadrement temporaire de crise, plus de 40 régimes consacrés à l’agriculture et à la sylviculture dans 21 États membres. Cinq États membres (la Grèce avec un budget de 60 millions d’euros, la Finlande avec un budget de 95 millions d’euros, Malte avec un budget de 6,5 millions d’euros, la Pologne avec un budget de 836 millions d’euros et la Slovénie avec un budget de 15 millions d’euros) ont décidé de mettre en place des régimes spécifiques pour soutenir l’achat d’engrais. Cela s’ajoute au train de mesures de soutien exceptionnel de 500 millions d’euros annoncé dans la communication de la Commission sur la sécurité alimentaire de mars 2022, qui, une fois complété par les ressources nationales, s’est transformé en une aide d’environ 1,2 milliard d’euros en faveur des agriculteurs, ainsi qu’à la mesure exceptionnelle adoptée en juin 2022 et financée par le Fonds européen agricole pour le développement rural, qui a permis aux États membres d’apporter une aide au revenu aux agriculteurs et aux entreprises agroalimentaires touchés par des augmentations significatives des coûts des intrants.</w:t>
      </w:r>
    </w:p>
    <w:p w14:paraId="465B1CB7" w14:textId="77777777" w:rsidR="001902E0" w:rsidRPr="00266378" w:rsidRDefault="001902E0" w:rsidP="001902E0">
      <w:pPr>
        <w:spacing w:after="120"/>
        <w:rPr>
          <w:rFonts w:ascii="Times New Roman" w:hAnsi="Times New Roman"/>
          <w:szCs w:val="24"/>
        </w:rPr>
      </w:pPr>
      <w:r>
        <w:rPr>
          <w:rFonts w:ascii="Times New Roman" w:hAnsi="Times New Roman"/>
        </w:rPr>
        <w:t>Compte tenu de la tendance actuelle à la baisse des prix des engrais et de l’énergie, ainsi que des chiffres préliminaires assez satisfaisants des revenus agricoles pour 2022, la Commission considère que les conditions d’octroi d’un soutien exceptionnel au titre de la réserve agricole de manière générale dans l’ensemble de l’UE afin d’indemniser les agriculteurs de l’augmentation des coûts des engrais ne sont pas remplies (</w:t>
      </w:r>
      <w:r>
        <w:rPr>
          <w:rFonts w:ascii="Times New Roman" w:hAnsi="Times New Roman"/>
          <w:b/>
          <w:bCs/>
        </w:rPr>
        <w:t>paragraphes 5, 8, 9, 11 et 12</w:t>
      </w:r>
      <w:r>
        <w:rPr>
          <w:rFonts w:ascii="Times New Roman" w:hAnsi="Times New Roman"/>
        </w:rPr>
        <w:t>).</w:t>
      </w:r>
    </w:p>
    <w:p w14:paraId="30696821" w14:textId="77777777" w:rsidR="001902E0" w:rsidRPr="00907B27" w:rsidRDefault="001902E0" w:rsidP="001902E0">
      <w:pPr>
        <w:spacing w:after="120"/>
        <w:rPr>
          <w:rFonts w:ascii="Times New Roman" w:hAnsi="Times New Roman"/>
          <w:szCs w:val="24"/>
        </w:rPr>
      </w:pPr>
      <w:r>
        <w:rPr>
          <w:rFonts w:ascii="Times New Roman" w:hAnsi="Times New Roman"/>
        </w:rPr>
        <w:t>En ce qui concerne la PAC, la Commission partage l’avis du Parlement européen selon lequel les plans stratégiques comportent une série d’interventions qui peuvent contribuer à réduire l’utilisation des engrais, notamment en améliorant l’efficacité des nutriments et en remplaçant les engrais minéraux par des engrais récupérés à partir de divers flux de déchets, sans affecter la quantité ou la qualité de la production (</w:t>
      </w:r>
      <w:r>
        <w:rPr>
          <w:rFonts w:ascii="Times New Roman" w:hAnsi="Times New Roman"/>
          <w:b/>
          <w:bCs/>
        </w:rPr>
        <w:t>paragraphes 13 et 15</w:t>
      </w:r>
      <w:r>
        <w:rPr>
          <w:rFonts w:ascii="Times New Roman" w:hAnsi="Times New Roman"/>
        </w:rPr>
        <w:t>). Tous les plans stratégiques relevant de la PAC prévoient des interventions visant à améliorer la gestion des nutriments, avec des liens directs avec la gestion des engrais. Selon une analyse préliminaire, on s’attend à ce que ces actions soient menées sur 15 % de la surface agricole de l’UE, soit plus de 50 millions d’hectares dans l’ensemble de l’UE. Globalement, les 28 plans stratégiques relevant de la PAC comprennent 122 interventions contribuant à améliorer la gestion des nutriments: 58 programmes écologiques (et sous-programmes) et 64 engagements agroenvironnementaux et climatiques. En outre, un certain nombre d’interventions d’investissement soutiendront le développement de l’agriculture de précision. Ces nombreuses interventions apportent le soutien nécessaire à l’utilisation et au développement de techniques de gestion des nutriments (</w:t>
      </w:r>
      <w:r>
        <w:rPr>
          <w:rFonts w:ascii="Times New Roman" w:hAnsi="Times New Roman"/>
          <w:b/>
          <w:bCs/>
        </w:rPr>
        <w:t>paragraphe 43</w:t>
      </w:r>
      <w:r>
        <w:rPr>
          <w:rFonts w:ascii="Times New Roman" w:hAnsi="Times New Roman"/>
        </w:rPr>
        <w:t xml:space="preserve">). La Commission encouragera les États membres à promouvoir une adoption plus large par les agriculteurs des mesures programmées pour une utilisation plus efficace des engrais. La Commission a invité les États membres, à leur initiative et si nécessaire, à envisager d’accorder une plus grande priorité à ces interventions lors des futures révisions de leurs plans stratégiques nationaux. Les États membres ont la possibilité de limiter à 3 % la part des terres mises en jachère et des éléments non productifs (BCAE 8) lorsque des cultures dérobées et des cultures fixatrices d’azote sont cultivées dans la même exploitation de manière à couvrir une proportion déterminée de la superficie: il s’agit d’une option que la plupart des États membres (tous sauf deux) ont proposée aux agriculteurs </w:t>
      </w:r>
      <w:r>
        <w:rPr>
          <w:rFonts w:ascii="Times New Roman" w:hAnsi="Times New Roman"/>
        </w:rPr>
        <w:lastRenderedPageBreak/>
        <w:t>(</w:t>
      </w:r>
      <w:r>
        <w:rPr>
          <w:rFonts w:ascii="Times New Roman" w:hAnsi="Times New Roman"/>
          <w:b/>
          <w:bCs/>
        </w:rPr>
        <w:t>paragraphe 15</w:t>
      </w:r>
      <w:r>
        <w:rPr>
          <w:rFonts w:ascii="Times New Roman" w:hAnsi="Times New Roman"/>
        </w:rPr>
        <w:t>). En outre, le recours aux cultures dérobées est largement soutenu par des programmes écologiques et des engagements agroenvironnementaux et climatiques dans la plupart des plans stratégiques relevant de la PAC. Par ailleurs, les plans stratégiques relevant de la PAC comprennent d’autres actions visant à accroître la fertilité naturelle des sols.</w:t>
      </w:r>
    </w:p>
    <w:p w14:paraId="56CC970C" w14:textId="77777777" w:rsidR="001902E0" w:rsidRPr="00907B27" w:rsidRDefault="001902E0" w:rsidP="001902E0">
      <w:pPr>
        <w:spacing w:after="120"/>
        <w:rPr>
          <w:rFonts w:ascii="Times New Roman" w:hAnsi="Times New Roman"/>
          <w:szCs w:val="24"/>
        </w:rPr>
      </w:pPr>
      <w:r>
        <w:rPr>
          <w:rFonts w:ascii="Times New Roman" w:hAnsi="Times New Roman"/>
        </w:rPr>
        <w:t>La Commission convient qu’un meilleur accès des agriculteurs aux services de conseil agricole, qui est un élément central de la PAC 2023-27, facilitera une meilleure gestion des nutriments grâce à une meilleure diffusion des meilleures pratiques. En particulier, un soutien supplémentaire est en cours pour appliquer l’outil pour le développement durable des exploitations agricoles (FaST) aux nutriments. Cet outil numérique ouvre la voie à une utilisation plus efficace des engrais (</w:t>
      </w:r>
      <w:r>
        <w:rPr>
          <w:rFonts w:ascii="Times New Roman" w:hAnsi="Times New Roman"/>
          <w:b/>
          <w:bCs/>
        </w:rPr>
        <w:t>paragraphes 40 et 42</w:t>
      </w:r>
      <w:r>
        <w:rPr>
          <w:rFonts w:ascii="Times New Roman" w:hAnsi="Times New Roman"/>
        </w:rPr>
        <w:t>). Tout en reconnaissant que les coûts de fertilisation varient au sein de l’UE en fonction des systèmes de production mis en œuvre, la Commission n’a pas l’intention de rouvrir le débat sur la convergence externe, qui a été mené par le colégislateur dans la réforme de 2021 (</w:t>
      </w:r>
      <w:r>
        <w:rPr>
          <w:rFonts w:ascii="Times New Roman" w:hAnsi="Times New Roman"/>
          <w:b/>
          <w:bCs/>
        </w:rPr>
        <w:t>paragraphe 62</w:t>
      </w:r>
      <w:r>
        <w:rPr>
          <w:rFonts w:ascii="Times New Roman" w:hAnsi="Times New Roman"/>
        </w:rPr>
        <w:t>).</w:t>
      </w:r>
    </w:p>
    <w:p w14:paraId="01CB9821" w14:textId="77777777" w:rsidR="001902E0" w:rsidRPr="00907B27" w:rsidRDefault="001902E0" w:rsidP="001902E0">
      <w:pPr>
        <w:spacing w:after="120"/>
        <w:rPr>
          <w:rFonts w:ascii="Times New Roman" w:eastAsia="Calibri" w:hAnsi="Times New Roman"/>
          <w:szCs w:val="24"/>
        </w:rPr>
      </w:pPr>
      <w:r>
        <w:rPr>
          <w:rFonts w:ascii="Times New Roman" w:hAnsi="Times New Roman"/>
        </w:rPr>
        <w:t>La Commission convient que les interventions visant à améliorer la santé des sols peuvent également contribuer à une meilleure gestion des nutriments, et soutient à ce titre clairement les États membres qui mettent en place l’initiative «Testez votre sol gratuitement» [COM(2021) 699], qui permet aux agriculteurs et aux autres acteurs d’en savoir plus sur la santé de leurs sols et d’améliorer la fertilisation, par le recyclage de matières organiques telles que le compost et d’autres résidus agricoles (</w:t>
      </w:r>
      <w:r>
        <w:rPr>
          <w:rFonts w:ascii="Times New Roman" w:hAnsi="Times New Roman"/>
          <w:b/>
          <w:bCs/>
        </w:rPr>
        <w:t>paragraphes 50 et 55</w:t>
      </w:r>
      <w:r>
        <w:rPr>
          <w:rFonts w:ascii="Times New Roman" w:hAnsi="Times New Roman"/>
        </w:rPr>
        <w:t>). La mission de l’UE intitulée «Un pacte pour des sols sains en Europe» soutient la R&amp;I afin d’améliorer les connaissances sur le recyclage des nutriments en vue de la productivité des cultures, de l’amélioration de la fertilité et de la réduction de la pollution, tout en augmentant les stocks de carbone organique du sol. Elle porte également sur la formation et la diffusion et l’adoption de pratiques et de solutions innovantes en renforçant les services de conseil dans leur base de connaissances et de compétences afin de fournir des conseils sur la gestion durable des sols. Cette mission devrait créer un réseau efficace de 100 «laboratoires vivants» et «phares» en vue de la création commune de connaissances, l’expérimentation de solutions et la démonstration de leur valeur dans des conditions réelles. Elle devrait investir 320 millions d’euros sur la période 2021-2023.</w:t>
      </w:r>
    </w:p>
    <w:p w14:paraId="7A97EB9F" w14:textId="77777777" w:rsidR="001902E0" w:rsidRDefault="001902E0" w:rsidP="001902E0">
      <w:pPr>
        <w:spacing w:after="120"/>
        <w:rPr>
          <w:rFonts w:ascii="Times New Roman" w:hAnsi="Times New Roman"/>
          <w:szCs w:val="24"/>
        </w:rPr>
      </w:pPr>
      <w:r>
        <w:rPr>
          <w:rFonts w:ascii="Times New Roman" w:hAnsi="Times New Roman"/>
        </w:rPr>
        <w:t>La Commission partage l’avis du Parlement européen sur le rôle positif que la rotation des cultures peut jouer pour réduire les besoins en fertilisants et améliorer la fertilité des sols, notamment en incluant davantage de cultures fixant l’azote (</w:t>
      </w:r>
      <w:r>
        <w:rPr>
          <w:rFonts w:ascii="Times New Roman" w:hAnsi="Times New Roman"/>
          <w:b/>
          <w:bCs/>
        </w:rPr>
        <w:t>paragraphes 15, 43 et 51</w:t>
      </w:r>
      <w:r>
        <w:rPr>
          <w:rFonts w:ascii="Times New Roman" w:hAnsi="Times New Roman"/>
        </w:rPr>
        <w:t>).</w:t>
      </w:r>
    </w:p>
    <w:p w14:paraId="31373777" w14:textId="77777777" w:rsidR="001902E0" w:rsidRPr="00907B27" w:rsidRDefault="001902E0" w:rsidP="001902E0">
      <w:pPr>
        <w:spacing w:after="120"/>
        <w:rPr>
          <w:rFonts w:ascii="Times New Roman" w:hAnsi="Times New Roman"/>
          <w:szCs w:val="24"/>
        </w:rPr>
      </w:pPr>
      <w:r>
        <w:rPr>
          <w:rFonts w:ascii="Times New Roman" w:hAnsi="Times New Roman"/>
        </w:rPr>
        <w:t>La Commission procède actuellement à un réexamen complet de son approche en matière de protéines, comme elle l’a annoncé dans sa communication de 2022 sur la sécurité alimentaire (</w:t>
      </w:r>
      <w:r>
        <w:rPr>
          <w:rFonts w:ascii="Times New Roman" w:hAnsi="Times New Roman"/>
          <w:b/>
          <w:bCs/>
        </w:rPr>
        <w:t>paragraphes 49 et 52</w:t>
      </w:r>
      <w:r>
        <w:rPr>
          <w:rFonts w:ascii="Times New Roman" w:hAnsi="Times New Roman"/>
        </w:rPr>
        <w:t xml:space="preserve">). Le champ du réexamen sera large: il couvrira différentes sources de protéines de substitution, différentes utilisations finales dans les aliments pour animaux et les denrées alimentaires, ainsi que l’environnement stratégique pour promouvoir les protéines cultivées dans l’UE. Le réexamen analysera également les tendances sur le marché de la consommation. En outre, la Commission prévoit de mettre en évidence les avantages environnementaux des protéagineux et leur besoin réduit d’engrais en tant que levier pour accroître la production dans l’UE, conformément aux objectifs du pacte vert. La Commission convient que le soutien financier aux agriculteurs est essentiel pour atteindre les objectifs de la stratégie «De la ferme à la table». La nouvelle politique agricole commune permet aux États membres de concevoir des interventions en faveur du développement de protéines végétales dans le cadre de programmes opérationnels, d’une aide couplée au revenu, de programmes écologiques et de mesures de </w:t>
      </w:r>
      <w:r>
        <w:rPr>
          <w:rFonts w:ascii="Times New Roman" w:hAnsi="Times New Roman"/>
        </w:rPr>
        <w:lastRenderedPageBreak/>
        <w:t>développement rural. La Commission prévoit d’inclure toutes les conclusions et de faire aboutir le réexamen au cours du premier trimestre de 2024 et de publier une communication.</w:t>
      </w:r>
    </w:p>
    <w:p w14:paraId="2E578EA6" w14:textId="77777777" w:rsidR="001902E0" w:rsidRPr="00907B27" w:rsidRDefault="001902E0" w:rsidP="001902E0">
      <w:pPr>
        <w:spacing w:after="120"/>
        <w:rPr>
          <w:rFonts w:ascii="Times New Roman" w:eastAsia="Calibri" w:hAnsi="Times New Roman"/>
          <w:szCs w:val="24"/>
        </w:rPr>
      </w:pPr>
      <w:r>
        <w:rPr>
          <w:rFonts w:ascii="Times New Roman" w:hAnsi="Times New Roman"/>
        </w:rPr>
        <w:t>La Commission rejoint le Parlement européen en soulignant le rôle essentiel de la recherche et de l’innovation pour améliorer l’efficacité de la fertilisation et de l’utilisation des nutriments (</w:t>
      </w:r>
      <w:r>
        <w:rPr>
          <w:rFonts w:ascii="Times New Roman" w:hAnsi="Times New Roman"/>
          <w:b/>
          <w:bCs/>
        </w:rPr>
        <w:t>paragraphes 39 et 41</w:t>
      </w:r>
      <w:r>
        <w:rPr>
          <w:rFonts w:ascii="Times New Roman" w:hAnsi="Times New Roman"/>
        </w:rPr>
        <w:t>). La Commission promeut, par l’intermédiaire des programmes-cadres de R&amp;I «Horizon 2020» et «Horizon Europe», une contribution à la gestion des engrais et des nutriments fondée sur la science, y compris des pratiques agricoles globales et durables sur le plan environnemental, telles que l’agriculture mixte, l’agroécologie et l’agriculture biologique, qui ont le potentiel d’optimiser les cycles des nutriments, de réduire au minimum les exigences en matière d’intrants synthétiques et de renforcer la résilience du secteur agricole.</w:t>
      </w:r>
    </w:p>
    <w:p w14:paraId="7008358B" w14:textId="77777777" w:rsidR="001902E0" w:rsidRPr="00907B27" w:rsidRDefault="001902E0" w:rsidP="001902E0">
      <w:pPr>
        <w:spacing w:after="120"/>
        <w:rPr>
          <w:rFonts w:ascii="Times New Roman" w:eastAsia="Calibri" w:hAnsi="Times New Roman"/>
          <w:szCs w:val="24"/>
        </w:rPr>
      </w:pPr>
      <w:r>
        <w:rPr>
          <w:rFonts w:ascii="Times New Roman" w:hAnsi="Times New Roman"/>
        </w:rPr>
        <w:t xml:space="preserve">Au titre d’Horizon 2020, le précédent programme-cadre de recherche, environ 100 projets de recherche et d’innovation très pertinents pour la gestion des nutriments, qui représentaient un budget total de 700 millions d’euros, ont été financés. 35 projets dotés d’un budget d’environ 180 millions d’euros, lancés au cours des deux premières années (2021-2022) d’Horizon Europe, devraient apporter une contribution supplémentaire à la R&amp;I dans le domaine de l’utilisation des engrais dans l’agriculture. </w:t>
      </w:r>
    </w:p>
    <w:p w14:paraId="05FAFB07" w14:textId="77777777" w:rsidR="001902E0" w:rsidRPr="00907B27" w:rsidRDefault="001902E0" w:rsidP="001902E0">
      <w:pPr>
        <w:spacing w:after="120"/>
        <w:rPr>
          <w:rFonts w:ascii="Times New Roman" w:eastAsia="Calibri" w:hAnsi="Times New Roman"/>
          <w:szCs w:val="24"/>
        </w:rPr>
      </w:pPr>
      <w:r>
        <w:rPr>
          <w:rFonts w:ascii="Times New Roman" w:hAnsi="Times New Roman"/>
        </w:rPr>
        <w:t>La Commission convient de la nécessité de diffuser davantage les innovations et pratiques qui améliorent l’utilisation des nutriments (</w:t>
      </w:r>
      <w:r>
        <w:rPr>
          <w:rFonts w:ascii="Times New Roman" w:hAnsi="Times New Roman"/>
          <w:b/>
          <w:bCs/>
        </w:rPr>
        <w:t>paragraphe 40</w:t>
      </w:r>
      <w:r>
        <w:rPr>
          <w:rFonts w:ascii="Times New Roman" w:hAnsi="Times New Roman"/>
        </w:rPr>
        <w:t>). Deux réseaux thématiques sur cette question ont été lancés en 2023 et plusieurs groupes de réflexion et groupes opérationnels établis dans le cadre du partenariat européen d’innovation pour le développement durable de l’agriculture contribuent à la diffusion des travaux en matière de fertilisation durable.</w:t>
      </w:r>
    </w:p>
    <w:p w14:paraId="087CF3D1" w14:textId="77777777" w:rsidR="001902E0" w:rsidRPr="00907B27" w:rsidRDefault="001902E0" w:rsidP="001902E0">
      <w:pPr>
        <w:spacing w:after="120"/>
        <w:rPr>
          <w:rFonts w:ascii="Times New Roman" w:eastAsia="Calibri" w:hAnsi="Times New Roman"/>
          <w:szCs w:val="24"/>
        </w:rPr>
      </w:pPr>
      <w:r>
        <w:rPr>
          <w:rFonts w:ascii="Times New Roman" w:hAnsi="Times New Roman"/>
        </w:rPr>
        <w:t>La Commission travaille actuellement à l’élaboration d’une proposition législative sur les plantes fondée sur certaines nouvelles techniques génomiques, qui sont susceptibles de contribuer à des systèmes agroalimentaires durables, y compris du point de vue de la gestion des nutriments, conformément aux objectifs du pacte vert pour l’Europe et de la stratégie «De la ferme à la table» (</w:t>
      </w:r>
      <w:r>
        <w:rPr>
          <w:rFonts w:ascii="Times New Roman" w:hAnsi="Times New Roman"/>
          <w:b/>
          <w:bCs/>
        </w:rPr>
        <w:t>paragraphe 46</w:t>
      </w:r>
      <w:r>
        <w:rPr>
          <w:rFonts w:ascii="Times New Roman" w:hAnsi="Times New Roman"/>
        </w:rPr>
        <w:t>).</w:t>
      </w:r>
    </w:p>
    <w:p w14:paraId="3CA25C36" w14:textId="77777777" w:rsidR="001902E0" w:rsidRDefault="001902E0" w:rsidP="001902E0">
      <w:pPr>
        <w:spacing w:after="120"/>
        <w:rPr>
          <w:rFonts w:ascii="Times New Roman" w:eastAsia="Calibri" w:hAnsi="Times New Roman"/>
          <w:szCs w:val="24"/>
        </w:rPr>
      </w:pPr>
      <w:r>
        <w:rPr>
          <w:rFonts w:ascii="Times New Roman" w:hAnsi="Times New Roman"/>
        </w:rPr>
        <w:t>Étant donné que les engrais et les autres coûts des intrants jouent un rôle important dans la sécurité alimentaire, la Commission reconnaît qu’il est essentiel que leurs chaînes d’approvisionnement et leurs interactions avec l’ensemble de la chaîne d’approvisionnement alimentaire fonctionnent correctement. Cela fait partie de l’attention globale de la Commission sur le bon fonctionnement de la chaîne d’approvisionnement alimentaire (</w:t>
      </w:r>
      <w:r>
        <w:rPr>
          <w:rFonts w:ascii="Times New Roman" w:hAnsi="Times New Roman"/>
          <w:b/>
          <w:bCs/>
        </w:rPr>
        <w:t>paragraphes 23, 26, 27 et 29</w:t>
      </w:r>
      <w:r>
        <w:rPr>
          <w:rFonts w:ascii="Times New Roman" w:hAnsi="Times New Roman"/>
        </w:rPr>
        <w:t>). Les organisations de producteurs, y compris les coopératives agricoles, qui sont des acheteurs non négligeables d’engrais, jouent un rôle important à cet égard (</w:t>
      </w:r>
      <w:r>
        <w:rPr>
          <w:rFonts w:ascii="Times New Roman" w:hAnsi="Times New Roman"/>
          <w:b/>
          <w:bCs/>
        </w:rPr>
        <w:t>paragraphe 14</w:t>
      </w:r>
      <w:r>
        <w:rPr>
          <w:rFonts w:ascii="Times New Roman" w:hAnsi="Times New Roman"/>
        </w:rPr>
        <w:t>).</w:t>
      </w:r>
    </w:p>
    <w:p w14:paraId="3BB861CD" w14:textId="77777777" w:rsidR="001902E0" w:rsidRPr="00945E80" w:rsidRDefault="001902E0" w:rsidP="001902E0">
      <w:pPr>
        <w:spacing w:after="120"/>
        <w:rPr>
          <w:rFonts w:ascii="Times New Roman" w:eastAsia="Calibri" w:hAnsi="Times New Roman"/>
          <w:szCs w:val="24"/>
        </w:rPr>
      </w:pPr>
      <w:r>
        <w:rPr>
          <w:rFonts w:ascii="Times New Roman" w:hAnsi="Times New Roman"/>
        </w:rPr>
        <w:t xml:space="preserve">Un autre aspect important de l’engagement de la Commission en faveur du bon fonctionnement des chaînes d’approvisionnement alimentaire concerne la transparence du marché. À cette fin, la Commission a créé l’Observatoire européen du marché des engrais en tant que groupe informel d’experts, pour lequel un appel à candidatures a été lancé le 3 mars 2022. Ce groupe aura notamment pour mission de fournir à la Commission des conseils et une expertise sur les facteurs économiques et les autres facteurs pertinents influençant l’évolution des marchés des engrais, ainsi que des informations de première main sur la situation des marchés des engrais, y compris des données; de mettre en évidence et d’évaluer la situation actuelle des marchés des engrais dans l’intérêt des opérateurs économiques, de la Commission et du grand public; d’aider la Commission à favoriser la transparence du marché tout au long de la chaîne d’approvisionnement sur les marchés des engrais; d’échanger des expériences et des bonnes pratiques dans le domaine des </w:t>
      </w:r>
      <w:r>
        <w:rPr>
          <w:rFonts w:ascii="Times New Roman" w:hAnsi="Times New Roman"/>
        </w:rPr>
        <w:lastRenderedPageBreak/>
        <w:t>marchés des engrais. La Commission peut consulter ce groupe sur toute question relative à l’évolution des marchés des engrais dans l’UE et au niveau mondial. La première réunion est prévue pour la première moitié du mois de juin 2023 (</w:t>
      </w:r>
      <w:r>
        <w:rPr>
          <w:rFonts w:ascii="Times New Roman" w:hAnsi="Times New Roman"/>
          <w:b/>
          <w:bCs/>
        </w:rPr>
        <w:t>paragraphe 61</w:t>
      </w:r>
      <w:r>
        <w:rPr>
          <w:rFonts w:ascii="Times New Roman" w:hAnsi="Times New Roman"/>
        </w:rPr>
        <w:t>). La Commission poursuivra la mise en œuvre des actions prévues dans sa communication sur le plan d’urgence en matière de sécurité alimentaire de novembre 2021 par l’intermédiaire du mécanisme européen de préparation et de réaction aux crises de sécurité alimentaire (</w:t>
      </w:r>
      <w:r>
        <w:rPr>
          <w:rFonts w:ascii="Times New Roman" w:hAnsi="Times New Roman"/>
          <w:b/>
          <w:bCs/>
        </w:rPr>
        <w:t>paragraphe 54</w:t>
      </w:r>
      <w:r>
        <w:rPr>
          <w:rFonts w:ascii="Times New Roman" w:hAnsi="Times New Roman"/>
        </w:rPr>
        <w:t>). En ce qui concerne les achats conjoints, la Commission attire l’attention sur le fait que ces possibilités sont mentionnées dans sa proposition relative à un instrument du marché unique pour les situations d’urgence (</w:t>
      </w:r>
      <w:r>
        <w:rPr>
          <w:rFonts w:ascii="Times New Roman" w:hAnsi="Times New Roman"/>
          <w:b/>
          <w:bCs/>
        </w:rPr>
        <w:t>paragraphe 25</w:t>
      </w:r>
      <w:r>
        <w:rPr>
          <w:rFonts w:ascii="Times New Roman" w:hAnsi="Times New Roman"/>
        </w:rPr>
        <w:t>).</w:t>
      </w:r>
    </w:p>
    <w:p w14:paraId="2B8CDBAD" w14:textId="77777777" w:rsidR="001902E0" w:rsidRPr="00266378" w:rsidRDefault="001902E0" w:rsidP="001902E0">
      <w:pPr>
        <w:spacing w:after="120"/>
        <w:rPr>
          <w:rFonts w:ascii="Times New Roman" w:eastAsia="Calibri" w:hAnsi="Times New Roman"/>
          <w:szCs w:val="24"/>
        </w:rPr>
      </w:pPr>
      <w:r>
        <w:rPr>
          <w:rFonts w:ascii="Times New Roman" w:hAnsi="Times New Roman"/>
        </w:rPr>
        <w:t>Depuis juillet 2022, le règlement sur les fertilisants a ouvert le marché unique aux engrais fabriqués à partir de matières valorisées et de sous-produits, entre autres. La Commission travaille actuellement à l’élaboration d’un acte délégué concernant la détermination des points limites de la chaîne de fabrication de certains engrais organiques et amendements. La détermination des points finaux dans la chaîne de fabrication implique que ces produits ne sont plus soumis à un contrôle vétérinaire. Une fois que toutes les exigences pertinentes ont été établies pour garantir que les matières sont sûres et efficaces du point de vue agronomique, elles peuvent être utilisées dans la production de fertilisants UE et donc circuler librement sur le marché intérieur (</w:t>
      </w:r>
      <w:r>
        <w:rPr>
          <w:rFonts w:ascii="Times New Roman" w:hAnsi="Times New Roman"/>
          <w:b/>
          <w:bCs/>
        </w:rPr>
        <w:t>paragraphes 16, 20 et 53</w:t>
      </w:r>
      <w:r>
        <w:rPr>
          <w:rFonts w:ascii="Times New Roman" w:hAnsi="Times New Roman"/>
        </w:rPr>
        <w:t>). En ce qui concerne la valorisation des sous-produits d’origine animale, le règlement (CE) nº 1069/2009 du Parlement européen et du Conseil contient des règles relatives à la mise sur le marché et à l’utilisation de certains engrais organiques et amendements.</w:t>
      </w:r>
    </w:p>
    <w:p w14:paraId="55D44C65" w14:textId="77777777" w:rsidR="001902E0" w:rsidRPr="00266378" w:rsidRDefault="001902E0" w:rsidP="001902E0">
      <w:pPr>
        <w:spacing w:after="120"/>
        <w:rPr>
          <w:rFonts w:ascii="Times New Roman" w:eastAsia="Calibri" w:hAnsi="Times New Roman"/>
          <w:szCs w:val="24"/>
        </w:rPr>
      </w:pPr>
      <w:r>
        <w:rPr>
          <w:rFonts w:ascii="Times New Roman" w:hAnsi="Times New Roman"/>
        </w:rPr>
        <w:t>Des engrais azotés non fossiles peuvent également être obtenus en récupérant l’ammoniac dans les eaux usées. Le 26 octobre 2022, la Commission a adopté une révision de la directive relative au traitement des eaux urbaines résiduaires (directive 91/271/CEE du Conseil du 21 mai 1991), qui prévoit des obligations plus strictes de récupération des nutriments dans les eaux usées, lesquels peuvent ensuite être réutilisés dans l’agriculture (</w:t>
      </w:r>
      <w:r>
        <w:rPr>
          <w:rFonts w:ascii="Times New Roman" w:hAnsi="Times New Roman"/>
          <w:b/>
          <w:bCs/>
        </w:rPr>
        <w:t>paragraphes 30 et 58</w:t>
      </w:r>
      <w:r>
        <w:rPr>
          <w:rFonts w:ascii="Times New Roman" w:hAnsi="Times New Roman"/>
        </w:rPr>
        <w:t>).</w:t>
      </w:r>
    </w:p>
    <w:p w14:paraId="4C83A2A5" w14:textId="77777777" w:rsidR="001902E0" w:rsidRDefault="001902E0" w:rsidP="001902E0">
      <w:pPr>
        <w:spacing w:after="120"/>
        <w:rPr>
          <w:rFonts w:ascii="Times New Roman" w:hAnsi="Times New Roman"/>
          <w:szCs w:val="24"/>
        </w:rPr>
      </w:pPr>
      <w:r>
        <w:rPr>
          <w:rFonts w:ascii="Times New Roman" w:hAnsi="Times New Roman"/>
        </w:rPr>
        <w:t>La Commission convient de l’importance du lisier et des produits transformés pour la production végétale (paragraphe 44) et de ses avantages connexes pour d’autres secteurs, tels que la production de biogaz et la production de biométhane.</w:t>
      </w:r>
    </w:p>
    <w:p w14:paraId="7103799E" w14:textId="77777777" w:rsidR="001902E0" w:rsidRDefault="001902E0" w:rsidP="001902E0">
      <w:pPr>
        <w:spacing w:after="120"/>
        <w:rPr>
          <w:rFonts w:ascii="Times New Roman" w:hAnsi="Times New Roman"/>
          <w:szCs w:val="24"/>
        </w:rPr>
      </w:pPr>
      <w:r>
        <w:rPr>
          <w:rFonts w:ascii="Times New Roman" w:hAnsi="Times New Roman"/>
        </w:rPr>
        <w:t>La prochaine initiative sur la gestion intégrée des nutriments, prévue au cours du premier semestre de 2023, définira comment l’UE et les États membres peuvent atteindre l’objectif de réduction des pertes de nutriments de 50 % d’ici à 2030, qui constitue un objectif clé du pacte vert et un engagement pris au niveau mondial par l’UE et tous les États membres au titre du cadre mondial de la biodiversité de Kunming-Montréal. Elle examinera les possibilités d’accroître l’efficacité de l’utilisation des nutriments et les avantages d’une gestion plus circulaire et intégrée des nutriments, y compris des déchets (</w:t>
      </w:r>
      <w:r>
        <w:rPr>
          <w:rFonts w:ascii="Times New Roman" w:hAnsi="Times New Roman"/>
          <w:b/>
          <w:bCs/>
        </w:rPr>
        <w:t>paragraphes 35, 57, 58 et 60</w:t>
      </w:r>
      <w:r>
        <w:rPr>
          <w:rFonts w:ascii="Times New Roman" w:hAnsi="Times New Roman"/>
        </w:rPr>
        <w:t>).</w:t>
      </w:r>
    </w:p>
    <w:p w14:paraId="2D5D8EE5" w14:textId="77777777" w:rsidR="001902E0" w:rsidRDefault="001902E0" w:rsidP="001902E0">
      <w:pPr>
        <w:spacing w:after="120"/>
        <w:rPr>
          <w:rFonts w:ascii="Times New Roman" w:hAnsi="Times New Roman"/>
          <w:szCs w:val="24"/>
        </w:rPr>
      </w:pPr>
      <w:r>
        <w:rPr>
          <w:rFonts w:ascii="Times New Roman" w:hAnsi="Times New Roman"/>
        </w:rPr>
        <w:t>Des efforts sont actuellement déployés dans certains États membres pour mettre au point des technologies de traitement des lisiers qui permettent de transformer le lisier en engrais à faibles émissions, avec des risques de lixiviation moindres et en produisant une ressource utile sur le plan agronomique. Toutefois, les technologies disponibles sont susceptibles de donner des produits dont les émissions d’ammoniac gazeux pourraient être plus élevées que celles de certains engrais minéraux, tout en étant meilleures que celles du lisier et semblables ou inférieures à celles de l’urée. L’utilisation du lisier et du lisier transformé, conformément à la directive sur les nitrates, peut contribuer à aider les agriculteurs à réduire leur exposition aux prix volatils des engrais minéraux et à clore les cycles de nutriments provenant des effluents d’élevage (</w:t>
      </w:r>
      <w:r>
        <w:rPr>
          <w:rFonts w:ascii="Times New Roman" w:hAnsi="Times New Roman"/>
          <w:b/>
          <w:bCs/>
        </w:rPr>
        <w:t xml:space="preserve">paragraphes 17, </w:t>
      </w:r>
      <w:r>
        <w:rPr>
          <w:rFonts w:ascii="Times New Roman" w:hAnsi="Times New Roman"/>
          <w:b/>
          <w:bCs/>
        </w:rPr>
        <w:lastRenderedPageBreak/>
        <w:t>18, 19, 21, 35, 60 et 64</w:t>
      </w:r>
      <w:r>
        <w:rPr>
          <w:rFonts w:ascii="Times New Roman" w:hAnsi="Times New Roman"/>
        </w:rPr>
        <w:t>). La Commission renvoie également à sa réponse à la résolution du Parlement européen du 5 avril 2022 intitulée «Mesures de lutte contre la pollution de l’eau par les nitrates, y compris les améliorations à apporter dans les différents systèmes de mesure des nitrates dans les États membres»</w:t>
      </w:r>
      <w:r>
        <w:rPr>
          <w:rStyle w:val="FootnoteReference"/>
          <w:rFonts w:ascii="Times New Roman" w:hAnsi="Times New Roman"/>
          <w:szCs w:val="24"/>
        </w:rPr>
        <w:footnoteReference w:id="2"/>
      </w:r>
      <w:r>
        <w:rPr>
          <w:rFonts w:ascii="Times New Roman" w:hAnsi="Times New Roman"/>
        </w:rPr>
        <w:t xml:space="preserve">. </w:t>
      </w:r>
    </w:p>
    <w:p w14:paraId="793FC1A0" w14:textId="77777777" w:rsidR="001902E0" w:rsidRPr="00907B27" w:rsidRDefault="001902E0" w:rsidP="001902E0">
      <w:pPr>
        <w:spacing w:after="120"/>
        <w:rPr>
          <w:rFonts w:ascii="Times New Roman" w:hAnsi="Times New Roman"/>
          <w:szCs w:val="24"/>
        </w:rPr>
      </w:pPr>
      <w:r>
        <w:rPr>
          <w:rFonts w:ascii="Times New Roman" w:hAnsi="Times New Roman"/>
        </w:rPr>
        <w:t>La gestion des effluents d’élevage est responsable de 1,5 % des émissions totales de gaz à effet de serre à l’échelle mondiale</w:t>
      </w:r>
      <w:r>
        <w:rPr>
          <w:rStyle w:val="FootnoteReference"/>
          <w:rFonts w:ascii="Times New Roman" w:eastAsia="Calibri" w:hAnsi="Times New Roman"/>
          <w:szCs w:val="24"/>
        </w:rPr>
        <w:footnoteReference w:id="3"/>
      </w:r>
      <w:r>
        <w:rPr>
          <w:rFonts w:ascii="Times New Roman" w:hAnsi="Times New Roman"/>
        </w:rPr>
        <w:t>; les émissions de méthane et de protoxyde d’azote représentent les plus grandes parts de ce pourcentage. Ces émissions devraient diminuer si le lisier est utilisé pour produire du biométhane afin d’atteindre le nouvel objectif fixé par REPowerEU. Dans les États membres, les émissions par hectare les plus élevées sont enregistrées là où il existe des niveaux élevés d’intensification des activités agricoles et d’élevage (</w:t>
      </w:r>
      <w:r>
        <w:rPr>
          <w:rFonts w:ascii="Times New Roman" w:hAnsi="Times New Roman"/>
          <w:b/>
          <w:bCs/>
        </w:rPr>
        <w:t>paragraphe 56</w:t>
      </w:r>
      <w:r>
        <w:rPr>
          <w:rFonts w:ascii="Times New Roman" w:hAnsi="Times New Roman"/>
        </w:rPr>
        <w:t>).</w:t>
      </w:r>
    </w:p>
    <w:p w14:paraId="1DF4208C" w14:textId="77777777" w:rsidR="001902E0" w:rsidRPr="00266378" w:rsidRDefault="001902E0" w:rsidP="001902E0">
      <w:pPr>
        <w:spacing w:after="120"/>
        <w:rPr>
          <w:rFonts w:ascii="Times New Roman" w:hAnsi="Times New Roman"/>
          <w:szCs w:val="24"/>
        </w:rPr>
      </w:pPr>
      <w:r>
        <w:rPr>
          <w:rFonts w:ascii="Times New Roman" w:hAnsi="Times New Roman"/>
        </w:rPr>
        <w:t>La PAC apporte un soutien à l’élevage durable dans le cadre de diverses interventions. Les États membres ont notamment la possibilité de soutenir la production animale en difficulté en améliorant la compétitivité, la durabilité ou la qualité dans le cadre de l’aide couplée au revenu (</w:t>
      </w:r>
      <w:r>
        <w:rPr>
          <w:rFonts w:ascii="Times New Roman" w:hAnsi="Times New Roman"/>
          <w:b/>
          <w:bCs/>
        </w:rPr>
        <w:t>paragraphe 59</w:t>
      </w:r>
      <w:r>
        <w:rPr>
          <w:rFonts w:ascii="Times New Roman" w:hAnsi="Times New Roman"/>
        </w:rPr>
        <w:t>).</w:t>
      </w:r>
    </w:p>
    <w:p w14:paraId="3991536E" w14:textId="77777777" w:rsidR="001902E0" w:rsidRPr="00A10881" w:rsidRDefault="001902E0" w:rsidP="001902E0">
      <w:pPr>
        <w:pStyle w:val="ListParagraph"/>
        <w:spacing w:after="120" w:line="240" w:lineRule="auto"/>
        <w:ind w:left="0"/>
        <w:jc w:val="both"/>
        <w:rPr>
          <w:rFonts w:ascii="Times New Roman" w:hAnsi="Times New Roman"/>
          <w:sz w:val="24"/>
          <w:szCs w:val="24"/>
        </w:rPr>
      </w:pPr>
      <w:r>
        <w:rPr>
          <w:rFonts w:ascii="Times New Roman" w:hAnsi="Times New Roman"/>
          <w:sz w:val="24"/>
        </w:rPr>
        <w:t>Des analyses d’impact sont réalisées sur des initiatives censées avoir des incidences économiques, sociales ou environnementales importantes, notamment des propositions législatives, des initiatives non législatives (par exemple, des programmes financiers, des recommandations pour la négociation des accords internationaux) ainsi que des actes d’exécution et des actes délégués (</w:t>
      </w:r>
      <w:r>
        <w:rPr>
          <w:rFonts w:ascii="Times New Roman" w:hAnsi="Times New Roman"/>
          <w:b/>
          <w:bCs/>
          <w:sz w:val="24"/>
        </w:rPr>
        <w:t>paragraphe 24</w:t>
      </w:r>
      <w:r>
        <w:rPr>
          <w:rFonts w:ascii="Times New Roman" w:hAnsi="Times New Roman"/>
          <w:sz w:val="24"/>
        </w:rPr>
        <w:t>).</w:t>
      </w:r>
    </w:p>
    <w:p w14:paraId="173A821F" w14:textId="77777777" w:rsidR="001902E0" w:rsidRPr="00266378" w:rsidRDefault="001902E0" w:rsidP="001902E0">
      <w:pPr>
        <w:spacing w:after="120"/>
        <w:rPr>
          <w:rFonts w:ascii="Times New Roman" w:eastAsia="Calibri" w:hAnsi="Times New Roman"/>
          <w:szCs w:val="24"/>
        </w:rPr>
      </w:pPr>
      <w:r>
        <w:rPr>
          <w:rFonts w:ascii="Times New Roman" w:hAnsi="Times New Roman"/>
        </w:rPr>
        <w:t>L’UE n’a cessé de nouer des alliances avec ses partenaires commerciaux, notamment au moyen d’accords commerciaux. C’est le cas pour les engrais. En 2021, 64 % des importations d’ammoniac et d’urée dans l’UE ont eu lieu dans le cadre d’accords commerciaux préférentiels. L’UE est fermement convaincue que la transparence des marchés est essentielle pour garantir la qualité et la fluidité des opérations commerciales (l’UE soutient l’initiative du G20 relative au système d’information sur les marchés agricoles) (</w:t>
      </w:r>
      <w:r>
        <w:rPr>
          <w:rFonts w:ascii="Times New Roman" w:hAnsi="Times New Roman"/>
          <w:b/>
          <w:bCs/>
        </w:rPr>
        <w:t>paragraphes 28 et 63</w:t>
      </w:r>
      <w:r>
        <w:rPr>
          <w:rFonts w:ascii="Times New Roman" w:hAnsi="Times New Roman"/>
        </w:rPr>
        <w:t>).</w:t>
      </w:r>
    </w:p>
    <w:p w14:paraId="3A9EACF7" w14:textId="4211BB3C" w:rsidR="001902E0" w:rsidRPr="00266378" w:rsidRDefault="001902E0" w:rsidP="001902E0">
      <w:pPr>
        <w:spacing w:after="120"/>
        <w:rPr>
          <w:rFonts w:ascii="Times New Roman" w:eastAsia="Calibri" w:hAnsi="Times New Roman"/>
          <w:szCs w:val="24"/>
        </w:rPr>
      </w:pPr>
      <w:r>
        <w:rPr>
          <w:rFonts w:ascii="Times New Roman" w:hAnsi="Times New Roman"/>
        </w:rPr>
        <w:t>En décembre 2022, le Conseil a adopté une décision de suspendre temporairement l’application des droits de douane sur l’ammoniac et l’urée pendant une période de six mois, à l</w:t>
      </w:r>
      <w:r w:rsidR="00DB2129">
        <w:rPr>
          <w:rFonts w:ascii="Times New Roman" w:hAnsi="Times New Roman"/>
        </w:rPr>
        <w:t>’exception des droits de douane</w:t>
      </w:r>
      <w:r>
        <w:rPr>
          <w:rFonts w:ascii="Times New Roman" w:hAnsi="Times New Roman"/>
        </w:rPr>
        <w:t xml:space="preserve"> sur l’ammoniac et l’urée en provenance de Russie et de Biélorussie, afin d’améliorer l’accès du marché mondial des engrais à l’Union européenne et de favoriser la diversification des approvisionnements de l’UE. Le remplacement de la Russie et de la Biélorussie par des partenaires préférentiels et non préférentiels est en cours depuis quelques mois pour ces produits. Pour la potasse et le phosphate naturel, tous les partenaires commerciaux bénéficient déjà d’un droit nul et, pour les engrais phosphatés finis, toutes les importations se font déjà dans le cadre d’accords de libre-échange préférentiels (</w:t>
      </w:r>
      <w:r>
        <w:rPr>
          <w:rFonts w:ascii="Times New Roman" w:hAnsi="Times New Roman"/>
          <w:b/>
          <w:bCs/>
        </w:rPr>
        <w:t>paragraphe 22</w:t>
      </w:r>
      <w:r>
        <w:rPr>
          <w:rFonts w:ascii="Times New Roman" w:hAnsi="Times New Roman"/>
        </w:rPr>
        <w:t>).</w:t>
      </w:r>
    </w:p>
    <w:p w14:paraId="745E4111" w14:textId="77777777" w:rsidR="001902E0" w:rsidRPr="00C90B0B" w:rsidRDefault="001902E0" w:rsidP="001902E0">
      <w:pPr>
        <w:spacing w:after="120"/>
        <w:rPr>
          <w:rFonts w:ascii="Times New Roman" w:eastAsia="Calibri" w:hAnsi="Times New Roman"/>
          <w:b/>
          <w:szCs w:val="24"/>
        </w:rPr>
      </w:pPr>
      <w:r>
        <w:rPr>
          <w:rFonts w:ascii="Times New Roman" w:hAnsi="Times New Roman"/>
        </w:rPr>
        <w:t>En 2022, l’UE a réduit sa dépendance à l’égard des engrais russes. En 2021, les engrais azotés russes (y compris l’ammoniac) représentaient 29 % des importations totales de l’UE. En 2022, ce taux est tombé à 20 % (en tenant aussi compte de la forte augmentation des importations totales de l’UE). L’UE a considérablement augmenté ses importations en provenance d’Algérie, des États</w:t>
      </w:r>
      <w:r>
        <w:rPr>
          <w:rFonts w:ascii="Times New Roman" w:hAnsi="Times New Roman"/>
        </w:rPr>
        <w:noBreakHyphen/>
        <w:t>Unis, de Trinité</w:t>
      </w:r>
      <w:r>
        <w:rPr>
          <w:rFonts w:ascii="Times New Roman" w:hAnsi="Times New Roman"/>
        </w:rPr>
        <w:noBreakHyphen/>
        <w:t>et</w:t>
      </w:r>
      <w:r>
        <w:rPr>
          <w:rFonts w:ascii="Times New Roman" w:hAnsi="Times New Roman"/>
        </w:rPr>
        <w:noBreakHyphen/>
        <w:t xml:space="preserve">Tobago, d’Oman, du Turkménistan, d’Ouzbékistan et de Chine. En ce qui concerne les engrais composés, l’UE a réduit ses importations en provenance de Russie de </w:t>
      </w:r>
      <w:r>
        <w:rPr>
          <w:rFonts w:ascii="Times New Roman" w:hAnsi="Times New Roman"/>
        </w:rPr>
        <w:lastRenderedPageBreak/>
        <w:t>42 % et augmenté sensiblement les importations provenant de douze partenaires commerciaux importants (</w:t>
      </w:r>
      <w:r>
        <w:rPr>
          <w:rFonts w:ascii="Times New Roman" w:hAnsi="Times New Roman"/>
          <w:b/>
          <w:bCs/>
        </w:rPr>
        <w:t>paragraphe 30</w:t>
      </w:r>
      <w:r>
        <w:rPr>
          <w:rFonts w:ascii="Times New Roman" w:hAnsi="Times New Roman"/>
        </w:rPr>
        <w:t>).</w:t>
      </w:r>
    </w:p>
    <w:p w14:paraId="5EF31200" w14:textId="77777777" w:rsidR="001902E0" w:rsidRPr="00266378" w:rsidRDefault="001902E0" w:rsidP="001902E0">
      <w:pPr>
        <w:spacing w:after="120"/>
        <w:rPr>
          <w:rFonts w:ascii="Times New Roman" w:eastAsia="Calibri" w:hAnsi="Times New Roman"/>
          <w:szCs w:val="24"/>
        </w:rPr>
      </w:pPr>
      <w:r>
        <w:rPr>
          <w:rFonts w:ascii="Times New Roman" w:hAnsi="Times New Roman"/>
        </w:rPr>
        <w:t>L’UE soutient également, au niveau international, la transition vers une réduction et une utilisation plus efficace des engrais, conformément aux objectifs de la stratégie «De la ferme à la table». Cela implique une coopération avec les pays tiers, qui pourrait indirectement contribuer à réduire la dépendance à l’égard de la Russie. Sur la scène mondiale, l’UE a rejoint l’initiative «Global Fertilizer Challenge» pour coopérer avec les pays partenaires à la réduction de leur dépendance à l’égard des engrais minéraux importés et de leur consommation de ces engrais, à l’amélioration de la gestion des nutriments, ainsi qu’à l’augmentation de l’efficacité des engrais et à l’accroissement des pratiques agricoles de substitution, avec une contribution de 25 millions de dollars américains. Cette contribution provient d’un ensemble de programmes financés par l’UE, tels que le programme «Production alimentaire et résilience des systèmes alimentaires dans les pays d’Afrique, des Caraïbes et du Pacifique (ACP)» (336,5 millions d’euros), qui vise à équilibrer les considérations sociales, environnementales et économiques au moyen d’approches agroécologiques et d’autres approches innovantes, dans le cadre d’une réponse concrète et durable à la crise alimentaire actuelle, en accordant une attention accrue à la santé durable des sols et à la gestion de la fertilité (</w:t>
      </w:r>
      <w:r>
        <w:rPr>
          <w:rFonts w:ascii="Times New Roman" w:hAnsi="Times New Roman"/>
          <w:b/>
          <w:bCs/>
        </w:rPr>
        <w:t>paragraphe 63</w:t>
      </w:r>
      <w:r>
        <w:rPr>
          <w:rFonts w:ascii="Times New Roman" w:hAnsi="Times New Roman"/>
        </w:rPr>
        <w:t>).</w:t>
      </w:r>
    </w:p>
    <w:p w14:paraId="2E066856" w14:textId="77777777" w:rsidR="001902E0" w:rsidRPr="00266378" w:rsidRDefault="001902E0" w:rsidP="001902E0">
      <w:pPr>
        <w:pStyle w:val="ListParagraph"/>
        <w:spacing w:after="120" w:line="240" w:lineRule="auto"/>
        <w:ind w:left="0"/>
        <w:jc w:val="both"/>
        <w:rPr>
          <w:rFonts w:ascii="Times New Roman" w:hAnsi="Times New Roman"/>
          <w:sz w:val="24"/>
          <w:szCs w:val="24"/>
        </w:rPr>
      </w:pPr>
      <w:r>
        <w:rPr>
          <w:rFonts w:ascii="Times New Roman" w:hAnsi="Times New Roman"/>
          <w:sz w:val="24"/>
        </w:rPr>
        <w:t>Le remplacement de la production d’ammoniac à base de gaz fossile par de l’ammoniac vert est essentiel pour atteindre les objectifs de l’UE en matière de décarbonation et de réduction de la dépendance à l’égard du gaz naturel importé, en particulier celui qui provient de Russie. Les prix élevés de l’ammoniac produit à base de gaz accéléreront l’augmentation de la production d’ammoniac vert. Actuellement, le coût de l’ammoniac vert est déjà inférieur aux prix de l’ammoniac enregistrés au cours du dernier trimestre de 2022 et devrait diminuer de moitié dans les années à venir. Plusieurs projets d’ammoniac vert utilisant de l’hydrogène propre sont en cours et des projets à grande échelle devraient être achevés d’ici à 2026. Toutefois, des défis subsistent en ce qui concerne le développement de la production d’ammoniac propre à base d’hydrogène, notamment le manque d’infrastructures, les longues procédures d’autorisation et la disponibilité des technologies nécessaires, telles que les électrolyseurs. La Commission facilite la création d’un marché de l’hydrogène renouvelable au moyen de la Banque européenne de l’hydrogène. La Banque européenne de l’hydrogène devrait combler et réduire l’écart de coût entre l’hydrogène renouvelable et les combustibles fossiles pour les projets précoces, au moyen d’un système d’enchères pour la production d’hydrogène renouvelable destiné à soutenir les producteurs. À cela s’ajoute le règlement «zéro émission nette» (</w:t>
      </w:r>
      <w:r>
        <w:rPr>
          <w:rFonts w:ascii="Times New Roman" w:hAnsi="Times New Roman"/>
          <w:b/>
          <w:bCs/>
          <w:sz w:val="24"/>
        </w:rPr>
        <w:t>paragraphes 30, 32, 33 et 48</w:t>
      </w:r>
      <w:r>
        <w:rPr>
          <w:rFonts w:ascii="Times New Roman" w:hAnsi="Times New Roman"/>
          <w:sz w:val="24"/>
        </w:rPr>
        <w:t xml:space="preserve">). L’ammoniac est une option sérieuse pour remplacer l’hydrogène liquéfié et il est plus facile à transporter. </w:t>
      </w:r>
      <w:r>
        <w:rPr>
          <w:rFonts w:ascii="Times New Roman" w:hAnsi="Times New Roman"/>
        </w:rPr>
        <w:t>Il est possible d’adapter les installations de regazéification de façon à ce qu’elles puissent recevoir des cargaisons d’ammoniac (</w:t>
      </w:r>
      <w:r>
        <w:rPr>
          <w:rFonts w:ascii="Times New Roman" w:hAnsi="Times New Roman"/>
          <w:b/>
          <w:bCs/>
        </w:rPr>
        <w:t>paragraphe 36</w:t>
      </w:r>
      <w:r>
        <w:rPr>
          <w:rFonts w:ascii="Times New Roman" w:hAnsi="Times New Roman"/>
        </w:rPr>
        <w:t>).</w:t>
      </w:r>
    </w:p>
    <w:p w14:paraId="46DD7905" w14:textId="77777777" w:rsidR="001902E0" w:rsidRDefault="001902E0" w:rsidP="001902E0">
      <w:pPr>
        <w:spacing w:after="120"/>
        <w:rPr>
          <w:rFonts w:ascii="Calibri" w:eastAsia="Calibri" w:hAnsi="Calibri" w:cs="Calibri"/>
        </w:rPr>
      </w:pPr>
      <w:r>
        <w:rPr>
          <w:rFonts w:ascii="Times New Roman" w:hAnsi="Times New Roman"/>
        </w:rPr>
        <w:t>L’agriculture européenne dispose de ressources considérables de déchets et résidus de biomasse qui pourraient être utilisés pour produire des biocarburants et du biogaz. Comme expliqué dans le plan d’action sur le biométhane</w:t>
      </w:r>
      <w:r>
        <w:rPr>
          <w:rStyle w:val="FootnoteReference"/>
          <w:rFonts w:ascii="Times New Roman" w:hAnsi="Times New Roman"/>
          <w:szCs w:val="24"/>
        </w:rPr>
        <w:footnoteReference w:id="4"/>
      </w:r>
      <w:r>
        <w:rPr>
          <w:rFonts w:ascii="Times New Roman" w:hAnsi="Times New Roman"/>
        </w:rPr>
        <w:t>, l’utilisation de cultures destinées à l’alimentation humaine ou animale est susceptible d’entraîner des problèmes de changement d’affectation des sols, ce qui fut le cas avec les biocarburants de première génération (</w:t>
      </w:r>
      <w:r>
        <w:rPr>
          <w:rFonts w:ascii="Times New Roman" w:hAnsi="Times New Roman"/>
          <w:b/>
          <w:bCs/>
        </w:rPr>
        <w:t>paragraphe 34</w:t>
      </w:r>
      <w:r>
        <w:rPr>
          <w:rFonts w:ascii="Times New Roman" w:hAnsi="Times New Roman"/>
        </w:rPr>
        <w:t xml:space="preserve">). En outre, le règlement relatif à la mise en décharge dispose que, d’ici à 2024, tous les déchets organiques domestiques doivent être collectés séparément: cela représente une opportunité importante pour la production </w:t>
      </w:r>
      <w:r>
        <w:rPr>
          <w:rFonts w:ascii="Times New Roman" w:hAnsi="Times New Roman"/>
        </w:rPr>
        <w:lastRenderedPageBreak/>
        <w:t>de biogaz et de digestat pouvant être utilisé comme engrais. Le biogaz pourrait ensuite être transformé en biométhane destiné à être utilisé dans les exploitations agricoles ou à être injecté dans les réseaux gaziers nationaux. La refonte de la directive sur les énergies renouvelables (RED II) fixe les critères de durabilité applicables à la biomasse agricole et forestière utilisée pour la production d’énergie afin de limiter la pression exercée sur les terres utilisées pour produire des denrées alimentaires. Toutefois, l’utilisation de déchets et de résidus non recyclables, conformément au principe d’utilisation en cascade, reste l’utilisation la plus compétitive et la plus durable de la biomasse. À la suite de l’invasion de l’Ukraine par la Russie, la Commission a invité les États membres à accroître la production d’énergie renouvelable sans compromettre la production alimentaire. À cette fin, les États membres ont été encouragés à envisager sérieusement de programmer, dans leurs plans stratégiques relevant de la PAC, des interventions qui permettront d’accroître la production et l’utilisation durables d’énergies renouvelables, y compris de biogaz et de biométhane produits à partir de sources durables de biomasse, en particulier les déchets et résidus agricoles, et les déchets organiques. La PAC peut contribuer à apporter un soutien adéquat aux investissements dans les énergies renouvelables, réalisés collectivement ou au niveau de l’exploitation agricole, à l’utilisation des énergies renouvelables dans les villages intelligents, aux installations de biogaz, ainsi qu’aux conseillers et aux innovations.</w:t>
      </w:r>
    </w:p>
    <w:p w14:paraId="39787D1F" w14:textId="77777777" w:rsidR="001902E0" w:rsidRPr="00180795" w:rsidRDefault="001902E0" w:rsidP="001902E0">
      <w:pPr>
        <w:spacing w:after="120"/>
        <w:rPr>
          <w:rFonts w:ascii="Times New Roman" w:eastAsia="Calibri" w:hAnsi="Times New Roman"/>
          <w:szCs w:val="24"/>
        </w:rPr>
      </w:pPr>
      <w:r>
        <w:rPr>
          <w:rFonts w:ascii="Times New Roman" w:hAnsi="Times New Roman"/>
        </w:rPr>
        <w:t>L’une des mesures à court terme de REPowerEU consiste à accroître la production de biométhane afin d’économiser 17 milliards de m³ d’importations de gaz. La Commission a lancé le partenariat industriel pour le biométhane (BIP) le 28 septembre 2022 afin de soutenir la réalisation de l’objectif de l’UE de production et d’utilisation de biométhane durable de 35 milliards de m³ par an d’ici à 2030 et de créer les conditions préalables à une nouvelle augmentation de son potentiel à l’horizon 2050. L’utilisation du digestat est l’un des thèmes que le BIP examine et est perçu comme un élément important pour réaliser pleinement le potentiel de prévention du changement climatique et de la pollution atmosphérique: les déchets organiques produisent des émissions de méthane, qui sont à la fois un puissant polluant climatique à courte durée de vie et, en tant que précurseur de l’ozone, un polluant atmosphérique. Combiner la production de biométhane avec un soutien fort à l’utilisation du digestat comme source locale de nutriments comporterait de multiples avantages pour la réduction des importations de gaz naturel. L’objectif stratégique de l’UE consistant à réduire la dépendance à l’égard des importations d’énergie provenant de Russie en diversifiant les sources d’énergie et en garantissant des chaînes d’approvisionnement fiables reste une priorité pour la Commission. Le pacte vert pour l’Europe et le paquet «Ajustement à l’objectif 55», ainsi que REPowerEU sont au cœur de la stratégie de l’UE visant à garantir que notre énergie soit sûre et financièrement accessible et à permettre l’abandon rapide des combustibles fossiles russes.</w:t>
      </w:r>
    </w:p>
    <w:p w14:paraId="5E64F2F7" w14:textId="77777777" w:rsidR="001902E0" w:rsidRPr="00D8220F" w:rsidRDefault="001902E0" w:rsidP="001902E0">
      <w:pPr>
        <w:spacing w:after="120"/>
        <w:rPr>
          <w:rFonts w:ascii="Times New Roman" w:hAnsi="Times New Roman"/>
          <w:szCs w:val="24"/>
        </w:rPr>
      </w:pPr>
      <w:r>
        <w:rPr>
          <w:rFonts w:ascii="Times New Roman" w:hAnsi="Times New Roman"/>
        </w:rPr>
        <w:t xml:space="preserve">La Commission cherche à résoudre le problème de la dépendance énergétique au moyen de différentes mesures visant à prévenir les flambées de prix et la manipulation des prix et conduisant à une autonomie stratégique à long terme, ce qui augmentera la transparence et la stabilité du marché, et à garantir des prix et des flux de gaz équitables, même en situation de crise. Il s’agit notamment d’obligations en matière de stockage du gaz et de réduction de la demande d’énergie, de la mise en place d’un groupe de travail consacré à l’achat conjoint d’énergie par l’UE, de la coopération avec les partenaires clés, de l’optimisation de l’utilisation et de la mise en place des infrastructures pertinentes, de l’accélération du déploiement des énergies renouvelables, notamment le raccourcissement de la durée d’octroi des permis aux installations de services d’utilité publique. Afin de lutter contre la volatilité des prix, la Commission a adopté une boîte à outils dès octobre 2021 et des mesures d’urgence supplémentaires ont été mises en place en 2022, </w:t>
      </w:r>
      <w:r>
        <w:rPr>
          <w:rFonts w:ascii="Times New Roman" w:hAnsi="Times New Roman"/>
        </w:rPr>
        <w:lastRenderedPageBreak/>
        <w:t>telles que le mécanisme de correction du marché et le plafonnement des recettes sur les prix inframarginaux. Des travaux sont également en cours en vue d’une révision de l’organisation du marché de l’électricité. La Commission s’efforce aussi de diversifier l’approvisionnement en gaz européen et d’augmenter les importations de GNL. La plateforme de l’UE pour l’énergie, créée en avril 2022, jouera un rôle clé dans la mise en commun de la demande, la coordination de l’utilisation des infrastructures, les négociations avec les partenaires internationaux et la préparation des achats conjoints de gaz et d’hydrogène. Au-delà de ces mesures à court ou moyen terme, la solution structurelle consiste à réduire notre dépendance à l’égard des combustibles fossiles en accélérant la transition vers une énergie propre, conformément aux objectifs du pacte vert pour l’Europe.</w:t>
      </w:r>
      <w:r>
        <w:rPr>
          <w:rFonts w:ascii="Calibri" w:hAnsi="Calibri"/>
          <w:i/>
        </w:rPr>
        <w:t xml:space="preserve"> </w:t>
      </w:r>
      <w:r>
        <w:rPr>
          <w:rFonts w:ascii="Times New Roman" w:hAnsi="Times New Roman"/>
        </w:rPr>
        <w:t>L’industrie de l’ammoniac est le deuxième secteur consommant le plus d’hydrogène dans l’UE. La demande totale d’hydrogène de l’industrie de l’ammoniac en 2020 a été estimée à 2,5 millions de tonnes, la majeure partie étant destinée à la production ultérieure d’engrais. Étant donné que plus de 95 % des émissions liées à la production d’ammoniac proviennent de la production de l’hydrogène, il est essentiel de remplacer l’hydrogène produit à partir de combustibles fossiles par de l’hydrogène renouvelable bas carbone et par d’autres types d’hydrogène d’origine non fossile pour décarboner ce secteur. Le plan REPowerEU fixe un objectif de 10 millions de tonnes de production intérieure d’hydrogène renouvelable et de 10 millions de tonnes d’importations d’hydrogène renouvelable d’ici à 2030, dont une partie sous forme d’ammoniac. Une utilisation accrue de l’hydrogène renouvelable, de l’ammoniac et d’autres produits dérivés accélérerait la décarbonation et réduirait considérablement la dépendance de l’UE à l’égard du gaz naturel (d’environ 27 milliards de m³), du pétrole (d’environ 3,9 millions de tonnes) et des importations de charbon à coke (environ 156 kilotonnes) en provenance de Russie (</w:t>
      </w:r>
      <w:r>
        <w:rPr>
          <w:rFonts w:ascii="Times New Roman" w:hAnsi="Times New Roman"/>
          <w:b/>
          <w:bCs/>
        </w:rPr>
        <w:t>paragraphes 10, 33, 34, 36 et 63</w:t>
      </w:r>
      <w:r>
        <w:rPr>
          <w:rFonts w:ascii="Times New Roman" w:hAnsi="Times New Roman"/>
        </w:rPr>
        <w:t>).</w:t>
      </w:r>
    </w:p>
    <w:p w14:paraId="61C9CC5D" w14:textId="77777777" w:rsidR="001902E0" w:rsidRDefault="001902E0" w:rsidP="001902E0">
      <w:pPr>
        <w:spacing w:after="120"/>
        <w:rPr>
          <w:rFonts w:ascii="Times New Roman" w:eastAsia="Calibri" w:hAnsi="Times New Roman"/>
          <w:szCs w:val="24"/>
        </w:rPr>
      </w:pPr>
      <w:r>
        <w:rPr>
          <w:rFonts w:ascii="Times New Roman" w:hAnsi="Times New Roman"/>
        </w:rPr>
        <w:t>La production d’engrais à base de potassium et de phosphore dépend essentiellement de la disponibilité des ressources minérales destinées à être transformées en engrais. Le développement d’une plus grande base de production européenne est donc soumis à des contraintes intrinsèques, étant donné que les minéraux requis (potasse et phosphate naturel, respectivement) n’existent qu’en quantités limitées dans l’UE. La récente proposition de la Commission relative à une réglementation européenne sur les matières premières critiques est pertinente à cet égard. Bien qu’il existe peu de possibilités d’accroître le degré d’autosuffisance par l’extraction de phosphate naturel au sein de l’UE, les perspectives sont plus encourageantes en ce qui concerne la potasse. Des projets visant à prolonger la durée de vie et à accroître la production sont en cours en Allemagne et de nouveaux projets miniers devraient voir le jour dans les années à venir en Espagne et en Allemagne. L’approche appropriée pour développer la capacité minière de l’UE pour les phosphates et la potasse fera l’objet d’un examen plus approfondi dans le cadre de la révision de la législation sur les matières premières critiques (</w:t>
      </w:r>
      <w:r>
        <w:rPr>
          <w:rFonts w:ascii="Times New Roman" w:hAnsi="Times New Roman"/>
          <w:b/>
          <w:bCs/>
        </w:rPr>
        <w:t>paragraphe 45</w:t>
      </w:r>
      <w:r>
        <w:rPr>
          <w:rFonts w:ascii="Times New Roman" w:hAnsi="Times New Roman"/>
        </w:rPr>
        <w:t>). Les contraintes qui pèsent actuellement sur l’approvisionnement de l’UE en engrais ne découlent pas d’un manque de capacités de production. Dans le contexte actuel des prix du gaz qui restent très élevés, le degré d’utilisation des capacités de production d’ammoniac dans l’UE se situe à un niveau historiquement bas, mais ce n’est pas l’absence de capacités opérationnelles qui limite le niveau de production. Il se peut que certaines capacités qui sont fermées depuis des années aient été les moins compétitives (en raison de leur petite taille et de l’obsolescence des équipements); dans ce cas, elles ne seraient pas remises en service (</w:t>
      </w:r>
      <w:r>
        <w:rPr>
          <w:rFonts w:ascii="Times New Roman" w:hAnsi="Times New Roman"/>
          <w:b/>
          <w:bCs/>
        </w:rPr>
        <w:t>paragraphe 47</w:t>
      </w:r>
      <w:r>
        <w:rPr>
          <w:rFonts w:ascii="Times New Roman" w:hAnsi="Times New Roman"/>
        </w:rPr>
        <w:t>).</w:t>
      </w:r>
    </w:p>
    <w:sectPr w:rsidR="001902E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1746" w14:textId="77777777" w:rsidR="00F026AD" w:rsidRDefault="00F026AD">
      <w:pPr>
        <w:spacing w:after="0"/>
      </w:pPr>
      <w:r>
        <w:separator/>
      </w:r>
    </w:p>
  </w:endnote>
  <w:endnote w:type="continuationSeparator" w:id="0">
    <w:p w14:paraId="736F48FB" w14:textId="77777777" w:rsidR="00F026AD" w:rsidRDefault="00F026AD">
      <w:pPr>
        <w:spacing w:after="0"/>
      </w:pPr>
      <w:r>
        <w:continuationSeparator/>
      </w:r>
    </w:p>
  </w:endnote>
  <w:endnote w:type="continuationNotice" w:id="1">
    <w:p w14:paraId="025CD867" w14:textId="77777777" w:rsidR="00F026AD" w:rsidRDefault="00F026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705253"/>
      <w:docPartObj>
        <w:docPartGallery w:val="Page Numbers (Bottom of Page)"/>
        <w:docPartUnique/>
      </w:docPartObj>
    </w:sdtPr>
    <w:sdtEndPr>
      <w:rPr>
        <w:noProof/>
      </w:rPr>
    </w:sdtEndPr>
    <w:sdtContent>
      <w:p w14:paraId="7D6B24DE" w14:textId="65F5C9C7" w:rsidR="00AA2886" w:rsidRDefault="00AA2886">
        <w:pPr>
          <w:pStyle w:val="Footer"/>
          <w:jc w:val="center"/>
        </w:pPr>
        <w:r>
          <w:fldChar w:fldCharType="begin"/>
        </w:r>
        <w:r>
          <w:instrText xml:space="preserve"> PAGE   \* MERGEFORMAT </w:instrText>
        </w:r>
        <w:r>
          <w:fldChar w:fldCharType="separate"/>
        </w:r>
        <w:r w:rsidR="00DB2129">
          <w:rPr>
            <w:noProof/>
          </w:rPr>
          <w:t>10</w:t>
        </w:r>
        <w:r>
          <w:fldChar w:fldCharType="end"/>
        </w:r>
      </w:p>
    </w:sdtContent>
  </w:sdt>
  <w:p w14:paraId="02A1DF1E" w14:textId="77777777" w:rsidR="00C847ED" w:rsidRDefault="00C8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18B3" w14:textId="77777777" w:rsidR="00F026AD" w:rsidRDefault="00F026AD">
      <w:pPr>
        <w:spacing w:after="0"/>
      </w:pPr>
      <w:r>
        <w:separator/>
      </w:r>
    </w:p>
  </w:footnote>
  <w:footnote w:type="continuationSeparator" w:id="0">
    <w:p w14:paraId="569D8A90" w14:textId="77777777" w:rsidR="00F026AD" w:rsidRDefault="00F026AD">
      <w:pPr>
        <w:spacing w:after="0"/>
      </w:pPr>
      <w:r>
        <w:continuationSeparator/>
      </w:r>
    </w:p>
  </w:footnote>
  <w:footnote w:type="continuationNotice" w:id="1">
    <w:p w14:paraId="59A717E6" w14:textId="77777777" w:rsidR="00F026AD" w:rsidRDefault="00F026AD">
      <w:pPr>
        <w:spacing w:after="0"/>
      </w:pPr>
    </w:p>
  </w:footnote>
  <w:footnote w:id="2">
    <w:p w14:paraId="15B1F570" w14:textId="77777777" w:rsidR="001902E0" w:rsidRPr="00B60C2F" w:rsidRDefault="001902E0" w:rsidP="001902E0">
      <w:pPr>
        <w:pStyle w:val="FootnoteText"/>
        <w:rPr>
          <w:rFonts w:ascii="Times New Roman" w:hAnsi="Times New Roman"/>
        </w:rPr>
      </w:pPr>
      <w:r>
        <w:rPr>
          <w:rStyle w:val="FootnoteReference"/>
        </w:rPr>
        <w:footnoteRef/>
      </w:r>
      <w:r>
        <w:t xml:space="preserve"> </w:t>
      </w:r>
      <w:r>
        <w:tab/>
      </w:r>
      <w:r>
        <w:rPr>
          <w:rFonts w:ascii="Times New Roman" w:hAnsi="Times New Roman"/>
        </w:rPr>
        <w:t>Réponse de la Commission au texte adopté en plénière: SP(2022)361, 27.6.2022.</w:t>
      </w:r>
    </w:p>
  </w:footnote>
  <w:footnote w:id="3">
    <w:p w14:paraId="67218182" w14:textId="77777777" w:rsidR="001902E0" w:rsidRPr="00DB2129" w:rsidRDefault="001902E0" w:rsidP="001902E0">
      <w:pPr>
        <w:pStyle w:val="FootnoteText"/>
        <w:rPr>
          <w:lang w:val="en-US"/>
        </w:rPr>
      </w:pPr>
      <w:r>
        <w:rPr>
          <w:rStyle w:val="FootnoteReference"/>
          <w:rFonts w:ascii="Times New Roman" w:hAnsi="Times New Roman"/>
        </w:rPr>
        <w:footnoteRef/>
      </w:r>
      <w:r w:rsidRPr="00DB2129">
        <w:rPr>
          <w:rFonts w:ascii="Times New Roman" w:hAnsi="Times New Roman"/>
          <w:lang w:val="en-US"/>
        </w:rPr>
        <w:t xml:space="preserve"> </w:t>
      </w:r>
      <w:r w:rsidRPr="00DB2129">
        <w:rPr>
          <w:lang w:val="en-US"/>
        </w:rPr>
        <w:tab/>
      </w:r>
      <w:hyperlink r:id="rId1" w:history="1">
        <w:r w:rsidRPr="00DB2129">
          <w:rPr>
            <w:rStyle w:val="Hyperlink"/>
            <w:rFonts w:ascii="Times New Roman" w:hAnsi="Times New Roman"/>
            <w:lang w:val="en-US"/>
          </w:rPr>
          <w:t>FAO - News Article: Key facts and findings</w:t>
        </w:r>
      </w:hyperlink>
    </w:p>
  </w:footnote>
  <w:footnote w:id="4">
    <w:p w14:paraId="0B723E6F" w14:textId="77777777" w:rsidR="001902E0" w:rsidRPr="00D62117" w:rsidRDefault="001902E0" w:rsidP="001902E0">
      <w:pPr>
        <w:pStyle w:val="FootnoteText"/>
      </w:pPr>
      <w:r>
        <w:rPr>
          <w:rStyle w:val="FootnoteReference"/>
        </w:rPr>
        <w:footnoteRef/>
      </w:r>
      <w:r>
        <w:t xml:space="preserve"> </w:t>
      </w:r>
      <w:r>
        <w:tab/>
      </w:r>
      <w:r>
        <w:rPr>
          <w:rFonts w:ascii="Times New Roman" w:hAnsi="Times New Roman"/>
        </w:rPr>
        <w:t>SWD(2022) 230</w:t>
      </w:r>
    </w:p>
  </w:footnote>
</w:footnotes>
</file>

<file path=word/intelligence2.xml><?xml version="1.0" encoding="utf-8"?>
<int2:intelligence xmlns:int2="http://schemas.microsoft.com/office/intelligence/2020/intelligence" xmlns:oel="http://schemas.microsoft.com/office/2019/extlst">
  <int2:observations>
    <int2:bookmark int2:bookmarkName="_Int_y4DVCfeh" int2:invalidationBookmarkName="" int2:hashCode="XzpaAFPPbC1/Bb" int2:id="qtAqi85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2083"/>
    <w:multiLevelType w:val="hybridMultilevel"/>
    <w:tmpl w:val="019ABD9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1F856989"/>
    <w:multiLevelType w:val="hybridMultilevel"/>
    <w:tmpl w:val="CDB089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BF8E8"/>
    <w:multiLevelType w:val="hybridMultilevel"/>
    <w:tmpl w:val="A2FC33A4"/>
    <w:lvl w:ilvl="0" w:tplc="6B60DE38">
      <w:start w:val="1"/>
      <w:numFmt w:val="bullet"/>
      <w:lvlText w:val="·"/>
      <w:lvlJc w:val="left"/>
      <w:pPr>
        <w:ind w:left="720" w:hanging="360"/>
      </w:pPr>
      <w:rPr>
        <w:rFonts w:ascii="Symbol" w:hAnsi="Symbol" w:hint="default"/>
      </w:rPr>
    </w:lvl>
    <w:lvl w:ilvl="1" w:tplc="A6FE0D9A">
      <w:start w:val="1"/>
      <w:numFmt w:val="bullet"/>
      <w:lvlText w:val="o"/>
      <w:lvlJc w:val="left"/>
      <w:pPr>
        <w:ind w:left="1440" w:hanging="360"/>
      </w:pPr>
      <w:rPr>
        <w:rFonts w:ascii="Courier New" w:hAnsi="Courier New" w:hint="default"/>
      </w:rPr>
    </w:lvl>
    <w:lvl w:ilvl="2" w:tplc="4D949006">
      <w:start w:val="1"/>
      <w:numFmt w:val="bullet"/>
      <w:lvlText w:val=""/>
      <w:lvlJc w:val="left"/>
      <w:pPr>
        <w:ind w:left="2160" w:hanging="360"/>
      </w:pPr>
      <w:rPr>
        <w:rFonts w:ascii="Wingdings" w:hAnsi="Wingdings" w:hint="default"/>
      </w:rPr>
    </w:lvl>
    <w:lvl w:ilvl="3" w:tplc="C0065BC0">
      <w:start w:val="1"/>
      <w:numFmt w:val="bullet"/>
      <w:lvlText w:val=""/>
      <w:lvlJc w:val="left"/>
      <w:pPr>
        <w:ind w:left="2880" w:hanging="360"/>
      </w:pPr>
      <w:rPr>
        <w:rFonts w:ascii="Symbol" w:hAnsi="Symbol" w:hint="default"/>
      </w:rPr>
    </w:lvl>
    <w:lvl w:ilvl="4" w:tplc="651C5242">
      <w:start w:val="1"/>
      <w:numFmt w:val="bullet"/>
      <w:lvlText w:val="o"/>
      <w:lvlJc w:val="left"/>
      <w:pPr>
        <w:ind w:left="3600" w:hanging="360"/>
      </w:pPr>
      <w:rPr>
        <w:rFonts w:ascii="Courier New" w:hAnsi="Courier New" w:hint="default"/>
      </w:rPr>
    </w:lvl>
    <w:lvl w:ilvl="5" w:tplc="334087E6">
      <w:start w:val="1"/>
      <w:numFmt w:val="bullet"/>
      <w:lvlText w:val=""/>
      <w:lvlJc w:val="left"/>
      <w:pPr>
        <w:ind w:left="4320" w:hanging="360"/>
      </w:pPr>
      <w:rPr>
        <w:rFonts w:ascii="Wingdings" w:hAnsi="Wingdings" w:hint="default"/>
      </w:rPr>
    </w:lvl>
    <w:lvl w:ilvl="6" w:tplc="0C6856D0">
      <w:start w:val="1"/>
      <w:numFmt w:val="bullet"/>
      <w:lvlText w:val=""/>
      <w:lvlJc w:val="left"/>
      <w:pPr>
        <w:ind w:left="5040" w:hanging="360"/>
      </w:pPr>
      <w:rPr>
        <w:rFonts w:ascii="Symbol" w:hAnsi="Symbol" w:hint="default"/>
      </w:rPr>
    </w:lvl>
    <w:lvl w:ilvl="7" w:tplc="C6F66EC8">
      <w:start w:val="1"/>
      <w:numFmt w:val="bullet"/>
      <w:lvlText w:val="o"/>
      <w:lvlJc w:val="left"/>
      <w:pPr>
        <w:ind w:left="5760" w:hanging="360"/>
      </w:pPr>
      <w:rPr>
        <w:rFonts w:ascii="Courier New" w:hAnsi="Courier New" w:hint="default"/>
      </w:rPr>
    </w:lvl>
    <w:lvl w:ilvl="8" w:tplc="600294F6">
      <w:start w:val="1"/>
      <w:numFmt w:val="bullet"/>
      <w:lvlText w:val=""/>
      <w:lvlJc w:val="left"/>
      <w:pPr>
        <w:ind w:left="6480" w:hanging="360"/>
      </w:pPr>
      <w:rPr>
        <w:rFonts w:ascii="Wingdings" w:hAnsi="Wingdings" w:hint="default"/>
      </w:rPr>
    </w:lvl>
  </w:abstractNum>
  <w:abstractNum w:abstractNumId="3" w15:restartNumberingAfterBreak="0">
    <w:nsid w:val="23925B6B"/>
    <w:multiLevelType w:val="hybridMultilevel"/>
    <w:tmpl w:val="CDB089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25F75E"/>
    <w:multiLevelType w:val="hybridMultilevel"/>
    <w:tmpl w:val="FFFFFFFF"/>
    <w:lvl w:ilvl="0" w:tplc="27A8BE80">
      <w:start w:val="1"/>
      <w:numFmt w:val="bullet"/>
      <w:lvlText w:val="·"/>
      <w:lvlJc w:val="left"/>
      <w:pPr>
        <w:ind w:left="720" w:hanging="360"/>
      </w:pPr>
      <w:rPr>
        <w:rFonts w:ascii="Symbol" w:hAnsi="Symbol" w:hint="default"/>
      </w:rPr>
    </w:lvl>
    <w:lvl w:ilvl="1" w:tplc="C73A8034">
      <w:start w:val="1"/>
      <w:numFmt w:val="bullet"/>
      <w:lvlText w:val="o"/>
      <w:lvlJc w:val="left"/>
      <w:pPr>
        <w:ind w:left="1440" w:hanging="360"/>
      </w:pPr>
      <w:rPr>
        <w:rFonts w:ascii="Courier New" w:hAnsi="Courier New" w:hint="default"/>
      </w:rPr>
    </w:lvl>
    <w:lvl w:ilvl="2" w:tplc="B73AB0EC">
      <w:start w:val="1"/>
      <w:numFmt w:val="bullet"/>
      <w:lvlText w:val=""/>
      <w:lvlJc w:val="left"/>
      <w:pPr>
        <w:ind w:left="2160" w:hanging="360"/>
      </w:pPr>
      <w:rPr>
        <w:rFonts w:ascii="Wingdings" w:hAnsi="Wingdings" w:hint="default"/>
      </w:rPr>
    </w:lvl>
    <w:lvl w:ilvl="3" w:tplc="CF268ECE">
      <w:start w:val="1"/>
      <w:numFmt w:val="bullet"/>
      <w:lvlText w:val=""/>
      <w:lvlJc w:val="left"/>
      <w:pPr>
        <w:ind w:left="2880" w:hanging="360"/>
      </w:pPr>
      <w:rPr>
        <w:rFonts w:ascii="Symbol" w:hAnsi="Symbol" w:hint="default"/>
      </w:rPr>
    </w:lvl>
    <w:lvl w:ilvl="4" w:tplc="03FC5168">
      <w:start w:val="1"/>
      <w:numFmt w:val="bullet"/>
      <w:lvlText w:val="o"/>
      <w:lvlJc w:val="left"/>
      <w:pPr>
        <w:ind w:left="3600" w:hanging="360"/>
      </w:pPr>
      <w:rPr>
        <w:rFonts w:ascii="Courier New" w:hAnsi="Courier New" w:hint="default"/>
      </w:rPr>
    </w:lvl>
    <w:lvl w:ilvl="5" w:tplc="734C9276">
      <w:start w:val="1"/>
      <w:numFmt w:val="bullet"/>
      <w:lvlText w:val=""/>
      <w:lvlJc w:val="left"/>
      <w:pPr>
        <w:ind w:left="4320" w:hanging="360"/>
      </w:pPr>
      <w:rPr>
        <w:rFonts w:ascii="Wingdings" w:hAnsi="Wingdings" w:hint="default"/>
      </w:rPr>
    </w:lvl>
    <w:lvl w:ilvl="6" w:tplc="672467B4">
      <w:start w:val="1"/>
      <w:numFmt w:val="bullet"/>
      <w:lvlText w:val=""/>
      <w:lvlJc w:val="left"/>
      <w:pPr>
        <w:ind w:left="5040" w:hanging="360"/>
      </w:pPr>
      <w:rPr>
        <w:rFonts w:ascii="Symbol" w:hAnsi="Symbol" w:hint="default"/>
      </w:rPr>
    </w:lvl>
    <w:lvl w:ilvl="7" w:tplc="FCFE22BC">
      <w:start w:val="1"/>
      <w:numFmt w:val="bullet"/>
      <w:lvlText w:val="o"/>
      <w:lvlJc w:val="left"/>
      <w:pPr>
        <w:ind w:left="5760" w:hanging="360"/>
      </w:pPr>
      <w:rPr>
        <w:rFonts w:ascii="Courier New" w:hAnsi="Courier New" w:hint="default"/>
      </w:rPr>
    </w:lvl>
    <w:lvl w:ilvl="8" w:tplc="D5CC98BE">
      <w:start w:val="1"/>
      <w:numFmt w:val="bullet"/>
      <w:lvlText w:val=""/>
      <w:lvlJc w:val="left"/>
      <w:pPr>
        <w:ind w:left="6480" w:hanging="360"/>
      </w:pPr>
      <w:rPr>
        <w:rFonts w:ascii="Wingdings" w:hAnsi="Wingdings" w:hint="default"/>
      </w:rPr>
    </w:lvl>
  </w:abstractNum>
  <w:abstractNum w:abstractNumId="5" w15:restartNumberingAfterBreak="0">
    <w:nsid w:val="3B442040"/>
    <w:multiLevelType w:val="hybridMultilevel"/>
    <w:tmpl w:val="FFFFFFFF"/>
    <w:lvl w:ilvl="0" w:tplc="99CCD238">
      <w:start w:val="1"/>
      <w:numFmt w:val="bullet"/>
      <w:lvlText w:val="·"/>
      <w:lvlJc w:val="left"/>
      <w:pPr>
        <w:ind w:left="720" w:hanging="360"/>
      </w:pPr>
      <w:rPr>
        <w:rFonts w:ascii="Symbol" w:hAnsi="Symbol" w:hint="default"/>
      </w:rPr>
    </w:lvl>
    <w:lvl w:ilvl="1" w:tplc="6BDC56A6">
      <w:start w:val="1"/>
      <w:numFmt w:val="bullet"/>
      <w:lvlText w:val="o"/>
      <w:lvlJc w:val="left"/>
      <w:pPr>
        <w:ind w:left="1440" w:hanging="360"/>
      </w:pPr>
      <w:rPr>
        <w:rFonts w:ascii="Courier New" w:hAnsi="Courier New" w:hint="default"/>
      </w:rPr>
    </w:lvl>
    <w:lvl w:ilvl="2" w:tplc="A36623EE">
      <w:start w:val="1"/>
      <w:numFmt w:val="bullet"/>
      <w:lvlText w:val=""/>
      <w:lvlJc w:val="left"/>
      <w:pPr>
        <w:ind w:left="2160" w:hanging="360"/>
      </w:pPr>
      <w:rPr>
        <w:rFonts w:ascii="Wingdings" w:hAnsi="Wingdings" w:hint="default"/>
      </w:rPr>
    </w:lvl>
    <w:lvl w:ilvl="3" w:tplc="EC4E31FE">
      <w:start w:val="1"/>
      <w:numFmt w:val="bullet"/>
      <w:lvlText w:val=""/>
      <w:lvlJc w:val="left"/>
      <w:pPr>
        <w:ind w:left="2880" w:hanging="360"/>
      </w:pPr>
      <w:rPr>
        <w:rFonts w:ascii="Symbol" w:hAnsi="Symbol" w:hint="default"/>
      </w:rPr>
    </w:lvl>
    <w:lvl w:ilvl="4" w:tplc="4DDA27A8">
      <w:start w:val="1"/>
      <w:numFmt w:val="bullet"/>
      <w:lvlText w:val="o"/>
      <w:lvlJc w:val="left"/>
      <w:pPr>
        <w:ind w:left="3600" w:hanging="360"/>
      </w:pPr>
      <w:rPr>
        <w:rFonts w:ascii="Courier New" w:hAnsi="Courier New" w:hint="default"/>
      </w:rPr>
    </w:lvl>
    <w:lvl w:ilvl="5" w:tplc="CB528FE0">
      <w:start w:val="1"/>
      <w:numFmt w:val="bullet"/>
      <w:lvlText w:val=""/>
      <w:lvlJc w:val="left"/>
      <w:pPr>
        <w:ind w:left="4320" w:hanging="360"/>
      </w:pPr>
      <w:rPr>
        <w:rFonts w:ascii="Wingdings" w:hAnsi="Wingdings" w:hint="default"/>
      </w:rPr>
    </w:lvl>
    <w:lvl w:ilvl="6" w:tplc="310E4E46">
      <w:start w:val="1"/>
      <w:numFmt w:val="bullet"/>
      <w:lvlText w:val=""/>
      <w:lvlJc w:val="left"/>
      <w:pPr>
        <w:ind w:left="5040" w:hanging="360"/>
      </w:pPr>
      <w:rPr>
        <w:rFonts w:ascii="Symbol" w:hAnsi="Symbol" w:hint="default"/>
      </w:rPr>
    </w:lvl>
    <w:lvl w:ilvl="7" w:tplc="49246920">
      <w:start w:val="1"/>
      <w:numFmt w:val="bullet"/>
      <w:lvlText w:val="o"/>
      <w:lvlJc w:val="left"/>
      <w:pPr>
        <w:ind w:left="5760" w:hanging="360"/>
      </w:pPr>
      <w:rPr>
        <w:rFonts w:ascii="Courier New" w:hAnsi="Courier New" w:hint="default"/>
      </w:rPr>
    </w:lvl>
    <w:lvl w:ilvl="8" w:tplc="80548E20">
      <w:start w:val="1"/>
      <w:numFmt w:val="bullet"/>
      <w:lvlText w:val=""/>
      <w:lvlJc w:val="left"/>
      <w:pPr>
        <w:ind w:left="6480" w:hanging="360"/>
      </w:pPr>
      <w:rPr>
        <w:rFonts w:ascii="Wingdings" w:hAnsi="Wingdings" w:hint="default"/>
      </w:rPr>
    </w:lvl>
  </w:abstractNum>
  <w:abstractNum w:abstractNumId="6" w15:restartNumberingAfterBreak="0">
    <w:nsid w:val="41FA1BCB"/>
    <w:multiLevelType w:val="hybridMultilevel"/>
    <w:tmpl w:val="BA2E1486"/>
    <w:lvl w:ilvl="0" w:tplc="D402E43C">
      <w:start w:val="1"/>
      <w:numFmt w:val="decimal"/>
      <w:lvlText w:val="%1."/>
      <w:lvlJc w:val="left"/>
      <w:pPr>
        <w:ind w:left="720" w:hanging="360"/>
      </w:pPr>
      <w:rPr>
        <w:b/>
      </w:rPr>
    </w:lvl>
    <w:lvl w:ilvl="1" w:tplc="68ACEEBA">
      <w:start w:val="1"/>
      <w:numFmt w:val="lowerLetter"/>
      <w:lvlText w:val="%2."/>
      <w:lvlJc w:val="left"/>
      <w:pPr>
        <w:ind w:left="1440" w:hanging="360"/>
      </w:pPr>
    </w:lvl>
    <w:lvl w:ilvl="2" w:tplc="E324722E">
      <w:start w:val="1"/>
      <w:numFmt w:val="lowerRoman"/>
      <w:lvlText w:val="%3."/>
      <w:lvlJc w:val="right"/>
      <w:pPr>
        <w:ind w:left="2160" w:hanging="180"/>
      </w:pPr>
    </w:lvl>
    <w:lvl w:ilvl="3" w:tplc="CE74C876">
      <w:start w:val="1"/>
      <w:numFmt w:val="decimal"/>
      <w:lvlText w:val="%4."/>
      <w:lvlJc w:val="left"/>
      <w:pPr>
        <w:ind w:left="2880" w:hanging="360"/>
      </w:pPr>
    </w:lvl>
    <w:lvl w:ilvl="4" w:tplc="E176052E">
      <w:start w:val="1"/>
      <w:numFmt w:val="lowerLetter"/>
      <w:lvlText w:val="%5."/>
      <w:lvlJc w:val="left"/>
      <w:pPr>
        <w:ind w:left="3600" w:hanging="360"/>
      </w:pPr>
    </w:lvl>
    <w:lvl w:ilvl="5" w:tplc="FE583E5E">
      <w:start w:val="1"/>
      <w:numFmt w:val="lowerRoman"/>
      <w:lvlText w:val="%6."/>
      <w:lvlJc w:val="right"/>
      <w:pPr>
        <w:ind w:left="4320" w:hanging="180"/>
      </w:pPr>
    </w:lvl>
    <w:lvl w:ilvl="6" w:tplc="E642390A">
      <w:start w:val="1"/>
      <w:numFmt w:val="decimal"/>
      <w:lvlText w:val="%7."/>
      <w:lvlJc w:val="left"/>
      <w:pPr>
        <w:ind w:left="5040" w:hanging="360"/>
      </w:pPr>
    </w:lvl>
    <w:lvl w:ilvl="7" w:tplc="83E2FDF8">
      <w:start w:val="1"/>
      <w:numFmt w:val="lowerLetter"/>
      <w:lvlText w:val="%8."/>
      <w:lvlJc w:val="left"/>
      <w:pPr>
        <w:ind w:left="5760" w:hanging="360"/>
      </w:pPr>
    </w:lvl>
    <w:lvl w:ilvl="8" w:tplc="D122870C">
      <w:start w:val="1"/>
      <w:numFmt w:val="lowerRoman"/>
      <w:lvlText w:val="%9."/>
      <w:lvlJc w:val="right"/>
      <w:pPr>
        <w:ind w:left="6480" w:hanging="180"/>
      </w:pPr>
    </w:lvl>
  </w:abstractNum>
  <w:abstractNum w:abstractNumId="7" w15:restartNumberingAfterBreak="0">
    <w:nsid w:val="462072F6"/>
    <w:multiLevelType w:val="hybridMultilevel"/>
    <w:tmpl w:val="D43EC91E"/>
    <w:lvl w:ilvl="0" w:tplc="30BC27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C087F9"/>
    <w:multiLevelType w:val="hybridMultilevel"/>
    <w:tmpl w:val="FFFFFFFF"/>
    <w:lvl w:ilvl="0" w:tplc="01BE3FA4">
      <w:start w:val="1"/>
      <w:numFmt w:val="bullet"/>
      <w:lvlText w:val="·"/>
      <w:lvlJc w:val="left"/>
      <w:pPr>
        <w:ind w:left="720" w:hanging="360"/>
      </w:pPr>
      <w:rPr>
        <w:rFonts w:ascii="Symbol" w:hAnsi="Symbol" w:hint="default"/>
      </w:rPr>
    </w:lvl>
    <w:lvl w:ilvl="1" w:tplc="E58241F0">
      <w:start w:val="1"/>
      <w:numFmt w:val="bullet"/>
      <w:lvlText w:val="o"/>
      <w:lvlJc w:val="left"/>
      <w:pPr>
        <w:ind w:left="1440" w:hanging="360"/>
      </w:pPr>
      <w:rPr>
        <w:rFonts w:ascii="Courier New" w:hAnsi="Courier New" w:hint="default"/>
      </w:rPr>
    </w:lvl>
    <w:lvl w:ilvl="2" w:tplc="0CCE9CEE">
      <w:start w:val="1"/>
      <w:numFmt w:val="bullet"/>
      <w:lvlText w:val=""/>
      <w:lvlJc w:val="left"/>
      <w:pPr>
        <w:ind w:left="2160" w:hanging="360"/>
      </w:pPr>
      <w:rPr>
        <w:rFonts w:ascii="Wingdings" w:hAnsi="Wingdings" w:hint="default"/>
      </w:rPr>
    </w:lvl>
    <w:lvl w:ilvl="3" w:tplc="D9341DA8">
      <w:start w:val="1"/>
      <w:numFmt w:val="bullet"/>
      <w:lvlText w:val=""/>
      <w:lvlJc w:val="left"/>
      <w:pPr>
        <w:ind w:left="2880" w:hanging="360"/>
      </w:pPr>
      <w:rPr>
        <w:rFonts w:ascii="Symbol" w:hAnsi="Symbol" w:hint="default"/>
      </w:rPr>
    </w:lvl>
    <w:lvl w:ilvl="4" w:tplc="FE48BB34">
      <w:start w:val="1"/>
      <w:numFmt w:val="bullet"/>
      <w:lvlText w:val="o"/>
      <w:lvlJc w:val="left"/>
      <w:pPr>
        <w:ind w:left="3600" w:hanging="360"/>
      </w:pPr>
      <w:rPr>
        <w:rFonts w:ascii="Courier New" w:hAnsi="Courier New" w:hint="default"/>
      </w:rPr>
    </w:lvl>
    <w:lvl w:ilvl="5" w:tplc="62ACF54E">
      <w:start w:val="1"/>
      <w:numFmt w:val="bullet"/>
      <w:lvlText w:val=""/>
      <w:lvlJc w:val="left"/>
      <w:pPr>
        <w:ind w:left="4320" w:hanging="360"/>
      </w:pPr>
      <w:rPr>
        <w:rFonts w:ascii="Wingdings" w:hAnsi="Wingdings" w:hint="default"/>
      </w:rPr>
    </w:lvl>
    <w:lvl w:ilvl="6" w:tplc="3B941636">
      <w:start w:val="1"/>
      <w:numFmt w:val="bullet"/>
      <w:lvlText w:val=""/>
      <w:lvlJc w:val="left"/>
      <w:pPr>
        <w:ind w:left="5040" w:hanging="360"/>
      </w:pPr>
      <w:rPr>
        <w:rFonts w:ascii="Symbol" w:hAnsi="Symbol" w:hint="default"/>
      </w:rPr>
    </w:lvl>
    <w:lvl w:ilvl="7" w:tplc="68C48D9E">
      <w:start w:val="1"/>
      <w:numFmt w:val="bullet"/>
      <w:lvlText w:val="o"/>
      <w:lvlJc w:val="left"/>
      <w:pPr>
        <w:ind w:left="5760" w:hanging="360"/>
      </w:pPr>
      <w:rPr>
        <w:rFonts w:ascii="Courier New" w:hAnsi="Courier New" w:hint="default"/>
      </w:rPr>
    </w:lvl>
    <w:lvl w:ilvl="8" w:tplc="4E66F68C">
      <w:start w:val="1"/>
      <w:numFmt w:val="bullet"/>
      <w:lvlText w:val=""/>
      <w:lvlJc w:val="left"/>
      <w:pPr>
        <w:ind w:left="6480" w:hanging="360"/>
      </w:pPr>
      <w:rPr>
        <w:rFonts w:ascii="Wingdings" w:hAnsi="Wingdings" w:hint="default"/>
      </w:rPr>
    </w:lvl>
  </w:abstractNum>
  <w:abstractNum w:abstractNumId="9" w15:restartNumberingAfterBreak="0">
    <w:nsid w:val="66DA0FE0"/>
    <w:multiLevelType w:val="hybridMultilevel"/>
    <w:tmpl w:val="0B60B880"/>
    <w:lvl w:ilvl="0" w:tplc="2312AF6A">
      <w:start w:val="1"/>
      <w:numFmt w:val="decimal"/>
      <w:lvlText w:val="%1."/>
      <w:lvlJc w:val="left"/>
      <w:pPr>
        <w:ind w:left="410" w:hanging="360"/>
      </w:pPr>
      <w:rPr>
        <w:rFonts w:hint="default"/>
        <w:b/>
        <w:u w:val="single"/>
      </w:rPr>
    </w:lvl>
    <w:lvl w:ilvl="1" w:tplc="080C0019" w:tentative="1">
      <w:start w:val="1"/>
      <w:numFmt w:val="lowerLetter"/>
      <w:lvlText w:val="%2."/>
      <w:lvlJc w:val="left"/>
      <w:pPr>
        <w:ind w:left="1130" w:hanging="360"/>
      </w:pPr>
    </w:lvl>
    <w:lvl w:ilvl="2" w:tplc="080C001B" w:tentative="1">
      <w:start w:val="1"/>
      <w:numFmt w:val="lowerRoman"/>
      <w:lvlText w:val="%3."/>
      <w:lvlJc w:val="right"/>
      <w:pPr>
        <w:ind w:left="1850" w:hanging="180"/>
      </w:pPr>
    </w:lvl>
    <w:lvl w:ilvl="3" w:tplc="080C000F" w:tentative="1">
      <w:start w:val="1"/>
      <w:numFmt w:val="decimal"/>
      <w:lvlText w:val="%4."/>
      <w:lvlJc w:val="left"/>
      <w:pPr>
        <w:ind w:left="2570" w:hanging="360"/>
      </w:pPr>
    </w:lvl>
    <w:lvl w:ilvl="4" w:tplc="080C0019" w:tentative="1">
      <w:start w:val="1"/>
      <w:numFmt w:val="lowerLetter"/>
      <w:lvlText w:val="%5."/>
      <w:lvlJc w:val="left"/>
      <w:pPr>
        <w:ind w:left="3290" w:hanging="360"/>
      </w:pPr>
    </w:lvl>
    <w:lvl w:ilvl="5" w:tplc="080C001B" w:tentative="1">
      <w:start w:val="1"/>
      <w:numFmt w:val="lowerRoman"/>
      <w:lvlText w:val="%6."/>
      <w:lvlJc w:val="right"/>
      <w:pPr>
        <w:ind w:left="4010" w:hanging="180"/>
      </w:pPr>
    </w:lvl>
    <w:lvl w:ilvl="6" w:tplc="080C000F" w:tentative="1">
      <w:start w:val="1"/>
      <w:numFmt w:val="decimal"/>
      <w:lvlText w:val="%7."/>
      <w:lvlJc w:val="left"/>
      <w:pPr>
        <w:ind w:left="4730" w:hanging="360"/>
      </w:pPr>
    </w:lvl>
    <w:lvl w:ilvl="7" w:tplc="080C0019" w:tentative="1">
      <w:start w:val="1"/>
      <w:numFmt w:val="lowerLetter"/>
      <w:lvlText w:val="%8."/>
      <w:lvlJc w:val="left"/>
      <w:pPr>
        <w:ind w:left="5450" w:hanging="360"/>
      </w:pPr>
    </w:lvl>
    <w:lvl w:ilvl="8" w:tplc="080C001B" w:tentative="1">
      <w:start w:val="1"/>
      <w:numFmt w:val="lowerRoman"/>
      <w:lvlText w:val="%9."/>
      <w:lvlJc w:val="right"/>
      <w:pPr>
        <w:ind w:left="6170" w:hanging="180"/>
      </w:pPr>
    </w:lvl>
  </w:abstractNum>
  <w:abstractNum w:abstractNumId="10" w15:restartNumberingAfterBreak="0">
    <w:nsid w:val="70CAD239"/>
    <w:multiLevelType w:val="hybridMultilevel"/>
    <w:tmpl w:val="FFFFFFFF"/>
    <w:lvl w:ilvl="0" w:tplc="955EE01C">
      <w:start w:val="1"/>
      <w:numFmt w:val="bullet"/>
      <w:lvlText w:val="·"/>
      <w:lvlJc w:val="left"/>
      <w:pPr>
        <w:ind w:left="720" w:hanging="360"/>
      </w:pPr>
      <w:rPr>
        <w:rFonts w:ascii="Symbol" w:hAnsi="Symbol" w:hint="default"/>
      </w:rPr>
    </w:lvl>
    <w:lvl w:ilvl="1" w:tplc="4AC01EA4">
      <w:start w:val="1"/>
      <w:numFmt w:val="bullet"/>
      <w:lvlText w:val="o"/>
      <w:lvlJc w:val="left"/>
      <w:pPr>
        <w:ind w:left="1440" w:hanging="360"/>
      </w:pPr>
      <w:rPr>
        <w:rFonts w:ascii="Courier New" w:hAnsi="Courier New" w:hint="default"/>
      </w:rPr>
    </w:lvl>
    <w:lvl w:ilvl="2" w:tplc="E40AEA12">
      <w:start w:val="1"/>
      <w:numFmt w:val="bullet"/>
      <w:lvlText w:val=""/>
      <w:lvlJc w:val="left"/>
      <w:pPr>
        <w:ind w:left="2160" w:hanging="360"/>
      </w:pPr>
      <w:rPr>
        <w:rFonts w:ascii="Wingdings" w:hAnsi="Wingdings" w:hint="default"/>
      </w:rPr>
    </w:lvl>
    <w:lvl w:ilvl="3" w:tplc="33861C9A">
      <w:start w:val="1"/>
      <w:numFmt w:val="bullet"/>
      <w:lvlText w:val=""/>
      <w:lvlJc w:val="left"/>
      <w:pPr>
        <w:ind w:left="2880" w:hanging="360"/>
      </w:pPr>
      <w:rPr>
        <w:rFonts w:ascii="Symbol" w:hAnsi="Symbol" w:hint="default"/>
      </w:rPr>
    </w:lvl>
    <w:lvl w:ilvl="4" w:tplc="B8C29408">
      <w:start w:val="1"/>
      <w:numFmt w:val="bullet"/>
      <w:lvlText w:val="o"/>
      <w:lvlJc w:val="left"/>
      <w:pPr>
        <w:ind w:left="3600" w:hanging="360"/>
      </w:pPr>
      <w:rPr>
        <w:rFonts w:ascii="Courier New" w:hAnsi="Courier New" w:hint="default"/>
      </w:rPr>
    </w:lvl>
    <w:lvl w:ilvl="5" w:tplc="5C50DBC2">
      <w:start w:val="1"/>
      <w:numFmt w:val="bullet"/>
      <w:lvlText w:val=""/>
      <w:lvlJc w:val="left"/>
      <w:pPr>
        <w:ind w:left="4320" w:hanging="360"/>
      </w:pPr>
      <w:rPr>
        <w:rFonts w:ascii="Wingdings" w:hAnsi="Wingdings" w:hint="default"/>
      </w:rPr>
    </w:lvl>
    <w:lvl w:ilvl="6" w:tplc="223A8372">
      <w:start w:val="1"/>
      <w:numFmt w:val="bullet"/>
      <w:lvlText w:val=""/>
      <w:lvlJc w:val="left"/>
      <w:pPr>
        <w:ind w:left="5040" w:hanging="360"/>
      </w:pPr>
      <w:rPr>
        <w:rFonts w:ascii="Symbol" w:hAnsi="Symbol" w:hint="default"/>
      </w:rPr>
    </w:lvl>
    <w:lvl w:ilvl="7" w:tplc="11729A2E">
      <w:start w:val="1"/>
      <w:numFmt w:val="bullet"/>
      <w:lvlText w:val="o"/>
      <w:lvlJc w:val="left"/>
      <w:pPr>
        <w:ind w:left="5760" w:hanging="360"/>
      </w:pPr>
      <w:rPr>
        <w:rFonts w:ascii="Courier New" w:hAnsi="Courier New" w:hint="default"/>
      </w:rPr>
    </w:lvl>
    <w:lvl w:ilvl="8" w:tplc="53E61D86">
      <w:start w:val="1"/>
      <w:numFmt w:val="bullet"/>
      <w:lvlText w:val=""/>
      <w:lvlJc w:val="left"/>
      <w:pPr>
        <w:ind w:left="6480" w:hanging="360"/>
      </w:pPr>
      <w:rPr>
        <w:rFonts w:ascii="Wingdings" w:hAnsi="Wingdings" w:hint="default"/>
      </w:rPr>
    </w:lvl>
  </w:abstractNum>
  <w:abstractNum w:abstractNumId="11" w15:restartNumberingAfterBreak="0">
    <w:nsid w:val="71B180ED"/>
    <w:multiLevelType w:val="hybridMultilevel"/>
    <w:tmpl w:val="E5EC3CBA"/>
    <w:lvl w:ilvl="0" w:tplc="1CEC0EEA">
      <w:start w:val="1"/>
      <w:numFmt w:val="bullet"/>
      <w:lvlText w:val="·"/>
      <w:lvlJc w:val="left"/>
      <w:pPr>
        <w:ind w:left="720" w:hanging="360"/>
      </w:pPr>
      <w:rPr>
        <w:rFonts w:ascii="Symbol" w:hAnsi="Symbol" w:hint="default"/>
      </w:rPr>
    </w:lvl>
    <w:lvl w:ilvl="1" w:tplc="A10840F0">
      <w:start w:val="1"/>
      <w:numFmt w:val="bullet"/>
      <w:lvlText w:val="o"/>
      <w:lvlJc w:val="left"/>
      <w:pPr>
        <w:ind w:left="1440" w:hanging="360"/>
      </w:pPr>
      <w:rPr>
        <w:rFonts w:ascii="Courier New" w:hAnsi="Courier New" w:hint="default"/>
      </w:rPr>
    </w:lvl>
    <w:lvl w:ilvl="2" w:tplc="94B8EC2A">
      <w:start w:val="1"/>
      <w:numFmt w:val="bullet"/>
      <w:lvlText w:val=""/>
      <w:lvlJc w:val="left"/>
      <w:pPr>
        <w:ind w:left="2160" w:hanging="360"/>
      </w:pPr>
      <w:rPr>
        <w:rFonts w:ascii="Wingdings" w:hAnsi="Wingdings" w:hint="default"/>
      </w:rPr>
    </w:lvl>
    <w:lvl w:ilvl="3" w:tplc="CD00019E">
      <w:start w:val="1"/>
      <w:numFmt w:val="bullet"/>
      <w:lvlText w:val=""/>
      <w:lvlJc w:val="left"/>
      <w:pPr>
        <w:ind w:left="2880" w:hanging="360"/>
      </w:pPr>
      <w:rPr>
        <w:rFonts w:ascii="Symbol" w:hAnsi="Symbol" w:hint="default"/>
      </w:rPr>
    </w:lvl>
    <w:lvl w:ilvl="4" w:tplc="823E0150">
      <w:start w:val="1"/>
      <w:numFmt w:val="bullet"/>
      <w:lvlText w:val="o"/>
      <w:lvlJc w:val="left"/>
      <w:pPr>
        <w:ind w:left="3600" w:hanging="360"/>
      </w:pPr>
      <w:rPr>
        <w:rFonts w:ascii="Courier New" w:hAnsi="Courier New" w:hint="default"/>
      </w:rPr>
    </w:lvl>
    <w:lvl w:ilvl="5" w:tplc="9B72EEC2">
      <w:start w:val="1"/>
      <w:numFmt w:val="bullet"/>
      <w:lvlText w:val=""/>
      <w:lvlJc w:val="left"/>
      <w:pPr>
        <w:ind w:left="4320" w:hanging="360"/>
      </w:pPr>
      <w:rPr>
        <w:rFonts w:ascii="Wingdings" w:hAnsi="Wingdings" w:hint="default"/>
      </w:rPr>
    </w:lvl>
    <w:lvl w:ilvl="6" w:tplc="287C78F2">
      <w:start w:val="1"/>
      <w:numFmt w:val="bullet"/>
      <w:lvlText w:val=""/>
      <w:lvlJc w:val="left"/>
      <w:pPr>
        <w:ind w:left="5040" w:hanging="360"/>
      </w:pPr>
      <w:rPr>
        <w:rFonts w:ascii="Symbol" w:hAnsi="Symbol" w:hint="default"/>
      </w:rPr>
    </w:lvl>
    <w:lvl w:ilvl="7" w:tplc="4F0E1EE8">
      <w:start w:val="1"/>
      <w:numFmt w:val="bullet"/>
      <w:lvlText w:val="o"/>
      <w:lvlJc w:val="left"/>
      <w:pPr>
        <w:ind w:left="5760" w:hanging="360"/>
      </w:pPr>
      <w:rPr>
        <w:rFonts w:ascii="Courier New" w:hAnsi="Courier New" w:hint="default"/>
      </w:rPr>
    </w:lvl>
    <w:lvl w:ilvl="8" w:tplc="24B0D592">
      <w:start w:val="1"/>
      <w:numFmt w:val="bullet"/>
      <w:lvlText w:val=""/>
      <w:lvlJc w:val="left"/>
      <w:pPr>
        <w:ind w:left="6480" w:hanging="360"/>
      </w:pPr>
      <w:rPr>
        <w:rFonts w:ascii="Wingdings" w:hAnsi="Wingdings" w:hint="default"/>
      </w:rPr>
    </w:lvl>
  </w:abstractNum>
  <w:abstractNum w:abstractNumId="12" w15:restartNumberingAfterBreak="0">
    <w:nsid w:val="73931CBF"/>
    <w:multiLevelType w:val="hybridMultilevel"/>
    <w:tmpl w:val="F1586F9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732AA"/>
    <w:multiLevelType w:val="hybridMultilevel"/>
    <w:tmpl w:val="C3DC6A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37688">
    <w:abstractNumId w:val="11"/>
  </w:num>
  <w:num w:numId="2" w16cid:durableId="997802002">
    <w:abstractNumId w:val="2"/>
  </w:num>
  <w:num w:numId="3" w16cid:durableId="1736857560">
    <w:abstractNumId w:val="10"/>
  </w:num>
  <w:num w:numId="4" w16cid:durableId="1846549355">
    <w:abstractNumId w:val="6"/>
  </w:num>
  <w:num w:numId="5" w16cid:durableId="31271394">
    <w:abstractNumId w:val="0"/>
  </w:num>
  <w:num w:numId="6" w16cid:durableId="2101172458">
    <w:abstractNumId w:val="3"/>
  </w:num>
  <w:num w:numId="7" w16cid:durableId="1220937068">
    <w:abstractNumId w:val="1"/>
  </w:num>
  <w:num w:numId="8" w16cid:durableId="1896814846">
    <w:abstractNumId w:val="13"/>
  </w:num>
  <w:num w:numId="9" w16cid:durableId="539322278">
    <w:abstractNumId w:val="12"/>
  </w:num>
  <w:num w:numId="10" w16cid:durableId="1325402836">
    <w:abstractNumId w:val="7"/>
  </w:num>
  <w:num w:numId="11" w16cid:durableId="750276718">
    <w:abstractNumId w:val="9"/>
  </w:num>
  <w:num w:numId="12" w16cid:durableId="93332540">
    <w:abstractNumId w:val="5"/>
  </w:num>
  <w:num w:numId="13" w16cid:durableId="261038343">
    <w:abstractNumId w:val="8"/>
  </w:num>
  <w:num w:numId="14" w16cid:durableId="942570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4F1EE2C7"/>
    <w:rsid w:val="00001264"/>
    <w:rsid w:val="00002213"/>
    <w:rsid w:val="000044DD"/>
    <w:rsid w:val="0001142B"/>
    <w:rsid w:val="00011A1D"/>
    <w:rsid w:val="00012BC3"/>
    <w:rsid w:val="00014615"/>
    <w:rsid w:val="00015B20"/>
    <w:rsid w:val="00016D44"/>
    <w:rsid w:val="00020268"/>
    <w:rsid w:val="000208A5"/>
    <w:rsid w:val="0002165B"/>
    <w:rsid w:val="00022115"/>
    <w:rsid w:val="00024AF9"/>
    <w:rsid w:val="00025F42"/>
    <w:rsid w:val="00027329"/>
    <w:rsid w:val="00027ED8"/>
    <w:rsid w:val="0003080C"/>
    <w:rsid w:val="00032627"/>
    <w:rsid w:val="000329F4"/>
    <w:rsid w:val="00032EAB"/>
    <w:rsid w:val="00037885"/>
    <w:rsid w:val="00037C1C"/>
    <w:rsid w:val="000403DB"/>
    <w:rsid w:val="00040BC2"/>
    <w:rsid w:val="00041DE3"/>
    <w:rsid w:val="00042B57"/>
    <w:rsid w:val="00043B48"/>
    <w:rsid w:val="000469B8"/>
    <w:rsid w:val="00047A05"/>
    <w:rsid w:val="000523C7"/>
    <w:rsid w:val="00053613"/>
    <w:rsid w:val="00062154"/>
    <w:rsid w:val="00062C52"/>
    <w:rsid w:val="00063385"/>
    <w:rsid w:val="00063D48"/>
    <w:rsid w:val="00063E0D"/>
    <w:rsid w:val="000662CD"/>
    <w:rsid w:val="00066513"/>
    <w:rsid w:val="00067D7A"/>
    <w:rsid w:val="0007220D"/>
    <w:rsid w:val="000745FD"/>
    <w:rsid w:val="000746B2"/>
    <w:rsid w:val="00074A53"/>
    <w:rsid w:val="00074AFD"/>
    <w:rsid w:val="00076236"/>
    <w:rsid w:val="0007711D"/>
    <w:rsid w:val="00084192"/>
    <w:rsid w:val="0008525B"/>
    <w:rsid w:val="00087EE9"/>
    <w:rsid w:val="000900FB"/>
    <w:rsid w:val="00092D1A"/>
    <w:rsid w:val="00094EC3"/>
    <w:rsid w:val="000A33E0"/>
    <w:rsid w:val="000A51E1"/>
    <w:rsid w:val="000B08A4"/>
    <w:rsid w:val="000B3780"/>
    <w:rsid w:val="000B3B78"/>
    <w:rsid w:val="000B3DC9"/>
    <w:rsid w:val="000B6BA8"/>
    <w:rsid w:val="000B7515"/>
    <w:rsid w:val="000C018F"/>
    <w:rsid w:val="000C0CE6"/>
    <w:rsid w:val="000C1B71"/>
    <w:rsid w:val="000C4239"/>
    <w:rsid w:val="000C522C"/>
    <w:rsid w:val="000D127E"/>
    <w:rsid w:val="000D1E22"/>
    <w:rsid w:val="000D3F9B"/>
    <w:rsid w:val="000D7253"/>
    <w:rsid w:val="000D7B88"/>
    <w:rsid w:val="000E08CA"/>
    <w:rsid w:val="000E1A7B"/>
    <w:rsid w:val="000E223F"/>
    <w:rsid w:val="000E244A"/>
    <w:rsid w:val="000E3C02"/>
    <w:rsid w:val="000E6AD5"/>
    <w:rsid w:val="000E7A12"/>
    <w:rsid w:val="000F56A2"/>
    <w:rsid w:val="000F614D"/>
    <w:rsid w:val="000F7BA8"/>
    <w:rsid w:val="000F7BDD"/>
    <w:rsid w:val="00101984"/>
    <w:rsid w:val="00103059"/>
    <w:rsid w:val="00106771"/>
    <w:rsid w:val="001126F2"/>
    <w:rsid w:val="00113149"/>
    <w:rsid w:val="001134FC"/>
    <w:rsid w:val="00115A9E"/>
    <w:rsid w:val="00121AAE"/>
    <w:rsid w:val="001220CD"/>
    <w:rsid w:val="00130DCF"/>
    <w:rsid w:val="00133499"/>
    <w:rsid w:val="001375AF"/>
    <w:rsid w:val="0014117A"/>
    <w:rsid w:val="00141F05"/>
    <w:rsid w:val="00147408"/>
    <w:rsid w:val="0015024B"/>
    <w:rsid w:val="001519F9"/>
    <w:rsid w:val="00153404"/>
    <w:rsid w:val="00153C72"/>
    <w:rsid w:val="00154EBB"/>
    <w:rsid w:val="00155600"/>
    <w:rsid w:val="001573C7"/>
    <w:rsid w:val="001579BB"/>
    <w:rsid w:val="00157D6D"/>
    <w:rsid w:val="001623DE"/>
    <w:rsid w:val="001625C4"/>
    <w:rsid w:val="001649C5"/>
    <w:rsid w:val="00165E1F"/>
    <w:rsid w:val="00170463"/>
    <w:rsid w:val="00173FC5"/>
    <w:rsid w:val="00174D05"/>
    <w:rsid w:val="00175D43"/>
    <w:rsid w:val="0017702E"/>
    <w:rsid w:val="00180795"/>
    <w:rsid w:val="00183451"/>
    <w:rsid w:val="00183C5A"/>
    <w:rsid w:val="001853AA"/>
    <w:rsid w:val="0018564D"/>
    <w:rsid w:val="001902E0"/>
    <w:rsid w:val="00190C9C"/>
    <w:rsid w:val="001A1A53"/>
    <w:rsid w:val="001A1C16"/>
    <w:rsid w:val="001A39F6"/>
    <w:rsid w:val="001A4553"/>
    <w:rsid w:val="001A5104"/>
    <w:rsid w:val="001B29CE"/>
    <w:rsid w:val="001B5611"/>
    <w:rsid w:val="001B5C00"/>
    <w:rsid w:val="001B7498"/>
    <w:rsid w:val="001BB26F"/>
    <w:rsid w:val="001C5836"/>
    <w:rsid w:val="001D1022"/>
    <w:rsid w:val="001D221A"/>
    <w:rsid w:val="001D2226"/>
    <w:rsid w:val="001D2C70"/>
    <w:rsid w:val="001D5232"/>
    <w:rsid w:val="001D5FB2"/>
    <w:rsid w:val="001E4965"/>
    <w:rsid w:val="001E77CE"/>
    <w:rsid w:val="001F29EB"/>
    <w:rsid w:val="001F5B63"/>
    <w:rsid w:val="001F603D"/>
    <w:rsid w:val="0020147F"/>
    <w:rsid w:val="00210B96"/>
    <w:rsid w:val="00221641"/>
    <w:rsid w:val="00221EC6"/>
    <w:rsid w:val="00221FE8"/>
    <w:rsid w:val="00223B35"/>
    <w:rsid w:val="00224A62"/>
    <w:rsid w:val="00224FCD"/>
    <w:rsid w:val="00234CE1"/>
    <w:rsid w:val="00236885"/>
    <w:rsid w:val="00244CD8"/>
    <w:rsid w:val="002608E8"/>
    <w:rsid w:val="0026173F"/>
    <w:rsid w:val="002622D4"/>
    <w:rsid w:val="00263137"/>
    <w:rsid w:val="00264C56"/>
    <w:rsid w:val="00265599"/>
    <w:rsid w:val="00266378"/>
    <w:rsid w:val="0026648B"/>
    <w:rsid w:val="002664DE"/>
    <w:rsid w:val="00267FAA"/>
    <w:rsid w:val="00270CD7"/>
    <w:rsid w:val="00276C6F"/>
    <w:rsid w:val="002803C5"/>
    <w:rsid w:val="00280C54"/>
    <w:rsid w:val="00281F13"/>
    <w:rsid w:val="00284FA8"/>
    <w:rsid w:val="002867E2"/>
    <w:rsid w:val="00287124"/>
    <w:rsid w:val="002949BD"/>
    <w:rsid w:val="00295F43"/>
    <w:rsid w:val="00296C3F"/>
    <w:rsid w:val="002A1216"/>
    <w:rsid w:val="002A1671"/>
    <w:rsid w:val="002B059F"/>
    <w:rsid w:val="002B1006"/>
    <w:rsid w:val="002B132C"/>
    <w:rsid w:val="002B281F"/>
    <w:rsid w:val="002B40A9"/>
    <w:rsid w:val="002B4795"/>
    <w:rsid w:val="002B4936"/>
    <w:rsid w:val="002B5570"/>
    <w:rsid w:val="002C3E96"/>
    <w:rsid w:val="002C4F06"/>
    <w:rsid w:val="002C52EF"/>
    <w:rsid w:val="002C551B"/>
    <w:rsid w:val="002CD576"/>
    <w:rsid w:val="002D0D3B"/>
    <w:rsid w:val="002D18DF"/>
    <w:rsid w:val="002E1240"/>
    <w:rsid w:val="002E2F2E"/>
    <w:rsid w:val="002E45B1"/>
    <w:rsid w:val="002E5FAA"/>
    <w:rsid w:val="002E6455"/>
    <w:rsid w:val="002E695D"/>
    <w:rsid w:val="002E77B3"/>
    <w:rsid w:val="002E7AA0"/>
    <w:rsid w:val="002F3E7A"/>
    <w:rsid w:val="002F3EBA"/>
    <w:rsid w:val="002F41C4"/>
    <w:rsid w:val="002F4532"/>
    <w:rsid w:val="002F576D"/>
    <w:rsid w:val="002F604E"/>
    <w:rsid w:val="002F6B62"/>
    <w:rsid w:val="003014AD"/>
    <w:rsid w:val="00303824"/>
    <w:rsid w:val="00305E77"/>
    <w:rsid w:val="00306EA6"/>
    <w:rsid w:val="0030745D"/>
    <w:rsid w:val="00310111"/>
    <w:rsid w:val="0031270B"/>
    <w:rsid w:val="00317AD2"/>
    <w:rsid w:val="003202F3"/>
    <w:rsid w:val="00320717"/>
    <w:rsid w:val="00320D0F"/>
    <w:rsid w:val="00323C08"/>
    <w:rsid w:val="00323DA2"/>
    <w:rsid w:val="003244FC"/>
    <w:rsid w:val="003251FC"/>
    <w:rsid w:val="003259EB"/>
    <w:rsid w:val="003303A9"/>
    <w:rsid w:val="0033106B"/>
    <w:rsid w:val="00331611"/>
    <w:rsid w:val="0033517C"/>
    <w:rsid w:val="0034123C"/>
    <w:rsid w:val="00342E9A"/>
    <w:rsid w:val="00345387"/>
    <w:rsid w:val="003454A4"/>
    <w:rsid w:val="00347252"/>
    <w:rsid w:val="00350C39"/>
    <w:rsid w:val="00351CB0"/>
    <w:rsid w:val="003528E7"/>
    <w:rsid w:val="00353D1A"/>
    <w:rsid w:val="00353F83"/>
    <w:rsid w:val="0035619F"/>
    <w:rsid w:val="003569BE"/>
    <w:rsid w:val="0036089D"/>
    <w:rsid w:val="00365630"/>
    <w:rsid w:val="0036653C"/>
    <w:rsid w:val="00371221"/>
    <w:rsid w:val="00376219"/>
    <w:rsid w:val="00377CD6"/>
    <w:rsid w:val="00381757"/>
    <w:rsid w:val="0038218E"/>
    <w:rsid w:val="003841B9"/>
    <w:rsid w:val="003844F2"/>
    <w:rsid w:val="00384F13"/>
    <w:rsid w:val="0038527D"/>
    <w:rsid w:val="00385B98"/>
    <w:rsid w:val="0039480A"/>
    <w:rsid w:val="00395EF2"/>
    <w:rsid w:val="003A0D13"/>
    <w:rsid w:val="003A2BC7"/>
    <w:rsid w:val="003A391D"/>
    <w:rsid w:val="003A5004"/>
    <w:rsid w:val="003A5AC7"/>
    <w:rsid w:val="003A6459"/>
    <w:rsid w:val="003B18EA"/>
    <w:rsid w:val="003B1B91"/>
    <w:rsid w:val="003B4A39"/>
    <w:rsid w:val="003B5D4C"/>
    <w:rsid w:val="003C052F"/>
    <w:rsid w:val="003C055F"/>
    <w:rsid w:val="003C5A21"/>
    <w:rsid w:val="003C5ADC"/>
    <w:rsid w:val="003C6657"/>
    <w:rsid w:val="003D1405"/>
    <w:rsid w:val="003D1C32"/>
    <w:rsid w:val="003D213A"/>
    <w:rsid w:val="003D3479"/>
    <w:rsid w:val="003D71A1"/>
    <w:rsid w:val="003D7D57"/>
    <w:rsid w:val="003E26FF"/>
    <w:rsid w:val="003E47B7"/>
    <w:rsid w:val="003E7010"/>
    <w:rsid w:val="003E78D8"/>
    <w:rsid w:val="003E7FE3"/>
    <w:rsid w:val="003F0A0D"/>
    <w:rsid w:val="003F5262"/>
    <w:rsid w:val="003F6086"/>
    <w:rsid w:val="003F63F3"/>
    <w:rsid w:val="003F694B"/>
    <w:rsid w:val="003F701A"/>
    <w:rsid w:val="00400032"/>
    <w:rsid w:val="00402795"/>
    <w:rsid w:val="004066C5"/>
    <w:rsid w:val="00406D4C"/>
    <w:rsid w:val="00410C17"/>
    <w:rsid w:val="00413B81"/>
    <w:rsid w:val="004145CC"/>
    <w:rsid w:val="0041A6BA"/>
    <w:rsid w:val="00420E3B"/>
    <w:rsid w:val="00421B96"/>
    <w:rsid w:val="00422F84"/>
    <w:rsid w:val="004233EB"/>
    <w:rsid w:val="004238CF"/>
    <w:rsid w:val="00424C64"/>
    <w:rsid w:val="004319E1"/>
    <w:rsid w:val="00431C2B"/>
    <w:rsid w:val="00436236"/>
    <w:rsid w:val="00440715"/>
    <w:rsid w:val="00444D8E"/>
    <w:rsid w:val="00445049"/>
    <w:rsid w:val="004450F9"/>
    <w:rsid w:val="004515D2"/>
    <w:rsid w:val="004522D9"/>
    <w:rsid w:val="0045295C"/>
    <w:rsid w:val="00455886"/>
    <w:rsid w:val="004566D0"/>
    <w:rsid w:val="00456F4B"/>
    <w:rsid w:val="004576E4"/>
    <w:rsid w:val="00461206"/>
    <w:rsid w:val="004614C9"/>
    <w:rsid w:val="004629F1"/>
    <w:rsid w:val="00463627"/>
    <w:rsid w:val="00463D12"/>
    <w:rsid w:val="00466557"/>
    <w:rsid w:val="00471B2D"/>
    <w:rsid w:val="004725CC"/>
    <w:rsid w:val="0047612D"/>
    <w:rsid w:val="00476F9A"/>
    <w:rsid w:val="00483726"/>
    <w:rsid w:val="00484725"/>
    <w:rsid w:val="00484C91"/>
    <w:rsid w:val="00484CA1"/>
    <w:rsid w:val="00486214"/>
    <w:rsid w:val="00490005"/>
    <w:rsid w:val="004913B0"/>
    <w:rsid w:val="0049280B"/>
    <w:rsid w:val="00493CBD"/>
    <w:rsid w:val="00494930"/>
    <w:rsid w:val="00494B65"/>
    <w:rsid w:val="004A0F28"/>
    <w:rsid w:val="004A1CB5"/>
    <w:rsid w:val="004A2CF5"/>
    <w:rsid w:val="004A36F0"/>
    <w:rsid w:val="004A4F39"/>
    <w:rsid w:val="004A5380"/>
    <w:rsid w:val="004B1DDB"/>
    <w:rsid w:val="004B4C8A"/>
    <w:rsid w:val="004C01F8"/>
    <w:rsid w:val="004C0C6E"/>
    <w:rsid w:val="004C29A8"/>
    <w:rsid w:val="004C3A6D"/>
    <w:rsid w:val="004C3CA7"/>
    <w:rsid w:val="004D4EDE"/>
    <w:rsid w:val="004D5C67"/>
    <w:rsid w:val="004E0FC9"/>
    <w:rsid w:val="004E69F1"/>
    <w:rsid w:val="004E7C81"/>
    <w:rsid w:val="004F0800"/>
    <w:rsid w:val="004F2107"/>
    <w:rsid w:val="00501E12"/>
    <w:rsid w:val="0050652A"/>
    <w:rsid w:val="0051098D"/>
    <w:rsid w:val="00511B7C"/>
    <w:rsid w:val="00512135"/>
    <w:rsid w:val="0051512F"/>
    <w:rsid w:val="00517745"/>
    <w:rsid w:val="0052202B"/>
    <w:rsid w:val="00524001"/>
    <w:rsid w:val="005255C6"/>
    <w:rsid w:val="00525A30"/>
    <w:rsid w:val="0052654D"/>
    <w:rsid w:val="00530EA5"/>
    <w:rsid w:val="00531D9D"/>
    <w:rsid w:val="00532CDD"/>
    <w:rsid w:val="0053586D"/>
    <w:rsid w:val="00536C27"/>
    <w:rsid w:val="00544CE7"/>
    <w:rsid w:val="00546342"/>
    <w:rsid w:val="00547061"/>
    <w:rsid w:val="00551518"/>
    <w:rsid w:val="005522E7"/>
    <w:rsid w:val="00552E34"/>
    <w:rsid w:val="00557163"/>
    <w:rsid w:val="00561EF1"/>
    <w:rsid w:val="0057023D"/>
    <w:rsid w:val="00570715"/>
    <w:rsid w:val="00572E46"/>
    <w:rsid w:val="00576DD7"/>
    <w:rsid w:val="00577805"/>
    <w:rsid w:val="00577B94"/>
    <w:rsid w:val="00581AEF"/>
    <w:rsid w:val="00581B39"/>
    <w:rsid w:val="005826B9"/>
    <w:rsid w:val="00583948"/>
    <w:rsid w:val="00583C22"/>
    <w:rsid w:val="0058523B"/>
    <w:rsid w:val="00590ED1"/>
    <w:rsid w:val="00591A32"/>
    <w:rsid w:val="00591AE1"/>
    <w:rsid w:val="00595197"/>
    <w:rsid w:val="00595684"/>
    <w:rsid w:val="0059598B"/>
    <w:rsid w:val="005978FB"/>
    <w:rsid w:val="005A017B"/>
    <w:rsid w:val="005A4BCC"/>
    <w:rsid w:val="005A541C"/>
    <w:rsid w:val="005A66E6"/>
    <w:rsid w:val="005A7AB9"/>
    <w:rsid w:val="005A7E1B"/>
    <w:rsid w:val="005B1676"/>
    <w:rsid w:val="005B1D7B"/>
    <w:rsid w:val="005B4FF7"/>
    <w:rsid w:val="005B6780"/>
    <w:rsid w:val="005B7E5C"/>
    <w:rsid w:val="005C0917"/>
    <w:rsid w:val="005C0F6B"/>
    <w:rsid w:val="005C13A7"/>
    <w:rsid w:val="005C19F5"/>
    <w:rsid w:val="005C4886"/>
    <w:rsid w:val="005C4AA2"/>
    <w:rsid w:val="005C4CCE"/>
    <w:rsid w:val="005C654C"/>
    <w:rsid w:val="005D0893"/>
    <w:rsid w:val="005D27DC"/>
    <w:rsid w:val="005D527A"/>
    <w:rsid w:val="005D5755"/>
    <w:rsid w:val="005D7B37"/>
    <w:rsid w:val="005E4DCD"/>
    <w:rsid w:val="005E661B"/>
    <w:rsid w:val="005E7EAD"/>
    <w:rsid w:val="005F1583"/>
    <w:rsid w:val="005F192C"/>
    <w:rsid w:val="005F203B"/>
    <w:rsid w:val="005F2691"/>
    <w:rsid w:val="005F4229"/>
    <w:rsid w:val="005F57C2"/>
    <w:rsid w:val="005F7B92"/>
    <w:rsid w:val="00601544"/>
    <w:rsid w:val="006037A1"/>
    <w:rsid w:val="006052FF"/>
    <w:rsid w:val="00605A39"/>
    <w:rsid w:val="00606038"/>
    <w:rsid w:val="0061180A"/>
    <w:rsid w:val="00612150"/>
    <w:rsid w:val="00612574"/>
    <w:rsid w:val="006125B4"/>
    <w:rsid w:val="006149AE"/>
    <w:rsid w:val="00615838"/>
    <w:rsid w:val="006176E5"/>
    <w:rsid w:val="00620C34"/>
    <w:rsid w:val="00621379"/>
    <w:rsid w:val="00622653"/>
    <w:rsid w:val="00622B4C"/>
    <w:rsid w:val="00625679"/>
    <w:rsid w:val="00626730"/>
    <w:rsid w:val="00630043"/>
    <w:rsid w:val="00630EBE"/>
    <w:rsid w:val="006340B3"/>
    <w:rsid w:val="00634EBE"/>
    <w:rsid w:val="006404C0"/>
    <w:rsid w:val="006406C7"/>
    <w:rsid w:val="006411D3"/>
    <w:rsid w:val="00642D25"/>
    <w:rsid w:val="00644010"/>
    <w:rsid w:val="00644D45"/>
    <w:rsid w:val="00646B8F"/>
    <w:rsid w:val="00647211"/>
    <w:rsid w:val="00652C3E"/>
    <w:rsid w:val="006538A9"/>
    <w:rsid w:val="00654651"/>
    <w:rsid w:val="00654FC9"/>
    <w:rsid w:val="006625DA"/>
    <w:rsid w:val="00662AB4"/>
    <w:rsid w:val="00662E02"/>
    <w:rsid w:val="00664118"/>
    <w:rsid w:val="00665494"/>
    <w:rsid w:val="006672DF"/>
    <w:rsid w:val="00673927"/>
    <w:rsid w:val="0067593C"/>
    <w:rsid w:val="00675963"/>
    <w:rsid w:val="00676561"/>
    <w:rsid w:val="0068041D"/>
    <w:rsid w:val="006806E1"/>
    <w:rsid w:val="00683DAF"/>
    <w:rsid w:val="0068614B"/>
    <w:rsid w:val="00687704"/>
    <w:rsid w:val="00691E31"/>
    <w:rsid w:val="006929BB"/>
    <w:rsid w:val="00694739"/>
    <w:rsid w:val="006947B3"/>
    <w:rsid w:val="00696667"/>
    <w:rsid w:val="0069792B"/>
    <w:rsid w:val="006A14DD"/>
    <w:rsid w:val="006A2A7A"/>
    <w:rsid w:val="006A42F9"/>
    <w:rsid w:val="006A61E6"/>
    <w:rsid w:val="006A6AAE"/>
    <w:rsid w:val="006A7128"/>
    <w:rsid w:val="006A71B2"/>
    <w:rsid w:val="006A7AD7"/>
    <w:rsid w:val="006B1DF2"/>
    <w:rsid w:val="006B1F54"/>
    <w:rsid w:val="006B22A8"/>
    <w:rsid w:val="006B27C1"/>
    <w:rsid w:val="006B2924"/>
    <w:rsid w:val="006B7DE0"/>
    <w:rsid w:val="006C43E1"/>
    <w:rsid w:val="006C47F7"/>
    <w:rsid w:val="006C5863"/>
    <w:rsid w:val="006C64B6"/>
    <w:rsid w:val="006D0B72"/>
    <w:rsid w:val="006D10FE"/>
    <w:rsid w:val="006D15A5"/>
    <w:rsid w:val="006D19C7"/>
    <w:rsid w:val="006D1D4F"/>
    <w:rsid w:val="006D63F9"/>
    <w:rsid w:val="006D72FF"/>
    <w:rsid w:val="006D7453"/>
    <w:rsid w:val="006D7ADE"/>
    <w:rsid w:val="006E1A74"/>
    <w:rsid w:val="006E4023"/>
    <w:rsid w:val="006E50B4"/>
    <w:rsid w:val="006E6322"/>
    <w:rsid w:val="006F0A29"/>
    <w:rsid w:val="006F36D6"/>
    <w:rsid w:val="006F38FB"/>
    <w:rsid w:val="006F3AF2"/>
    <w:rsid w:val="006F4D75"/>
    <w:rsid w:val="006F5E2B"/>
    <w:rsid w:val="006F7B72"/>
    <w:rsid w:val="0070077C"/>
    <w:rsid w:val="007012A5"/>
    <w:rsid w:val="0070724B"/>
    <w:rsid w:val="00707E1E"/>
    <w:rsid w:val="00711830"/>
    <w:rsid w:val="00712A67"/>
    <w:rsid w:val="00712BD5"/>
    <w:rsid w:val="00712BF7"/>
    <w:rsid w:val="00713486"/>
    <w:rsid w:val="007160D7"/>
    <w:rsid w:val="007160F8"/>
    <w:rsid w:val="00717CD1"/>
    <w:rsid w:val="00721DDA"/>
    <w:rsid w:val="00727093"/>
    <w:rsid w:val="00727436"/>
    <w:rsid w:val="00731D7E"/>
    <w:rsid w:val="007367A5"/>
    <w:rsid w:val="0073E6B9"/>
    <w:rsid w:val="007407EA"/>
    <w:rsid w:val="00740AF1"/>
    <w:rsid w:val="00741FF8"/>
    <w:rsid w:val="00744599"/>
    <w:rsid w:val="00744615"/>
    <w:rsid w:val="00746DF6"/>
    <w:rsid w:val="00747CF3"/>
    <w:rsid w:val="007509C3"/>
    <w:rsid w:val="00751400"/>
    <w:rsid w:val="00752EF9"/>
    <w:rsid w:val="00755561"/>
    <w:rsid w:val="00761DE7"/>
    <w:rsid w:val="00762852"/>
    <w:rsid w:val="00764BFC"/>
    <w:rsid w:val="00767080"/>
    <w:rsid w:val="00770499"/>
    <w:rsid w:val="0077096B"/>
    <w:rsid w:val="00770F64"/>
    <w:rsid w:val="00773CDE"/>
    <w:rsid w:val="007745A6"/>
    <w:rsid w:val="0077514D"/>
    <w:rsid w:val="00777596"/>
    <w:rsid w:val="00777CFD"/>
    <w:rsid w:val="00780D3D"/>
    <w:rsid w:val="0078687E"/>
    <w:rsid w:val="00787BD0"/>
    <w:rsid w:val="0079076E"/>
    <w:rsid w:val="007914BB"/>
    <w:rsid w:val="00791CE0"/>
    <w:rsid w:val="00792507"/>
    <w:rsid w:val="00792F67"/>
    <w:rsid w:val="00795B2A"/>
    <w:rsid w:val="007969B7"/>
    <w:rsid w:val="00797235"/>
    <w:rsid w:val="007A0A3F"/>
    <w:rsid w:val="007A17D7"/>
    <w:rsid w:val="007A20C1"/>
    <w:rsid w:val="007A23BE"/>
    <w:rsid w:val="007A2A64"/>
    <w:rsid w:val="007A3EAA"/>
    <w:rsid w:val="007B00CC"/>
    <w:rsid w:val="007B2403"/>
    <w:rsid w:val="007B7B8F"/>
    <w:rsid w:val="007C08F6"/>
    <w:rsid w:val="007C0CCA"/>
    <w:rsid w:val="007C1C05"/>
    <w:rsid w:val="007C557A"/>
    <w:rsid w:val="007C64B8"/>
    <w:rsid w:val="007C7C13"/>
    <w:rsid w:val="007D206C"/>
    <w:rsid w:val="007D23E3"/>
    <w:rsid w:val="007D2D11"/>
    <w:rsid w:val="007D4AFC"/>
    <w:rsid w:val="007D534D"/>
    <w:rsid w:val="007D54F4"/>
    <w:rsid w:val="007E04F0"/>
    <w:rsid w:val="007E0887"/>
    <w:rsid w:val="007E13E3"/>
    <w:rsid w:val="007E2DF1"/>
    <w:rsid w:val="007E3CF0"/>
    <w:rsid w:val="007E53AC"/>
    <w:rsid w:val="007E59D2"/>
    <w:rsid w:val="007F1B39"/>
    <w:rsid w:val="007F1D1C"/>
    <w:rsid w:val="007F4CAB"/>
    <w:rsid w:val="008006F6"/>
    <w:rsid w:val="00800BDB"/>
    <w:rsid w:val="008047CF"/>
    <w:rsid w:val="0080788F"/>
    <w:rsid w:val="008132BC"/>
    <w:rsid w:val="00813835"/>
    <w:rsid w:val="00815878"/>
    <w:rsid w:val="00816A36"/>
    <w:rsid w:val="00817808"/>
    <w:rsid w:val="00820898"/>
    <w:rsid w:val="00822552"/>
    <w:rsid w:val="00823859"/>
    <w:rsid w:val="008306E4"/>
    <w:rsid w:val="00831AC6"/>
    <w:rsid w:val="00834302"/>
    <w:rsid w:val="008343B8"/>
    <w:rsid w:val="0083617E"/>
    <w:rsid w:val="0083657D"/>
    <w:rsid w:val="00836B5A"/>
    <w:rsid w:val="008447BC"/>
    <w:rsid w:val="00847E28"/>
    <w:rsid w:val="00850593"/>
    <w:rsid w:val="0085118B"/>
    <w:rsid w:val="00852750"/>
    <w:rsid w:val="00853572"/>
    <w:rsid w:val="0085550C"/>
    <w:rsid w:val="0085551F"/>
    <w:rsid w:val="008572CD"/>
    <w:rsid w:val="0086397F"/>
    <w:rsid w:val="00865D7B"/>
    <w:rsid w:val="00866CB9"/>
    <w:rsid w:val="00870A34"/>
    <w:rsid w:val="00873341"/>
    <w:rsid w:val="00874614"/>
    <w:rsid w:val="00875F95"/>
    <w:rsid w:val="00877F54"/>
    <w:rsid w:val="00880704"/>
    <w:rsid w:val="008825B4"/>
    <w:rsid w:val="00882FE5"/>
    <w:rsid w:val="00890FBE"/>
    <w:rsid w:val="008935FA"/>
    <w:rsid w:val="00896395"/>
    <w:rsid w:val="00896D55"/>
    <w:rsid w:val="008A427E"/>
    <w:rsid w:val="008A60B0"/>
    <w:rsid w:val="008A656C"/>
    <w:rsid w:val="008A7265"/>
    <w:rsid w:val="008B2802"/>
    <w:rsid w:val="008B48BF"/>
    <w:rsid w:val="008B4E1A"/>
    <w:rsid w:val="008B6874"/>
    <w:rsid w:val="008B6D6B"/>
    <w:rsid w:val="008B70D9"/>
    <w:rsid w:val="008B7D13"/>
    <w:rsid w:val="008C441B"/>
    <w:rsid w:val="008C448A"/>
    <w:rsid w:val="008D1F8D"/>
    <w:rsid w:val="008D60B5"/>
    <w:rsid w:val="008D6778"/>
    <w:rsid w:val="008D74D3"/>
    <w:rsid w:val="008E0351"/>
    <w:rsid w:val="008E0411"/>
    <w:rsid w:val="008E296F"/>
    <w:rsid w:val="008E5E09"/>
    <w:rsid w:val="008E7257"/>
    <w:rsid w:val="008F1AA6"/>
    <w:rsid w:val="008F3167"/>
    <w:rsid w:val="008F3A8D"/>
    <w:rsid w:val="009007CC"/>
    <w:rsid w:val="00900A47"/>
    <w:rsid w:val="00904B58"/>
    <w:rsid w:val="00904D99"/>
    <w:rsid w:val="00904F7B"/>
    <w:rsid w:val="00905549"/>
    <w:rsid w:val="0090776D"/>
    <w:rsid w:val="00907B27"/>
    <w:rsid w:val="00907F60"/>
    <w:rsid w:val="00910282"/>
    <w:rsid w:val="00910AF0"/>
    <w:rsid w:val="00911448"/>
    <w:rsid w:val="00911992"/>
    <w:rsid w:val="009119D1"/>
    <w:rsid w:val="00914CD2"/>
    <w:rsid w:val="00915ECA"/>
    <w:rsid w:val="00917E96"/>
    <w:rsid w:val="00920DB6"/>
    <w:rsid w:val="00921FD6"/>
    <w:rsid w:val="00930884"/>
    <w:rsid w:val="00930DAF"/>
    <w:rsid w:val="00933703"/>
    <w:rsid w:val="00937AF4"/>
    <w:rsid w:val="00940EC5"/>
    <w:rsid w:val="00942607"/>
    <w:rsid w:val="00942F6B"/>
    <w:rsid w:val="00944006"/>
    <w:rsid w:val="00945E80"/>
    <w:rsid w:val="009614C3"/>
    <w:rsid w:val="00964C77"/>
    <w:rsid w:val="009659BC"/>
    <w:rsid w:val="00965C89"/>
    <w:rsid w:val="009666E9"/>
    <w:rsid w:val="00966FFB"/>
    <w:rsid w:val="009672E6"/>
    <w:rsid w:val="00971A3F"/>
    <w:rsid w:val="00973035"/>
    <w:rsid w:val="0097341D"/>
    <w:rsid w:val="00976301"/>
    <w:rsid w:val="00977EBB"/>
    <w:rsid w:val="00982E27"/>
    <w:rsid w:val="00985082"/>
    <w:rsid w:val="009855CB"/>
    <w:rsid w:val="00987728"/>
    <w:rsid w:val="00987927"/>
    <w:rsid w:val="00992AD1"/>
    <w:rsid w:val="00996AE3"/>
    <w:rsid w:val="009A142E"/>
    <w:rsid w:val="009A264E"/>
    <w:rsid w:val="009A6C58"/>
    <w:rsid w:val="009A7DEC"/>
    <w:rsid w:val="009B1474"/>
    <w:rsid w:val="009B489C"/>
    <w:rsid w:val="009B50CB"/>
    <w:rsid w:val="009B770A"/>
    <w:rsid w:val="009C093D"/>
    <w:rsid w:val="009C099E"/>
    <w:rsid w:val="009C0FA8"/>
    <w:rsid w:val="009C18FF"/>
    <w:rsid w:val="009C35B3"/>
    <w:rsid w:val="009C48A4"/>
    <w:rsid w:val="009C7C96"/>
    <w:rsid w:val="009C7FF9"/>
    <w:rsid w:val="009D64DD"/>
    <w:rsid w:val="009D684E"/>
    <w:rsid w:val="009DFEFA"/>
    <w:rsid w:val="009E027E"/>
    <w:rsid w:val="009E09D7"/>
    <w:rsid w:val="009E336F"/>
    <w:rsid w:val="009E3AFA"/>
    <w:rsid w:val="009E42C9"/>
    <w:rsid w:val="009E4D89"/>
    <w:rsid w:val="009E73B0"/>
    <w:rsid w:val="009F0622"/>
    <w:rsid w:val="009F1548"/>
    <w:rsid w:val="009F330E"/>
    <w:rsid w:val="009F34C4"/>
    <w:rsid w:val="009F5FA7"/>
    <w:rsid w:val="00A00705"/>
    <w:rsid w:val="00A01CBD"/>
    <w:rsid w:val="00A029A9"/>
    <w:rsid w:val="00A0383B"/>
    <w:rsid w:val="00A05C27"/>
    <w:rsid w:val="00A10881"/>
    <w:rsid w:val="00A129F9"/>
    <w:rsid w:val="00A1442E"/>
    <w:rsid w:val="00A2344E"/>
    <w:rsid w:val="00A25AF4"/>
    <w:rsid w:val="00A27D58"/>
    <w:rsid w:val="00A30D7E"/>
    <w:rsid w:val="00A33661"/>
    <w:rsid w:val="00A33834"/>
    <w:rsid w:val="00A352AC"/>
    <w:rsid w:val="00A37EA5"/>
    <w:rsid w:val="00A40357"/>
    <w:rsid w:val="00A41C27"/>
    <w:rsid w:val="00A4667A"/>
    <w:rsid w:val="00A5045D"/>
    <w:rsid w:val="00A50DFF"/>
    <w:rsid w:val="00A515F7"/>
    <w:rsid w:val="00A516D5"/>
    <w:rsid w:val="00A52E36"/>
    <w:rsid w:val="00A54AF4"/>
    <w:rsid w:val="00A571AE"/>
    <w:rsid w:val="00A57229"/>
    <w:rsid w:val="00A57565"/>
    <w:rsid w:val="00A60157"/>
    <w:rsid w:val="00A62385"/>
    <w:rsid w:val="00A638E8"/>
    <w:rsid w:val="00A72FA9"/>
    <w:rsid w:val="00A737EA"/>
    <w:rsid w:val="00A74215"/>
    <w:rsid w:val="00A753E4"/>
    <w:rsid w:val="00A76C34"/>
    <w:rsid w:val="00A7791E"/>
    <w:rsid w:val="00A82DD4"/>
    <w:rsid w:val="00A831A5"/>
    <w:rsid w:val="00A8442C"/>
    <w:rsid w:val="00A85D93"/>
    <w:rsid w:val="00A87EA7"/>
    <w:rsid w:val="00A900BE"/>
    <w:rsid w:val="00A9025F"/>
    <w:rsid w:val="00A91B23"/>
    <w:rsid w:val="00A92441"/>
    <w:rsid w:val="00A92747"/>
    <w:rsid w:val="00A936F8"/>
    <w:rsid w:val="00A93758"/>
    <w:rsid w:val="00A95510"/>
    <w:rsid w:val="00A95CE1"/>
    <w:rsid w:val="00AA2403"/>
    <w:rsid w:val="00AA2886"/>
    <w:rsid w:val="00AA3861"/>
    <w:rsid w:val="00AA56D3"/>
    <w:rsid w:val="00AA5A6C"/>
    <w:rsid w:val="00AA5E17"/>
    <w:rsid w:val="00AB0E69"/>
    <w:rsid w:val="00AB1FCF"/>
    <w:rsid w:val="00AB1FE1"/>
    <w:rsid w:val="00AB20C1"/>
    <w:rsid w:val="00AB72AE"/>
    <w:rsid w:val="00AB7E39"/>
    <w:rsid w:val="00AC33A9"/>
    <w:rsid w:val="00AD1AC1"/>
    <w:rsid w:val="00AD1CAA"/>
    <w:rsid w:val="00AD333A"/>
    <w:rsid w:val="00AD4138"/>
    <w:rsid w:val="00AD6787"/>
    <w:rsid w:val="00AE2434"/>
    <w:rsid w:val="00AE2B4B"/>
    <w:rsid w:val="00AE57E7"/>
    <w:rsid w:val="00AE6983"/>
    <w:rsid w:val="00AE77BE"/>
    <w:rsid w:val="00AF1B5E"/>
    <w:rsid w:val="00AF2B62"/>
    <w:rsid w:val="00AF3F73"/>
    <w:rsid w:val="00AF4D88"/>
    <w:rsid w:val="00AF5A38"/>
    <w:rsid w:val="00AF6108"/>
    <w:rsid w:val="00AF62DC"/>
    <w:rsid w:val="00B0131D"/>
    <w:rsid w:val="00B03B0F"/>
    <w:rsid w:val="00B04886"/>
    <w:rsid w:val="00B04E2C"/>
    <w:rsid w:val="00B07B8C"/>
    <w:rsid w:val="00B10CEE"/>
    <w:rsid w:val="00B11883"/>
    <w:rsid w:val="00B1210C"/>
    <w:rsid w:val="00B1400F"/>
    <w:rsid w:val="00B14653"/>
    <w:rsid w:val="00B1490F"/>
    <w:rsid w:val="00B229DC"/>
    <w:rsid w:val="00B22F11"/>
    <w:rsid w:val="00B304DD"/>
    <w:rsid w:val="00B3562C"/>
    <w:rsid w:val="00B35713"/>
    <w:rsid w:val="00B3607A"/>
    <w:rsid w:val="00B36D95"/>
    <w:rsid w:val="00B373DF"/>
    <w:rsid w:val="00B37C22"/>
    <w:rsid w:val="00B37F66"/>
    <w:rsid w:val="00B410B3"/>
    <w:rsid w:val="00B4476B"/>
    <w:rsid w:val="00B45682"/>
    <w:rsid w:val="00B50DE2"/>
    <w:rsid w:val="00B538C4"/>
    <w:rsid w:val="00B54D23"/>
    <w:rsid w:val="00B54D8F"/>
    <w:rsid w:val="00B60C2F"/>
    <w:rsid w:val="00B60C4D"/>
    <w:rsid w:val="00B622CC"/>
    <w:rsid w:val="00B62B1B"/>
    <w:rsid w:val="00B65F1D"/>
    <w:rsid w:val="00B70C59"/>
    <w:rsid w:val="00B7466A"/>
    <w:rsid w:val="00B74F7C"/>
    <w:rsid w:val="00B75C96"/>
    <w:rsid w:val="00B7640C"/>
    <w:rsid w:val="00B76C7E"/>
    <w:rsid w:val="00B77207"/>
    <w:rsid w:val="00B822CA"/>
    <w:rsid w:val="00B842FC"/>
    <w:rsid w:val="00B84FD8"/>
    <w:rsid w:val="00B94CFD"/>
    <w:rsid w:val="00B97C99"/>
    <w:rsid w:val="00BA0CA4"/>
    <w:rsid w:val="00BA1CCA"/>
    <w:rsid w:val="00BA2DDB"/>
    <w:rsid w:val="00BA384F"/>
    <w:rsid w:val="00BA47B1"/>
    <w:rsid w:val="00BA4B57"/>
    <w:rsid w:val="00BA77CF"/>
    <w:rsid w:val="00BA7B53"/>
    <w:rsid w:val="00BB4C7E"/>
    <w:rsid w:val="00BB66D6"/>
    <w:rsid w:val="00BC5355"/>
    <w:rsid w:val="00BC74C5"/>
    <w:rsid w:val="00BD058F"/>
    <w:rsid w:val="00BD065D"/>
    <w:rsid w:val="00BD38B5"/>
    <w:rsid w:val="00BD3B13"/>
    <w:rsid w:val="00BD5433"/>
    <w:rsid w:val="00BF1830"/>
    <w:rsid w:val="00BF34E7"/>
    <w:rsid w:val="00BF4E3D"/>
    <w:rsid w:val="00BF5DF2"/>
    <w:rsid w:val="00BF63F5"/>
    <w:rsid w:val="00BF6EB3"/>
    <w:rsid w:val="00BF730A"/>
    <w:rsid w:val="00C004EA"/>
    <w:rsid w:val="00C03554"/>
    <w:rsid w:val="00C0564F"/>
    <w:rsid w:val="00C1041B"/>
    <w:rsid w:val="00C13AAD"/>
    <w:rsid w:val="00C14C56"/>
    <w:rsid w:val="00C14E97"/>
    <w:rsid w:val="00C20C77"/>
    <w:rsid w:val="00C21AC2"/>
    <w:rsid w:val="00C237AF"/>
    <w:rsid w:val="00C2393A"/>
    <w:rsid w:val="00C253DE"/>
    <w:rsid w:val="00C2772B"/>
    <w:rsid w:val="00C30990"/>
    <w:rsid w:val="00C32847"/>
    <w:rsid w:val="00C32EAD"/>
    <w:rsid w:val="00C3532E"/>
    <w:rsid w:val="00C35867"/>
    <w:rsid w:val="00C369D5"/>
    <w:rsid w:val="00C402A5"/>
    <w:rsid w:val="00C40F62"/>
    <w:rsid w:val="00C43B0A"/>
    <w:rsid w:val="00C44A53"/>
    <w:rsid w:val="00C55770"/>
    <w:rsid w:val="00C5684B"/>
    <w:rsid w:val="00C658CB"/>
    <w:rsid w:val="00C66813"/>
    <w:rsid w:val="00C6698F"/>
    <w:rsid w:val="00C71A9B"/>
    <w:rsid w:val="00C738EA"/>
    <w:rsid w:val="00C75082"/>
    <w:rsid w:val="00C7715C"/>
    <w:rsid w:val="00C80772"/>
    <w:rsid w:val="00C81A0B"/>
    <w:rsid w:val="00C81D7C"/>
    <w:rsid w:val="00C8318E"/>
    <w:rsid w:val="00C83391"/>
    <w:rsid w:val="00C836C0"/>
    <w:rsid w:val="00C847ED"/>
    <w:rsid w:val="00C84DBC"/>
    <w:rsid w:val="00C85CCF"/>
    <w:rsid w:val="00C900C9"/>
    <w:rsid w:val="00C90B0B"/>
    <w:rsid w:val="00C90E6B"/>
    <w:rsid w:val="00C911C9"/>
    <w:rsid w:val="00C942A5"/>
    <w:rsid w:val="00C949EB"/>
    <w:rsid w:val="00C94C95"/>
    <w:rsid w:val="00C96336"/>
    <w:rsid w:val="00C96738"/>
    <w:rsid w:val="00C978CC"/>
    <w:rsid w:val="00CA0A53"/>
    <w:rsid w:val="00CA281C"/>
    <w:rsid w:val="00CA419E"/>
    <w:rsid w:val="00CA4228"/>
    <w:rsid w:val="00CA548E"/>
    <w:rsid w:val="00CA7691"/>
    <w:rsid w:val="00CA7BB3"/>
    <w:rsid w:val="00CB0148"/>
    <w:rsid w:val="00CB03C1"/>
    <w:rsid w:val="00CB22B6"/>
    <w:rsid w:val="00CB371D"/>
    <w:rsid w:val="00CB4217"/>
    <w:rsid w:val="00CB46E0"/>
    <w:rsid w:val="00CB5DD8"/>
    <w:rsid w:val="00CB6A18"/>
    <w:rsid w:val="00CB6C4E"/>
    <w:rsid w:val="00CB7978"/>
    <w:rsid w:val="00CC30B0"/>
    <w:rsid w:val="00CC41A7"/>
    <w:rsid w:val="00CC576E"/>
    <w:rsid w:val="00CC6C71"/>
    <w:rsid w:val="00CD0040"/>
    <w:rsid w:val="00CD0616"/>
    <w:rsid w:val="00CD4AC3"/>
    <w:rsid w:val="00CD6607"/>
    <w:rsid w:val="00CD7273"/>
    <w:rsid w:val="00CE2F21"/>
    <w:rsid w:val="00CE34AB"/>
    <w:rsid w:val="00CE52B9"/>
    <w:rsid w:val="00CE69DA"/>
    <w:rsid w:val="00CF07CB"/>
    <w:rsid w:val="00CF0D09"/>
    <w:rsid w:val="00CF0DB2"/>
    <w:rsid w:val="00CF233A"/>
    <w:rsid w:val="00CF28B1"/>
    <w:rsid w:val="00CF30B3"/>
    <w:rsid w:val="00CF4C14"/>
    <w:rsid w:val="00CF62F8"/>
    <w:rsid w:val="00CF6A8D"/>
    <w:rsid w:val="00CF7A1E"/>
    <w:rsid w:val="00D00036"/>
    <w:rsid w:val="00D006E7"/>
    <w:rsid w:val="00D01519"/>
    <w:rsid w:val="00D02581"/>
    <w:rsid w:val="00D0737A"/>
    <w:rsid w:val="00D13840"/>
    <w:rsid w:val="00D21803"/>
    <w:rsid w:val="00D27312"/>
    <w:rsid w:val="00D27D4F"/>
    <w:rsid w:val="00D30D8E"/>
    <w:rsid w:val="00D34EC1"/>
    <w:rsid w:val="00D34FFD"/>
    <w:rsid w:val="00D3612F"/>
    <w:rsid w:val="00D367C1"/>
    <w:rsid w:val="00D418C3"/>
    <w:rsid w:val="00D419C2"/>
    <w:rsid w:val="00D43959"/>
    <w:rsid w:val="00D44708"/>
    <w:rsid w:val="00D523EE"/>
    <w:rsid w:val="00D561AC"/>
    <w:rsid w:val="00D57E4E"/>
    <w:rsid w:val="00D60862"/>
    <w:rsid w:val="00D61E19"/>
    <w:rsid w:val="00D652B3"/>
    <w:rsid w:val="00D6757A"/>
    <w:rsid w:val="00D738C2"/>
    <w:rsid w:val="00D738F1"/>
    <w:rsid w:val="00D73D0D"/>
    <w:rsid w:val="00D73F10"/>
    <w:rsid w:val="00D751CA"/>
    <w:rsid w:val="00D77F72"/>
    <w:rsid w:val="00D808F0"/>
    <w:rsid w:val="00D80B30"/>
    <w:rsid w:val="00D811C1"/>
    <w:rsid w:val="00D8220F"/>
    <w:rsid w:val="00D82EA3"/>
    <w:rsid w:val="00D82FAA"/>
    <w:rsid w:val="00D8498C"/>
    <w:rsid w:val="00D851F6"/>
    <w:rsid w:val="00D86382"/>
    <w:rsid w:val="00D8785B"/>
    <w:rsid w:val="00D87C59"/>
    <w:rsid w:val="00D8E7A3"/>
    <w:rsid w:val="00D901F2"/>
    <w:rsid w:val="00D90C20"/>
    <w:rsid w:val="00D91580"/>
    <w:rsid w:val="00D9377D"/>
    <w:rsid w:val="00D979AE"/>
    <w:rsid w:val="00D97FAD"/>
    <w:rsid w:val="00DA1F4B"/>
    <w:rsid w:val="00DA27C4"/>
    <w:rsid w:val="00DA4EC9"/>
    <w:rsid w:val="00DA613E"/>
    <w:rsid w:val="00DB07D9"/>
    <w:rsid w:val="00DB1F81"/>
    <w:rsid w:val="00DB2129"/>
    <w:rsid w:val="00DB243E"/>
    <w:rsid w:val="00DB58EF"/>
    <w:rsid w:val="00DB640A"/>
    <w:rsid w:val="00DB735C"/>
    <w:rsid w:val="00DB7805"/>
    <w:rsid w:val="00DB7F6A"/>
    <w:rsid w:val="00DC1825"/>
    <w:rsid w:val="00DC1906"/>
    <w:rsid w:val="00DC19B3"/>
    <w:rsid w:val="00DC2E6E"/>
    <w:rsid w:val="00DC54ED"/>
    <w:rsid w:val="00DD10A1"/>
    <w:rsid w:val="00DD128D"/>
    <w:rsid w:val="00DD132B"/>
    <w:rsid w:val="00DD286E"/>
    <w:rsid w:val="00DD28C0"/>
    <w:rsid w:val="00DD3F58"/>
    <w:rsid w:val="00DD5F73"/>
    <w:rsid w:val="00DD76AC"/>
    <w:rsid w:val="00DE4726"/>
    <w:rsid w:val="00DE71B1"/>
    <w:rsid w:val="00DF02B7"/>
    <w:rsid w:val="00DF1574"/>
    <w:rsid w:val="00DF19D1"/>
    <w:rsid w:val="00DF1E53"/>
    <w:rsid w:val="00DF20D6"/>
    <w:rsid w:val="00DF31D3"/>
    <w:rsid w:val="00DF591C"/>
    <w:rsid w:val="00DF6517"/>
    <w:rsid w:val="00DF654A"/>
    <w:rsid w:val="00DF6613"/>
    <w:rsid w:val="00E03601"/>
    <w:rsid w:val="00E04F16"/>
    <w:rsid w:val="00E11F56"/>
    <w:rsid w:val="00E14584"/>
    <w:rsid w:val="00E14F0D"/>
    <w:rsid w:val="00E153EB"/>
    <w:rsid w:val="00E174FB"/>
    <w:rsid w:val="00E22F11"/>
    <w:rsid w:val="00E22FE6"/>
    <w:rsid w:val="00E23C7F"/>
    <w:rsid w:val="00E245EF"/>
    <w:rsid w:val="00E2666F"/>
    <w:rsid w:val="00E308A6"/>
    <w:rsid w:val="00E313F2"/>
    <w:rsid w:val="00E32777"/>
    <w:rsid w:val="00E328C0"/>
    <w:rsid w:val="00E36BF6"/>
    <w:rsid w:val="00E40568"/>
    <w:rsid w:val="00E427DE"/>
    <w:rsid w:val="00E434D2"/>
    <w:rsid w:val="00E44029"/>
    <w:rsid w:val="00E47342"/>
    <w:rsid w:val="00E50EC7"/>
    <w:rsid w:val="00E530EB"/>
    <w:rsid w:val="00E541C8"/>
    <w:rsid w:val="00E6172E"/>
    <w:rsid w:val="00E61782"/>
    <w:rsid w:val="00E63D77"/>
    <w:rsid w:val="00E7019A"/>
    <w:rsid w:val="00E715D7"/>
    <w:rsid w:val="00E7377D"/>
    <w:rsid w:val="00E74ECB"/>
    <w:rsid w:val="00E76737"/>
    <w:rsid w:val="00E8423F"/>
    <w:rsid w:val="00E8581A"/>
    <w:rsid w:val="00E86548"/>
    <w:rsid w:val="00E90951"/>
    <w:rsid w:val="00E956CF"/>
    <w:rsid w:val="00E95D19"/>
    <w:rsid w:val="00E97D0E"/>
    <w:rsid w:val="00EA0A67"/>
    <w:rsid w:val="00EA0FB7"/>
    <w:rsid w:val="00EA1729"/>
    <w:rsid w:val="00EA1F3F"/>
    <w:rsid w:val="00EA3685"/>
    <w:rsid w:val="00EA69CC"/>
    <w:rsid w:val="00EA72EF"/>
    <w:rsid w:val="00EA7E18"/>
    <w:rsid w:val="00EB0293"/>
    <w:rsid w:val="00EB3900"/>
    <w:rsid w:val="00EB47C6"/>
    <w:rsid w:val="00EB47F8"/>
    <w:rsid w:val="00EB5B3D"/>
    <w:rsid w:val="00EB6536"/>
    <w:rsid w:val="00EB6A27"/>
    <w:rsid w:val="00EC566A"/>
    <w:rsid w:val="00EC577B"/>
    <w:rsid w:val="00EC6076"/>
    <w:rsid w:val="00EC6A1A"/>
    <w:rsid w:val="00EC7764"/>
    <w:rsid w:val="00EC7A89"/>
    <w:rsid w:val="00ED0C3C"/>
    <w:rsid w:val="00ED1879"/>
    <w:rsid w:val="00ED21EA"/>
    <w:rsid w:val="00ED3DF2"/>
    <w:rsid w:val="00ED4AE8"/>
    <w:rsid w:val="00ED63A5"/>
    <w:rsid w:val="00EE0CA2"/>
    <w:rsid w:val="00EE0D92"/>
    <w:rsid w:val="00EE1390"/>
    <w:rsid w:val="00EE2E0A"/>
    <w:rsid w:val="00EE72DE"/>
    <w:rsid w:val="00EF0A9E"/>
    <w:rsid w:val="00EF0F4F"/>
    <w:rsid w:val="00EF2626"/>
    <w:rsid w:val="00EF2E51"/>
    <w:rsid w:val="00EF38F2"/>
    <w:rsid w:val="00EF57F6"/>
    <w:rsid w:val="00EF7616"/>
    <w:rsid w:val="00F00768"/>
    <w:rsid w:val="00F021B7"/>
    <w:rsid w:val="00F02692"/>
    <w:rsid w:val="00F026AD"/>
    <w:rsid w:val="00F0734B"/>
    <w:rsid w:val="00F118D1"/>
    <w:rsid w:val="00F12210"/>
    <w:rsid w:val="00F142B9"/>
    <w:rsid w:val="00F159DD"/>
    <w:rsid w:val="00F20F10"/>
    <w:rsid w:val="00F2231A"/>
    <w:rsid w:val="00F24F13"/>
    <w:rsid w:val="00F26A56"/>
    <w:rsid w:val="00F311BF"/>
    <w:rsid w:val="00F31B32"/>
    <w:rsid w:val="00F34B0D"/>
    <w:rsid w:val="00F36045"/>
    <w:rsid w:val="00F366EE"/>
    <w:rsid w:val="00F40BD7"/>
    <w:rsid w:val="00F423C9"/>
    <w:rsid w:val="00F42FC5"/>
    <w:rsid w:val="00F4447C"/>
    <w:rsid w:val="00F463BC"/>
    <w:rsid w:val="00F475C7"/>
    <w:rsid w:val="00F506D3"/>
    <w:rsid w:val="00F5077B"/>
    <w:rsid w:val="00F51356"/>
    <w:rsid w:val="00F51CFF"/>
    <w:rsid w:val="00F53489"/>
    <w:rsid w:val="00F54084"/>
    <w:rsid w:val="00F56D0F"/>
    <w:rsid w:val="00F57336"/>
    <w:rsid w:val="00F57347"/>
    <w:rsid w:val="00F6136C"/>
    <w:rsid w:val="00F661BE"/>
    <w:rsid w:val="00F66F09"/>
    <w:rsid w:val="00F67B3E"/>
    <w:rsid w:val="00F71096"/>
    <w:rsid w:val="00F711AA"/>
    <w:rsid w:val="00F72047"/>
    <w:rsid w:val="00F73C30"/>
    <w:rsid w:val="00F73DC0"/>
    <w:rsid w:val="00F75251"/>
    <w:rsid w:val="00F75A13"/>
    <w:rsid w:val="00F94811"/>
    <w:rsid w:val="00F94863"/>
    <w:rsid w:val="00F95345"/>
    <w:rsid w:val="00F9608F"/>
    <w:rsid w:val="00F9731A"/>
    <w:rsid w:val="00FA05C0"/>
    <w:rsid w:val="00FA1F7D"/>
    <w:rsid w:val="00FA7DCA"/>
    <w:rsid w:val="00FB17B5"/>
    <w:rsid w:val="00FB3EA7"/>
    <w:rsid w:val="00FB4A50"/>
    <w:rsid w:val="00FB4EAB"/>
    <w:rsid w:val="00FB634E"/>
    <w:rsid w:val="00FB6665"/>
    <w:rsid w:val="00FB752B"/>
    <w:rsid w:val="00FC421F"/>
    <w:rsid w:val="00FC4442"/>
    <w:rsid w:val="00FC711B"/>
    <w:rsid w:val="00FC73AE"/>
    <w:rsid w:val="00FC7E46"/>
    <w:rsid w:val="00FD2125"/>
    <w:rsid w:val="00FD21DC"/>
    <w:rsid w:val="00FD232F"/>
    <w:rsid w:val="00FD25B5"/>
    <w:rsid w:val="00FD2611"/>
    <w:rsid w:val="00FD2D16"/>
    <w:rsid w:val="00FD5E7D"/>
    <w:rsid w:val="00FD64FE"/>
    <w:rsid w:val="00FE65A3"/>
    <w:rsid w:val="00FF14BC"/>
    <w:rsid w:val="00FF4016"/>
    <w:rsid w:val="00FF552B"/>
    <w:rsid w:val="00FF6CB2"/>
    <w:rsid w:val="00FF78AC"/>
    <w:rsid w:val="00FF7DEB"/>
    <w:rsid w:val="01038C2A"/>
    <w:rsid w:val="01351ED8"/>
    <w:rsid w:val="014A90A0"/>
    <w:rsid w:val="0153FA83"/>
    <w:rsid w:val="015897E6"/>
    <w:rsid w:val="017D49C2"/>
    <w:rsid w:val="0183DE1D"/>
    <w:rsid w:val="01862D9F"/>
    <w:rsid w:val="018C9E69"/>
    <w:rsid w:val="019BDA2B"/>
    <w:rsid w:val="01A324A6"/>
    <w:rsid w:val="01ADED24"/>
    <w:rsid w:val="01B4FFE7"/>
    <w:rsid w:val="01C57C08"/>
    <w:rsid w:val="01C5D35D"/>
    <w:rsid w:val="01C5D472"/>
    <w:rsid w:val="01CBC01B"/>
    <w:rsid w:val="01D21B61"/>
    <w:rsid w:val="01D45284"/>
    <w:rsid w:val="01DFFDB5"/>
    <w:rsid w:val="01E06341"/>
    <w:rsid w:val="01E7AEBF"/>
    <w:rsid w:val="01E8246E"/>
    <w:rsid w:val="01ED22D4"/>
    <w:rsid w:val="020C2A06"/>
    <w:rsid w:val="02132793"/>
    <w:rsid w:val="021E8826"/>
    <w:rsid w:val="021F5D0B"/>
    <w:rsid w:val="0229C9F4"/>
    <w:rsid w:val="0247EBD3"/>
    <w:rsid w:val="024ABE19"/>
    <w:rsid w:val="025B968A"/>
    <w:rsid w:val="0277FAAB"/>
    <w:rsid w:val="02792C11"/>
    <w:rsid w:val="028174C6"/>
    <w:rsid w:val="02859D0C"/>
    <w:rsid w:val="02B23A66"/>
    <w:rsid w:val="02D2A059"/>
    <w:rsid w:val="02D54D57"/>
    <w:rsid w:val="02E66101"/>
    <w:rsid w:val="02E87EB7"/>
    <w:rsid w:val="02EE1723"/>
    <w:rsid w:val="02FBD5EF"/>
    <w:rsid w:val="02FD25A2"/>
    <w:rsid w:val="0303D694"/>
    <w:rsid w:val="0314C015"/>
    <w:rsid w:val="03242ED7"/>
    <w:rsid w:val="0327E0B4"/>
    <w:rsid w:val="0350D048"/>
    <w:rsid w:val="0354D404"/>
    <w:rsid w:val="036C85F4"/>
    <w:rsid w:val="039245FA"/>
    <w:rsid w:val="03A27E7A"/>
    <w:rsid w:val="03A338FD"/>
    <w:rsid w:val="03AAACF7"/>
    <w:rsid w:val="03BD2189"/>
    <w:rsid w:val="03CBA639"/>
    <w:rsid w:val="03D0DFD7"/>
    <w:rsid w:val="03D1C6DF"/>
    <w:rsid w:val="03DAD553"/>
    <w:rsid w:val="03DCE61F"/>
    <w:rsid w:val="03F72984"/>
    <w:rsid w:val="0425EEEB"/>
    <w:rsid w:val="0437014A"/>
    <w:rsid w:val="043B3890"/>
    <w:rsid w:val="044A2EC9"/>
    <w:rsid w:val="04536EA9"/>
    <w:rsid w:val="045BEB9F"/>
    <w:rsid w:val="0461FB2E"/>
    <w:rsid w:val="0467081B"/>
    <w:rsid w:val="046FCA3C"/>
    <w:rsid w:val="04743C44"/>
    <w:rsid w:val="04C5D4DD"/>
    <w:rsid w:val="04CDE010"/>
    <w:rsid w:val="04D39118"/>
    <w:rsid w:val="04D58EBC"/>
    <w:rsid w:val="04D81BA5"/>
    <w:rsid w:val="04E181B3"/>
    <w:rsid w:val="04EB9DB0"/>
    <w:rsid w:val="04EE3879"/>
    <w:rsid w:val="04F1CAA1"/>
    <w:rsid w:val="050E64F1"/>
    <w:rsid w:val="050F2E86"/>
    <w:rsid w:val="051F3C16"/>
    <w:rsid w:val="052CDE79"/>
    <w:rsid w:val="0539B89A"/>
    <w:rsid w:val="053A2418"/>
    <w:rsid w:val="053A6957"/>
    <w:rsid w:val="054705E5"/>
    <w:rsid w:val="054C9E9B"/>
    <w:rsid w:val="055F55D2"/>
    <w:rsid w:val="056485DC"/>
    <w:rsid w:val="0574FC96"/>
    <w:rsid w:val="0594E79A"/>
    <w:rsid w:val="05A34FA1"/>
    <w:rsid w:val="05A8C8CB"/>
    <w:rsid w:val="05BD3B33"/>
    <w:rsid w:val="05C1C67D"/>
    <w:rsid w:val="05C64D5E"/>
    <w:rsid w:val="05D73E90"/>
    <w:rsid w:val="05DD77BC"/>
    <w:rsid w:val="05F6BFE1"/>
    <w:rsid w:val="05F875E6"/>
    <w:rsid w:val="06043C12"/>
    <w:rsid w:val="060919A1"/>
    <w:rsid w:val="0610FA2C"/>
    <w:rsid w:val="0617C800"/>
    <w:rsid w:val="061BF23A"/>
    <w:rsid w:val="06357F4F"/>
    <w:rsid w:val="06387FBB"/>
    <w:rsid w:val="063E4B83"/>
    <w:rsid w:val="063EB633"/>
    <w:rsid w:val="06430674"/>
    <w:rsid w:val="0643F32D"/>
    <w:rsid w:val="067BB0B1"/>
    <w:rsid w:val="06810203"/>
    <w:rsid w:val="068D034B"/>
    <w:rsid w:val="06A44193"/>
    <w:rsid w:val="06ACEA70"/>
    <w:rsid w:val="06BB9591"/>
    <w:rsid w:val="06C9DC91"/>
    <w:rsid w:val="06C9E6BC"/>
    <w:rsid w:val="06DD4A48"/>
    <w:rsid w:val="06ED9635"/>
    <w:rsid w:val="06F3038F"/>
    <w:rsid w:val="06FAA2A3"/>
    <w:rsid w:val="06FECEAE"/>
    <w:rsid w:val="07009566"/>
    <w:rsid w:val="0734BF1B"/>
    <w:rsid w:val="0741D0E8"/>
    <w:rsid w:val="075BF1DB"/>
    <w:rsid w:val="076B2D9D"/>
    <w:rsid w:val="07718DA8"/>
    <w:rsid w:val="07933E69"/>
    <w:rsid w:val="07B01538"/>
    <w:rsid w:val="07D6AE76"/>
    <w:rsid w:val="07F56F23"/>
    <w:rsid w:val="07F78331"/>
    <w:rsid w:val="07FD0C23"/>
    <w:rsid w:val="080F9967"/>
    <w:rsid w:val="082B1CAC"/>
    <w:rsid w:val="083DA920"/>
    <w:rsid w:val="08419A4E"/>
    <w:rsid w:val="084307B8"/>
    <w:rsid w:val="08543902"/>
    <w:rsid w:val="087BA43B"/>
    <w:rsid w:val="08911816"/>
    <w:rsid w:val="08AE25B6"/>
    <w:rsid w:val="08B39327"/>
    <w:rsid w:val="08B94D1C"/>
    <w:rsid w:val="08C8FB55"/>
    <w:rsid w:val="08CB2961"/>
    <w:rsid w:val="08D1D4A5"/>
    <w:rsid w:val="08D8A592"/>
    <w:rsid w:val="08E4C43E"/>
    <w:rsid w:val="08F0A3CC"/>
    <w:rsid w:val="08FDC33C"/>
    <w:rsid w:val="0905F43D"/>
    <w:rsid w:val="090A9540"/>
    <w:rsid w:val="090CC146"/>
    <w:rsid w:val="09100F75"/>
    <w:rsid w:val="0919A7FF"/>
    <w:rsid w:val="092180BA"/>
    <w:rsid w:val="0922C0A9"/>
    <w:rsid w:val="0934F3E3"/>
    <w:rsid w:val="094921C0"/>
    <w:rsid w:val="09520BF9"/>
    <w:rsid w:val="095323CE"/>
    <w:rsid w:val="09743E25"/>
    <w:rsid w:val="0976DC9A"/>
    <w:rsid w:val="09935CB4"/>
    <w:rsid w:val="0995A7B9"/>
    <w:rsid w:val="09A344F4"/>
    <w:rsid w:val="09C23565"/>
    <w:rsid w:val="09C3CC41"/>
    <w:rsid w:val="09D65BBA"/>
    <w:rsid w:val="09DDF5F0"/>
    <w:rsid w:val="09E8A0EA"/>
    <w:rsid w:val="09EDE49C"/>
    <w:rsid w:val="09F33653"/>
    <w:rsid w:val="0A06B799"/>
    <w:rsid w:val="0A19C2B4"/>
    <w:rsid w:val="0A33D9DE"/>
    <w:rsid w:val="0A41AD37"/>
    <w:rsid w:val="0A4AC062"/>
    <w:rsid w:val="0A6542AE"/>
    <w:rsid w:val="0A6D3CF4"/>
    <w:rsid w:val="0A787538"/>
    <w:rsid w:val="0A7DA3E6"/>
    <w:rsid w:val="0A8058B1"/>
    <w:rsid w:val="0A8156DA"/>
    <w:rsid w:val="0A9309AE"/>
    <w:rsid w:val="0AB27C76"/>
    <w:rsid w:val="0AB832A4"/>
    <w:rsid w:val="0AC0BF11"/>
    <w:rsid w:val="0AC34E90"/>
    <w:rsid w:val="0ACDD0E9"/>
    <w:rsid w:val="0AE547B7"/>
    <w:rsid w:val="0AF59AEF"/>
    <w:rsid w:val="0AFE62C2"/>
    <w:rsid w:val="0B01ABC2"/>
    <w:rsid w:val="0B158427"/>
    <w:rsid w:val="0B218641"/>
    <w:rsid w:val="0B2BCBC2"/>
    <w:rsid w:val="0B4DCA58"/>
    <w:rsid w:val="0B5ADBA3"/>
    <w:rsid w:val="0B6B1356"/>
    <w:rsid w:val="0B7E6A99"/>
    <w:rsid w:val="0B964633"/>
    <w:rsid w:val="0BCB16B8"/>
    <w:rsid w:val="0BD3EC90"/>
    <w:rsid w:val="0BD46D05"/>
    <w:rsid w:val="0BF65112"/>
    <w:rsid w:val="0C14D304"/>
    <w:rsid w:val="0C28DFDF"/>
    <w:rsid w:val="0C3F526D"/>
    <w:rsid w:val="0C8B6963"/>
    <w:rsid w:val="0CB06184"/>
    <w:rsid w:val="0CC78DEF"/>
    <w:rsid w:val="0CCF71D3"/>
    <w:rsid w:val="0CDB4A66"/>
    <w:rsid w:val="0CE7774B"/>
    <w:rsid w:val="0CEC73E6"/>
    <w:rsid w:val="0CFC511A"/>
    <w:rsid w:val="0D038123"/>
    <w:rsid w:val="0D280E42"/>
    <w:rsid w:val="0D2A6713"/>
    <w:rsid w:val="0D2E77FE"/>
    <w:rsid w:val="0D35133C"/>
    <w:rsid w:val="0D35D282"/>
    <w:rsid w:val="0D3A34FA"/>
    <w:rsid w:val="0D6E5459"/>
    <w:rsid w:val="0D6FC48C"/>
    <w:rsid w:val="0D89FED7"/>
    <w:rsid w:val="0D93A577"/>
    <w:rsid w:val="0D97939E"/>
    <w:rsid w:val="0DA1F0F3"/>
    <w:rsid w:val="0DAF6B40"/>
    <w:rsid w:val="0DC14303"/>
    <w:rsid w:val="0DC9118E"/>
    <w:rsid w:val="0DE69252"/>
    <w:rsid w:val="0E013EC7"/>
    <w:rsid w:val="0E0571AB"/>
    <w:rsid w:val="0E20BB9F"/>
    <w:rsid w:val="0E21C821"/>
    <w:rsid w:val="0E2630C4"/>
    <w:rsid w:val="0E2694F1"/>
    <w:rsid w:val="0E278F6C"/>
    <w:rsid w:val="0E33A0D7"/>
    <w:rsid w:val="0E606B88"/>
    <w:rsid w:val="0E61A678"/>
    <w:rsid w:val="0E67ED21"/>
    <w:rsid w:val="0E6A5728"/>
    <w:rsid w:val="0E6C9E2D"/>
    <w:rsid w:val="0E73D16E"/>
    <w:rsid w:val="0E7CEE79"/>
    <w:rsid w:val="0E8D690A"/>
    <w:rsid w:val="0E95A688"/>
    <w:rsid w:val="0E9BBD19"/>
    <w:rsid w:val="0EA948B7"/>
    <w:rsid w:val="0EAC4B28"/>
    <w:rsid w:val="0EC74E2C"/>
    <w:rsid w:val="0ED10206"/>
    <w:rsid w:val="0ED2E409"/>
    <w:rsid w:val="0ED97E7A"/>
    <w:rsid w:val="0EFDDF02"/>
    <w:rsid w:val="0F03344E"/>
    <w:rsid w:val="0F0F9009"/>
    <w:rsid w:val="0F2FA38C"/>
    <w:rsid w:val="0F4BD290"/>
    <w:rsid w:val="0F54175D"/>
    <w:rsid w:val="0F6A1531"/>
    <w:rsid w:val="0F6C0AFF"/>
    <w:rsid w:val="0F722211"/>
    <w:rsid w:val="0F9D0F28"/>
    <w:rsid w:val="0FA04CEB"/>
    <w:rsid w:val="0FA91765"/>
    <w:rsid w:val="0FC9ACCD"/>
    <w:rsid w:val="0FDAB44C"/>
    <w:rsid w:val="0FEA45B1"/>
    <w:rsid w:val="0FED31FD"/>
    <w:rsid w:val="0FF77C55"/>
    <w:rsid w:val="0FF9E69D"/>
    <w:rsid w:val="0FFA9283"/>
    <w:rsid w:val="0FFCBAF3"/>
    <w:rsid w:val="100E0301"/>
    <w:rsid w:val="1024ACBB"/>
    <w:rsid w:val="10331699"/>
    <w:rsid w:val="10626074"/>
    <w:rsid w:val="10688C26"/>
    <w:rsid w:val="10832ED1"/>
    <w:rsid w:val="10A9596F"/>
    <w:rsid w:val="10AA44C6"/>
    <w:rsid w:val="10BA364F"/>
    <w:rsid w:val="10CB855D"/>
    <w:rsid w:val="10D18F8B"/>
    <w:rsid w:val="10D5236D"/>
    <w:rsid w:val="10E37ECA"/>
    <w:rsid w:val="10F480ED"/>
    <w:rsid w:val="1107DB60"/>
    <w:rsid w:val="1107EC13"/>
    <w:rsid w:val="11102372"/>
    <w:rsid w:val="1116ABA4"/>
    <w:rsid w:val="1138DF89"/>
    <w:rsid w:val="1139DDCE"/>
    <w:rsid w:val="11469A4C"/>
    <w:rsid w:val="114D8B0D"/>
    <w:rsid w:val="1152B16A"/>
    <w:rsid w:val="115DB317"/>
    <w:rsid w:val="115E276E"/>
    <w:rsid w:val="116290A1"/>
    <w:rsid w:val="116743FC"/>
    <w:rsid w:val="11A98DF1"/>
    <w:rsid w:val="11AB1BF7"/>
    <w:rsid w:val="11AD3DE9"/>
    <w:rsid w:val="11AE5D1A"/>
    <w:rsid w:val="11AEAFF6"/>
    <w:rsid w:val="11B77173"/>
    <w:rsid w:val="11CD474A"/>
    <w:rsid w:val="11D6354F"/>
    <w:rsid w:val="11DC6129"/>
    <w:rsid w:val="12084F17"/>
    <w:rsid w:val="1216382D"/>
    <w:rsid w:val="1223FC42"/>
    <w:rsid w:val="1226410A"/>
    <w:rsid w:val="1228B7C3"/>
    <w:rsid w:val="122AA9E8"/>
    <w:rsid w:val="1239ABAB"/>
    <w:rsid w:val="1246F400"/>
    <w:rsid w:val="12557EB3"/>
    <w:rsid w:val="12659296"/>
    <w:rsid w:val="12743B54"/>
    <w:rsid w:val="12753696"/>
    <w:rsid w:val="1290145C"/>
    <w:rsid w:val="12A3ABC1"/>
    <w:rsid w:val="12AAF1C3"/>
    <w:rsid w:val="12ACBF73"/>
    <w:rsid w:val="12B858EF"/>
    <w:rsid w:val="12C2436C"/>
    <w:rsid w:val="12C68146"/>
    <w:rsid w:val="12CA7314"/>
    <w:rsid w:val="12CFCBC6"/>
    <w:rsid w:val="12D4AFEA"/>
    <w:rsid w:val="12D6D83F"/>
    <w:rsid w:val="12DE3941"/>
    <w:rsid w:val="12FED9D2"/>
    <w:rsid w:val="130894EB"/>
    <w:rsid w:val="1310BC05"/>
    <w:rsid w:val="13303B07"/>
    <w:rsid w:val="133F17FE"/>
    <w:rsid w:val="134A2D7B"/>
    <w:rsid w:val="13541ABB"/>
    <w:rsid w:val="13595249"/>
    <w:rsid w:val="1363B6B9"/>
    <w:rsid w:val="136E5526"/>
    <w:rsid w:val="137118E5"/>
    <w:rsid w:val="137692BC"/>
    <w:rsid w:val="137C479E"/>
    <w:rsid w:val="138F4167"/>
    <w:rsid w:val="13C2CD4F"/>
    <w:rsid w:val="13C3118F"/>
    <w:rsid w:val="13C59A6E"/>
    <w:rsid w:val="13DC3B95"/>
    <w:rsid w:val="13EA2A9E"/>
    <w:rsid w:val="13F11160"/>
    <w:rsid w:val="13FE0C73"/>
    <w:rsid w:val="1413191B"/>
    <w:rsid w:val="141B5A53"/>
    <w:rsid w:val="1438B0D9"/>
    <w:rsid w:val="1439AA9A"/>
    <w:rsid w:val="149141E2"/>
    <w:rsid w:val="14A449F8"/>
    <w:rsid w:val="14A94292"/>
    <w:rsid w:val="14B385BA"/>
    <w:rsid w:val="14B4EDFD"/>
    <w:rsid w:val="14CCBB43"/>
    <w:rsid w:val="14D995E1"/>
    <w:rsid w:val="14DF04D6"/>
    <w:rsid w:val="14E9398A"/>
    <w:rsid w:val="15007F5F"/>
    <w:rsid w:val="1504F476"/>
    <w:rsid w:val="1505F8DA"/>
    <w:rsid w:val="150B9559"/>
    <w:rsid w:val="15101091"/>
    <w:rsid w:val="1511FB29"/>
    <w:rsid w:val="151401EB"/>
    <w:rsid w:val="151817FF"/>
    <w:rsid w:val="152586E8"/>
    <w:rsid w:val="15326464"/>
    <w:rsid w:val="15362030"/>
    <w:rsid w:val="1548364B"/>
    <w:rsid w:val="15580D2F"/>
    <w:rsid w:val="15608A1D"/>
    <w:rsid w:val="1569EEE0"/>
    <w:rsid w:val="15725DA5"/>
    <w:rsid w:val="1589F26B"/>
    <w:rsid w:val="15995F26"/>
    <w:rsid w:val="159CC9CB"/>
    <w:rsid w:val="15BEB2CB"/>
    <w:rsid w:val="15C18391"/>
    <w:rsid w:val="15CBC131"/>
    <w:rsid w:val="15DD5673"/>
    <w:rsid w:val="15E09237"/>
    <w:rsid w:val="15EFDF56"/>
    <w:rsid w:val="1603AC29"/>
    <w:rsid w:val="160A68F4"/>
    <w:rsid w:val="1615DA03"/>
    <w:rsid w:val="16176B03"/>
    <w:rsid w:val="16234D3D"/>
    <w:rsid w:val="165FF109"/>
    <w:rsid w:val="1682AC91"/>
    <w:rsid w:val="16984919"/>
    <w:rsid w:val="16A0603B"/>
    <w:rsid w:val="16A0B86D"/>
    <w:rsid w:val="16A8BCD4"/>
    <w:rsid w:val="16EE88FE"/>
    <w:rsid w:val="16F11E49"/>
    <w:rsid w:val="1702CD7C"/>
    <w:rsid w:val="172DB8B6"/>
    <w:rsid w:val="1769218C"/>
    <w:rsid w:val="1773972E"/>
    <w:rsid w:val="1783543D"/>
    <w:rsid w:val="178CB77B"/>
    <w:rsid w:val="17A17202"/>
    <w:rsid w:val="17A2F4A8"/>
    <w:rsid w:val="17B08490"/>
    <w:rsid w:val="17B1AA64"/>
    <w:rsid w:val="17B34717"/>
    <w:rsid w:val="17B44177"/>
    <w:rsid w:val="17C7C617"/>
    <w:rsid w:val="17CAFE5F"/>
    <w:rsid w:val="17E01EC5"/>
    <w:rsid w:val="1815545B"/>
    <w:rsid w:val="18262420"/>
    <w:rsid w:val="1830777A"/>
    <w:rsid w:val="183C88CE"/>
    <w:rsid w:val="184B0640"/>
    <w:rsid w:val="184E36D2"/>
    <w:rsid w:val="185275A5"/>
    <w:rsid w:val="18741E17"/>
    <w:rsid w:val="187BDAE7"/>
    <w:rsid w:val="1882E9FB"/>
    <w:rsid w:val="189371DA"/>
    <w:rsid w:val="18964BDF"/>
    <w:rsid w:val="189E0FBF"/>
    <w:rsid w:val="18AEB31E"/>
    <w:rsid w:val="18B40093"/>
    <w:rsid w:val="18DA9BB7"/>
    <w:rsid w:val="18E0EC45"/>
    <w:rsid w:val="190175B5"/>
    <w:rsid w:val="1903248A"/>
    <w:rsid w:val="190593D9"/>
    <w:rsid w:val="19082679"/>
    <w:rsid w:val="191C9A6D"/>
    <w:rsid w:val="192FDF57"/>
    <w:rsid w:val="1948BE1D"/>
    <w:rsid w:val="194BC5B6"/>
    <w:rsid w:val="1967D68A"/>
    <w:rsid w:val="1997E99B"/>
    <w:rsid w:val="19AA1723"/>
    <w:rsid w:val="19AE9AD9"/>
    <w:rsid w:val="19DA7639"/>
    <w:rsid w:val="1A2663A2"/>
    <w:rsid w:val="1A3178C3"/>
    <w:rsid w:val="1A32A03D"/>
    <w:rsid w:val="1A374B41"/>
    <w:rsid w:val="1A4A72E2"/>
    <w:rsid w:val="1A552111"/>
    <w:rsid w:val="1A7B4965"/>
    <w:rsid w:val="1A9D4616"/>
    <w:rsid w:val="1AB72BC1"/>
    <w:rsid w:val="1ABAB7F2"/>
    <w:rsid w:val="1AC8C31E"/>
    <w:rsid w:val="1AD5617C"/>
    <w:rsid w:val="1ADFDFC4"/>
    <w:rsid w:val="1AE78DDA"/>
    <w:rsid w:val="1AE85923"/>
    <w:rsid w:val="1B0080DE"/>
    <w:rsid w:val="1B0195B0"/>
    <w:rsid w:val="1B01D3F5"/>
    <w:rsid w:val="1B02639A"/>
    <w:rsid w:val="1B0D8253"/>
    <w:rsid w:val="1B213983"/>
    <w:rsid w:val="1B25B958"/>
    <w:rsid w:val="1B29166A"/>
    <w:rsid w:val="1B2FD999"/>
    <w:rsid w:val="1B3350F4"/>
    <w:rsid w:val="1B6913BC"/>
    <w:rsid w:val="1B6DA89C"/>
    <w:rsid w:val="1B83436F"/>
    <w:rsid w:val="1BA60626"/>
    <w:rsid w:val="1BA8C3A5"/>
    <w:rsid w:val="1BB150DD"/>
    <w:rsid w:val="1BB8D663"/>
    <w:rsid w:val="1BCED48D"/>
    <w:rsid w:val="1BE735A6"/>
    <w:rsid w:val="1BF9F72F"/>
    <w:rsid w:val="1C007DCB"/>
    <w:rsid w:val="1C0571DC"/>
    <w:rsid w:val="1C0714C7"/>
    <w:rsid w:val="1C08B880"/>
    <w:rsid w:val="1C1C24A9"/>
    <w:rsid w:val="1C21D697"/>
    <w:rsid w:val="1C290C25"/>
    <w:rsid w:val="1C33B8BF"/>
    <w:rsid w:val="1C4655DE"/>
    <w:rsid w:val="1C624592"/>
    <w:rsid w:val="1C717200"/>
    <w:rsid w:val="1C718154"/>
    <w:rsid w:val="1C72C23F"/>
    <w:rsid w:val="1C9793EF"/>
    <w:rsid w:val="1CA1ADAE"/>
    <w:rsid w:val="1CA37FE0"/>
    <w:rsid w:val="1CA4709B"/>
    <w:rsid w:val="1CA65821"/>
    <w:rsid w:val="1CAC7893"/>
    <w:rsid w:val="1CBE7AF9"/>
    <w:rsid w:val="1CF37099"/>
    <w:rsid w:val="1CFF711D"/>
    <w:rsid w:val="1D0BAA66"/>
    <w:rsid w:val="1D255358"/>
    <w:rsid w:val="1D34A89F"/>
    <w:rsid w:val="1D38C356"/>
    <w:rsid w:val="1D4A42D3"/>
    <w:rsid w:val="1D555AE2"/>
    <w:rsid w:val="1D5992A3"/>
    <w:rsid w:val="1D692A25"/>
    <w:rsid w:val="1D7180E2"/>
    <w:rsid w:val="1D797964"/>
    <w:rsid w:val="1D925C07"/>
    <w:rsid w:val="1DA6DCA2"/>
    <w:rsid w:val="1DB9D322"/>
    <w:rsid w:val="1DBBFC59"/>
    <w:rsid w:val="1E052540"/>
    <w:rsid w:val="1E09603E"/>
    <w:rsid w:val="1E1972FC"/>
    <w:rsid w:val="1E19C8AB"/>
    <w:rsid w:val="1E1A6F01"/>
    <w:rsid w:val="1E2382FB"/>
    <w:rsid w:val="1E2E2895"/>
    <w:rsid w:val="1E38F44D"/>
    <w:rsid w:val="1E39CDEA"/>
    <w:rsid w:val="1E5038B8"/>
    <w:rsid w:val="1E5B6FC3"/>
    <w:rsid w:val="1E6A5A3E"/>
    <w:rsid w:val="1E6C29A9"/>
    <w:rsid w:val="1E70CDD6"/>
    <w:rsid w:val="1E750C52"/>
    <w:rsid w:val="1E874D1D"/>
    <w:rsid w:val="1EB81673"/>
    <w:rsid w:val="1EE6FC17"/>
    <w:rsid w:val="1F061160"/>
    <w:rsid w:val="1F1225FE"/>
    <w:rsid w:val="1F1C89AB"/>
    <w:rsid w:val="1F1E8D6C"/>
    <w:rsid w:val="1F28AA1E"/>
    <w:rsid w:val="1F303202"/>
    <w:rsid w:val="1F44125E"/>
    <w:rsid w:val="1F482B6F"/>
    <w:rsid w:val="1F4DCAA4"/>
    <w:rsid w:val="1F58BB6E"/>
    <w:rsid w:val="1F60DA87"/>
    <w:rsid w:val="1F6B18F2"/>
    <w:rsid w:val="1F6EEDAD"/>
    <w:rsid w:val="1F880F17"/>
    <w:rsid w:val="1FB40C09"/>
    <w:rsid w:val="1FBA4344"/>
    <w:rsid w:val="1FD67908"/>
    <w:rsid w:val="1FD780D8"/>
    <w:rsid w:val="1FEE2CDF"/>
    <w:rsid w:val="1FF2F64C"/>
    <w:rsid w:val="1FF5FA59"/>
    <w:rsid w:val="1FFC120A"/>
    <w:rsid w:val="20021EAF"/>
    <w:rsid w:val="20155C20"/>
    <w:rsid w:val="20204D2A"/>
    <w:rsid w:val="20387158"/>
    <w:rsid w:val="20476D3D"/>
    <w:rsid w:val="205C084D"/>
    <w:rsid w:val="2065A6BE"/>
    <w:rsid w:val="20706BE8"/>
    <w:rsid w:val="208501C7"/>
    <w:rsid w:val="208942FD"/>
    <w:rsid w:val="208C642C"/>
    <w:rsid w:val="20AC5B2C"/>
    <w:rsid w:val="20BFC893"/>
    <w:rsid w:val="20CC711C"/>
    <w:rsid w:val="20CD6852"/>
    <w:rsid w:val="20DB7205"/>
    <w:rsid w:val="20DB9940"/>
    <w:rsid w:val="20F86450"/>
    <w:rsid w:val="20F873A4"/>
    <w:rsid w:val="20FF58D9"/>
    <w:rsid w:val="20FF6410"/>
    <w:rsid w:val="2105EFD5"/>
    <w:rsid w:val="21314F28"/>
    <w:rsid w:val="213DAF93"/>
    <w:rsid w:val="21434FB3"/>
    <w:rsid w:val="21638FD6"/>
    <w:rsid w:val="217F50CD"/>
    <w:rsid w:val="218154BB"/>
    <w:rsid w:val="21826182"/>
    <w:rsid w:val="218F7EE8"/>
    <w:rsid w:val="2194DCB5"/>
    <w:rsid w:val="21980A18"/>
    <w:rsid w:val="21AA5B9F"/>
    <w:rsid w:val="21C9E056"/>
    <w:rsid w:val="21D1DF4A"/>
    <w:rsid w:val="21DF0B0D"/>
    <w:rsid w:val="22458A43"/>
    <w:rsid w:val="2246AAE5"/>
    <w:rsid w:val="2268BD37"/>
    <w:rsid w:val="226DF960"/>
    <w:rsid w:val="2280C850"/>
    <w:rsid w:val="22840C24"/>
    <w:rsid w:val="228BCBA6"/>
    <w:rsid w:val="22951645"/>
    <w:rsid w:val="22958312"/>
    <w:rsid w:val="22987B49"/>
    <w:rsid w:val="229B9130"/>
    <w:rsid w:val="22A0654C"/>
    <w:rsid w:val="22A40F05"/>
    <w:rsid w:val="22A69E88"/>
    <w:rsid w:val="22B9C1D1"/>
    <w:rsid w:val="22BAACA6"/>
    <w:rsid w:val="22BFD52E"/>
    <w:rsid w:val="22D5395C"/>
    <w:rsid w:val="22D570D6"/>
    <w:rsid w:val="22F7DEF4"/>
    <w:rsid w:val="22FD57C3"/>
    <w:rsid w:val="231B48AD"/>
    <w:rsid w:val="232B7345"/>
    <w:rsid w:val="23323985"/>
    <w:rsid w:val="234179D1"/>
    <w:rsid w:val="23475A9C"/>
    <w:rsid w:val="234CFCE2"/>
    <w:rsid w:val="23694D69"/>
    <w:rsid w:val="236E778F"/>
    <w:rsid w:val="23798276"/>
    <w:rsid w:val="2394077C"/>
    <w:rsid w:val="239980A2"/>
    <w:rsid w:val="239C1AEE"/>
    <w:rsid w:val="23A0D08A"/>
    <w:rsid w:val="23A9A821"/>
    <w:rsid w:val="23AF5220"/>
    <w:rsid w:val="23C99077"/>
    <w:rsid w:val="23CB04AE"/>
    <w:rsid w:val="23D5231F"/>
    <w:rsid w:val="23E2EEC7"/>
    <w:rsid w:val="23EFEE8B"/>
    <w:rsid w:val="23F11D1E"/>
    <w:rsid w:val="23FB0B12"/>
    <w:rsid w:val="241725B1"/>
    <w:rsid w:val="24261558"/>
    <w:rsid w:val="2427AA68"/>
    <w:rsid w:val="242A7989"/>
    <w:rsid w:val="243CE9CB"/>
    <w:rsid w:val="243E8A15"/>
    <w:rsid w:val="245AE998"/>
    <w:rsid w:val="24638F70"/>
    <w:rsid w:val="24643FBD"/>
    <w:rsid w:val="24699B6A"/>
    <w:rsid w:val="246A2972"/>
    <w:rsid w:val="2482F0CD"/>
    <w:rsid w:val="2485E604"/>
    <w:rsid w:val="2494C636"/>
    <w:rsid w:val="24A9625D"/>
    <w:rsid w:val="24B306A1"/>
    <w:rsid w:val="24C7FB49"/>
    <w:rsid w:val="24C8E0C2"/>
    <w:rsid w:val="24CB19A2"/>
    <w:rsid w:val="24D20755"/>
    <w:rsid w:val="24F8DCAD"/>
    <w:rsid w:val="24FA7A73"/>
    <w:rsid w:val="24FB6C63"/>
    <w:rsid w:val="2513567C"/>
    <w:rsid w:val="25198056"/>
    <w:rsid w:val="2526AF10"/>
    <w:rsid w:val="254257CA"/>
    <w:rsid w:val="2551E927"/>
    <w:rsid w:val="25621BA0"/>
    <w:rsid w:val="256D93A5"/>
    <w:rsid w:val="256DADAA"/>
    <w:rsid w:val="2578CEF8"/>
    <w:rsid w:val="2593F4BC"/>
    <w:rsid w:val="259D69D9"/>
    <w:rsid w:val="25AEB5FA"/>
    <w:rsid w:val="25BC2557"/>
    <w:rsid w:val="25BDED37"/>
    <w:rsid w:val="25BEBA86"/>
    <w:rsid w:val="25C1A65C"/>
    <w:rsid w:val="25C37AC9"/>
    <w:rsid w:val="25D8AE42"/>
    <w:rsid w:val="25F0457A"/>
    <w:rsid w:val="25FA187F"/>
    <w:rsid w:val="26103907"/>
    <w:rsid w:val="2616C0AF"/>
    <w:rsid w:val="2617C0EB"/>
    <w:rsid w:val="262B6BD5"/>
    <w:rsid w:val="265E18A0"/>
    <w:rsid w:val="266BEA94"/>
    <w:rsid w:val="26800BE1"/>
    <w:rsid w:val="268E2687"/>
    <w:rsid w:val="26991B16"/>
    <w:rsid w:val="26A25178"/>
    <w:rsid w:val="26AF2023"/>
    <w:rsid w:val="26C2F018"/>
    <w:rsid w:val="26C71B37"/>
    <w:rsid w:val="26C7357A"/>
    <w:rsid w:val="26D54347"/>
    <w:rsid w:val="26E5A8BC"/>
    <w:rsid w:val="26ED3CB4"/>
    <w:rsid w:val="2707673F"/>
    <w:rsid w:val="2730F40D"/>
    <w:rsid w:val="273D42AA"/>
    <w:rsid w:val="2743684F"/>
    <w:rsid w:val="2755B6DF"/>
    <w:rsid w:val="2760220D"/>
    <w:rsid w:val="278C15DB"/>
    <w:rsid w:val="278E8055"/>
    <w:rsid w:val="2797160C"/>
    <w:rsid w:val="279BFF23"/>
    <w:rsid w:val="279DF72F"/>
    <w:rsid w:val="27C75E60"/>
    <w:rsid w:val="27CA6541"/>
    <w:rsid w:val="27CB4897"/>
    <w:rsid w:val="27CDA457"/>
    <w:rsid w:val="27D7B99F"/>
    <w:rsid w:val="27E5E731"/>
    <w:rsid w:val="280B752A"/>
    <w:rsid w:val="280CBBE8"/>
    <w:rsid w:val="2814EAF4"/>
    <w:rsid w:val="281F4CD3"/>
    <w:rsid w:val="28206E05"/>
    <w:rsid w:val="282476AF"/>
    <w:rsid w:val="2838950E"/>
    <w:rsid w:val="284806FE"/>
    <w:rsid w:val="28489E1A"/>
    <w:rsid w:val="28558DA5"/>
    <w:rsid w:val="285E9D1D"/>
    <w:rsid w:val="28619DB8"/>
    <w:rsid w:val="2864ED06"/>
    <w:rsid w:val="286991A0"/>
    <w:rsid w:val="289522B6"/>
    <w:rsid w:val="28A4DB18"/>
    <w:rsid w:val="28A8832F"/>
    <w:rsid w:val="28AFF391"/>
    <w:rsid w:val="28BD77D7"/>
    <w:rsid w:val="28C96546"/>
    <w:rsid w:val="28CECB1C"/>
    <w:rsid w:val="28EACF35"/>
    <w:rsid w:val="28FA9D08"/>
    <w:rsid w:val="290712A5"/>
    <w:rsid w:val="2911FB38"/>
    <w:rsid w:val="29186CF8"/>
    <w:rsid w:val="2923EBCA"/>
    <w:rsid w:val="2929EE2A"/>
    <w:rsid w:val="292A040F"/>
    <w:rsid w:val="292ACA01"/>
    <w:rsid w:val="292D5955"/>
    <w:rsid w:val="292F8DC3"/>
    <w:rsid w:val="2932BE37"/>
    <w:rsid w:val="2939E149"/>
    <w:rsid w:val="294FC9AB"/>
    <w:rsid w:val="295370EA"/>
    <w:rsid w:val="295C7B52"/>
    <w:rsid w:val="29625AA1"/>
    <w:rsid w:val="29673CDF"/>
    <w:rsid w:val="296E0841"/>
    <w:rsid w:val="298B44C7"/>
    <w:rsid w:val="299F8F1F"/>
    <w:rsid w:val="29AF25A3"/>
    <w:rsid w:val="29B4C87F"/>
    <w:rsid w:val="29BC25B0"/>
    <w:rsid w:val="29E72562"/>
    <w:rsid w:val="2A10BA96"/>
    <w:rsid w:val="2A26812A"/>
    <w:rsid w:val="2A2D86B2"/>
    <w:rsid w:val="2A602FD6"/>
    <w:rsid w:val="2A678F4E"/>
    <w:rsid w:val="2A6894CF"/>
    <w:rsid w:val="2A83B76F"/>
    <w:rsid w:val="2A885F73"/>
    <w:rsid w:val="2A974EBB"/>
    <w:rsid w:val="2AA71C43"/>
    <w:rsid w:val="2AAA8BCE"/>
    <w:rsid w:val="2AAB4504"/>
    <w:rsid w:val="2AAE07E2"/>
    <w:rsid w:val="2ABE44BB"/>
    <w:rsid w:val="2AC1BEDC"/>
    <w:rsid w:val="2AC3B69D"/>
    <w:rsid w:val="2ACBDFDB"/>
    <w:rsid w:val="2AD8A9E2"/>
    <w:rsid w:val="2ADC4782"/>
    <w:rsid w:val="2AE57562"/>
    <w:rsid w:val="2AEBDDB8"/>
    <w:rsid w:val="2B019ACF"/>
    <w:rsid w:val="2B101A75"/>
    <w:rsid w:val="2B226DFF"/>
    <w:rsid w:val="2B22ACCC"/>
    <w:rsid w:val="2B3B3B21"/>
    <w:rsid w:val="2B3CE717"/>
    <w:rsid w:val="2B55E8A4"/>
    <w:rsid w:val="2B5746BC"/>
    <w:rsid w:val="2B59B6D0"/>
    <w:rsid w:val="2B61AF6E"/>
    <w:rsid w:val="2B729241"/>
    <w:rsid w:val="2B757F91"/>
    <w:rsid w:val="2B7AEC04"/>
    <w:rsid w:val="2B8E0476"/>
    <w:rsid w:val="2B975021"/>
    <w:rsid w:val="2BA18E8C"/>
    <w:rsid w:val="2BA5E86C"/>
    <w:rsid w:val="2BCEA4DA"/>
    <w:rsid w:val="2BDE1C03"/>
    <w:rsid w:val="2BF5C814"/>
    <w:rsid w:val="2C0F8267"/>
    <w:rsid w:val="2C1B4302"/>
    <w:rsid w:val="2C1D3F68"/>
    <w:rsid w:val="2C2C8E9C"/>
    <w:rsid w:val="2C36FF7B"/>
    <w:rsid w:val="2C499BFA"/>
    <w:rsid w:val="2C554AC7"/>
    <w:rsid w:val="2C62F0EB"/>
    <w:rsid w:val="2C6A5EF9"/>
    <w:rsid w:val="2C71023B"/>
    <w:rsid w:val="2C78A683"/>
    <w:rsid w:val="2C8C6A7B"/>
    <w:rsid w:val="2C9A4A1A"/>
    <w:rsid w:val="2CA209F4"/>
    <w:rsid w:val="2CB967FD"/>
    <w:rsid w:val="2CBD810E"/>
    <w:rsid w:val="2CCC5049"/>
    <w:rsid w:val="2CDD15FA"/>
    <w:rsid w:val="2CE3CB31"/>
    <w:rsid w:val="2CE85C17"/>
    <w:rsid w:val="2CF1E839"/>
    <w:rsid w:val="2D185BE7"/>
    <w:rsid w:val="2D1ED125"/>
    <w:rsid w:val="2D306999"/>
    <w:rsid w:val="2D339915"/>
    <w:rsid w:val="2D3BA1FD"/>
    <w:rsid w:val="2D525338"/>
    <w:rsid w:val="2D5A71E5"/>
    <w:rsid w:val="2D5D297D"/>
    <w:rsid w:val="2D65EB13"/>
    <w:rsid w:val="2D744E33"/>
    <w:rsid w:val="2D805B71"/>
    <w:rsid w:val="2D899327"/>
    <w:rsid w:val="2D93337F"/>
    <w:rsid w:val="2D967A78"/>
    <w:rsid w:val="2D9C12F7"/>
    <w:rsid w:val="2D9CD669"/>
    <w:rsid w:val="2DA57CDA"/>
    <w:rsid w:val="2DA73F74"/>
    <w:rsid w:val="2DBA427A"/>
    <w:rsid w:val="2DCD17BF"/>
    <w:rsid w:val="2DFD5F4D"/>
    <w:rsid w:val="2E29B8CD"/>
    <w:rsid w:val="2E39A6C5"/>
    <w:rsid w:val="2E47B0F6"/>
    <w:rsid w:val="2E4823CA"/>
    <w:rsid w:val="2E4B956F"/>
    <w:rsid w:val="2E5DAC5D"/>
    <w:rsid w:val="2E66415F"/>
    <w:rsid w:val="2E88DA26"/>
    <w:rsid w:val="2E89E4F1"/>
    <w:rsid w:val="2E966DA1"/>
    <w:rsid w:val="2E9B0E85"/>
    <w:rsid w:val="2EAB28FA"/>
    <w:rsid w:val="2EC8EAA1"/>
    <w:rsid w:val="2ED95952"/>
    <w:rsid w:val="2EF0EA86"/>
    <w:rsid w:val="2EF8A809"/>
    <w:rsid w:val="2EFB5465"/>
    <w:rsid w:val="2F01E553"/>
    <w:rsid w:val="2F0AAD29"/>
    <w:rsid w:val="2F45AD52"/>
    <w:rsid w:val="2F497337"/>
    <w:rsid w:val="2F51D2A5"/>
    <w:rsid w:val="2F57F04D"/>
    <w:rsid w:val="2F6337FA"/>
    <w:rsid w:val="2F7ED3BE"/>
    <w:rsid w:val="2F8A0762"/>
    <w:rsid w:val="2F8FE037"/>
    <w:rsid w:val="2FAC77D1"/>
    <w:rsid w:val="2FAE932D"/>
    <w:rsid w:val="2FD165BA"/>
    <w:rsid w:val="3008D056"/>
    <w:rsid w:val="300E175C"/>
    <w:rsid w:val="30152F17"/>
    <w:rsid w:val="301B1D77"/>
    <w:rsid w:val="3024C4FE"/>
    <w:rsid w:val="302A7084"/>
    <w:rsid w:val="3030ED94"/>
    <w:rsid w:val="3037230A"/>
    <w:rsid w:val="30385D8E"/>
    <w:rsid w:val="30446D46"/>
    <w:rsid w:val="3055972A"/>
    <w:rsid w:val="3065AC03"/>
    <w:rsid w:val="306E768B"/>
    <w:rsid w:val="308CBAE7"/>
    <w:rsid w:val="30A27D06"/>
    <w:rsid w:val="30B84528"/>
    <w:rsid w:val="30C1DA93"/>
    <w:rsid w:val="30DC14DE"/>
    <w:rsid w:val="30E026E0"/>
    <w:rsid w:val="30E15BE4"/>
    <w:rsid w:val="30E49FB8"/>
    <w:rsid w:val="30E5EB91"/>
    <w:rsid w:val="30E5F81A"/>
    <w:rsid w:val="30F89460"/>
    <w:rsid w:val="3105B3F7"/>
    <w:rsid w:val="311ABC38"/>
    <w:rsid w:val="31222E7E"/>
    <w:rsid w:val="3128F699"/>
    <w:rsid w:val="312AF76D"/>
    <w:rsid w:val="312B4E7D"/>
    <w:rsid w:val="313277C6"/>
    <w:rsid w:val="3145D424"/>
    <w:rsid w:val="314AD3EC"/>
    <w:rsid w:val="316BBE32"/>
    <w:rsid w:val="3178C5F3"/>
    <w:rsid w:val="319EA506"/>
    <w:rsid w:val="31A3482B"/>
    <w:rsid w:val="31C2944D"/>
    <w:rsid w:val="31C952B5"/>
    <w:rsid w:val="31DE0C25"/>
    <w:rsid w:val="31DF7F11"/>
    <w:rsid w:val="31F9F757"/>
    <w:rsid w:val="3209C4A9"/>
    <w:rsid w:val="320A3BB5"/>
    <w:rsid w:val="320A97DF"/>
    <w:rsid w:val="320CE235"/>
    <w:rsid w:val="32131AD9"/>
    <w:rsid w:val="3258C2DE"/>
    <w:rsid w:val="325BF0F9"/>
    <w:rsid w:val="32694A57"/>
    <w:rsid w:val="328D12B2"/>
    <w:rsid w:val="32A6A71A"/>
    <w:rsid w:val="32F84BD1"/>
    <w:rsid w:val="32F931D5"/>
    <w:rsid w:val="3313BD99"/>
    <w:rsid w:val="33157A2E"/>
    <w:rsid w:val="333F188C"/>
    <w:rsid w:val="33438D26"/>
    <w:rsid w:val="334550A5"/>
    <w:rsid w:val="334F829F"/>
    <w:rsid w:val="33534C63"/>
    <w:rsid w:val="33601908"/>
    <w:rsid w:val="33682801"/>
    <w:rsid w:val="33750141"/>
    <w:rsid w:val="339C6B31"/>
    <w:rsid w:val="33A7F59C"/>
    <w:rsid w:val="33D457A3"/>
    <w:rsid w:val="33D556C7"/>
    <w:rsid w:val="33D9259D"/>
    <w:rsid w:val="33FB6F76"/>
    <w:rsid w:val="33FF294C"/>
    <w:rsid w:val="3411E59C"/>
    <w:rsid w:val="34170468"/>
    <w:rsid w:val="3419294A"/>
    <w:rsid w:val="341D9B64"/>
    <w:rsid w:val="3421BEFD"/>
    <w:rsid w:val="342330E6"/>
    <w:rsid w:val="342DC91D"/>
    <w:rsid w:val="342F8FD8"/>
    <w:rsid w:val="343E1145"/>
    <w:rsid w:val="344393CF"/>
    <w:rsid w:val="3453B6F1"/>
    <w:rsid w:val="3455F436"/>
    <w:rsid w:val="34606867"/>
    <w:rsid w:val="34688474"/>
    <w:rsid w:val="3476434B"/>
    <w:rsid w:val="348FC2A6"/>
    <w:rsid w:val="349017AD"/>
    <w:rsid w:val="34A2A6DF"/>
    <w:rsid w:val="34AB7238"/>
    <w:rsid w:val="34AF37CC"/>
    <w:rsid w:val="34CD1844"/>
    <w:rsid w:val="34D6D872"/>
    <w:rsid w:val="34DC897A"/>
    <w:rsid w:val="34E231ED"/>
    <w:rsid w:val="34EF1CC4"/>
    <w:rsid w:val="350D22FD"/>
    <w:rsid w:val="352B6ED1"/>
    <w:rsid w:val="35328B6C"/>
    <w:rsid w:val="3539EFEC"/>
    <w:rsid w:val="353FFB21"/>
    <w:rsid w:val="354DCC87"/>
    <w:rsid w:val="358DCA1F"/>
    <w:rsid w:val="359044FD"/>
    <w:rsid w:val="359C42C7"/>
    <w:rsid w:val="35A4A625"/>
    <w:rsid w:val="35BD056B"/>
    <w:rsid w:val="35BFB565"/>
    <w:rsid w:val="35CC700F"/>
    <w:rsid w:val="35D4FB9F"/>
    <w:rsid w:val="35E9FA34"/>
    <w:rsid w:val="360F779A"/>
    <w:rsid w:val="36252DE1"/>
    <w:rsid w:val="363933D4"/>
    <w:rsid w:val="363E5AC5"/>
    <w:rsid w:val="3644B8AA"/>
    <w:rsid w:val="3668BE42"/>
    <w:rsid w:val="366DEFD7"/>
    <w:rsid w:val="3682510E"/>
    <w:rsid w:val="36912E05"/>
    <w:rsid w:val="36B0AE33"/>
    <w:rsid w:val="36C92C15"/>
    <w:rsid w:val="36D030A7"/>
    <w:rsid w:val="36D45770"/>
    <w:rsid w:val="36E3A125"/>
    <w:rsid w:val="36EF03C1"/>
    <w:rsid w:val="36F1BE71"/>
    <w:rsid w:val="36FECDB7"/>
    <w:rsid w:val="36FF76AE"/>
    <w:rsid w:val="3702223A"/>
    <w:rsid w:val="3702318E"/>
    <w:rsid w:val="3713207A"/>
    <w:rsid w:val="371B5572"/>
    <w:rsid w:val="37226060"/>
    <w:rsid w:val="37356FEF"/>
    <w:rsid w:val="3740F35A"/>
    <w:rsid w:val="3750BF37"/>
    <w:rsid w:val="376B4C93"/>
    <w:rsid w:val="376C4A5B"/>
    <w:rsid w:val="376FE679"/>
    <w:rsid w:val="377E1B47"/>
    <w:rsid w:val="378B113F"/>
    <w:rsid w:val="378BC0A1"/>
    <w:rsid w:val="37AFAF49"/>
    <w:rsid w:val="37CDC453"/>
    <w:rsid w:val="37CE9BD5"/>
    <w:rsid w:val="37D6DEAE"/>
    <w:rsid w:val="37E357E9"/>
    <w:rsid w:val="37F65FFF"/>
    <w:rsid w:val="38005DF0"/>
    <w:rsid w:val="380B3A1C"/>
    <w:rsid w:val="381B778D"/>
    <w:rsid w:val="38251D12"/>
    <w:rsid w:val="3843BA71"/>
    <w:rsid w:val="3852F404"/>
    <w:rsid w:val="38557F2B"/>
    <w:rsid w:val="385841B2"/>
    <w:rsid w:val="385F63F4"/>
    <w:rsid w:val="38A6D11F"/>
    <w:rsid w:val="38D73C61"/>
    <w:rsid w:val="38F1612A"/>
    <w:rsid w:val="390ECCF5"/>
    <w:rsid w:val="3910E47A"/>
    <w:rsid w:val="391DD738"/>
    <w:rsid w:val="394A1354"/>
    <w:rsid w:val="394D2802"/>
    <w:rsid w:val="394DD371"/>
    <w:rsid w:val="3951D862"/>
    <w:rsid w:val="39580B4B"/>
    <w:rsid w:val="39879A5F"/>
    <w:rsid w:val="3993D54D"/>
    <w:rsid w:val="399C8A8C"/>
    <w:rsid w:val="399D37E3"/>
    <w:rsid w:val="399D7AAB"/>
    <w:rsid w:val="39B7E632"/>
    <w:rsid w:val="39BC33B2"/>
    <w:rsid w:val="39C0E23C"/>
    <w:rsid w:val="39C214DB"/>
    <w:rsid w:val="39C24302"/>
    <w:rsid w:val="39C8E02B"/>
    <w:rsid w:val="39D52737"/>
    <w:rsid w:val="39FED408"/>
    <w:rsid w:val="3A0CFA41"/>
    <w:rsid w:val="3A23BCE5"/>
    <w:rsid w:val="3A4B5CBD"/>
    <w:rsid w:val="3A5139CA"/>
    <w:rsid w:val="3A52C11E"/>
    <w:rsid w:val="3A546C0B"/>
    <w:rsid w:val="3A56F402"/>
    <w:rsid w:val="3A753A1D"/>
    <w:rsid w:val="3A8563AA"/>
    <w:rsid w:val="3A95A167"/>
    <w:rsid w:val="3AA2ED55"/>
    <w:rsid w:val="3AA7873B"/>
    <w:rsid w:val="3AB409D8"/>
    <w:rsid w:val="3ABAFFAE"/>
    <w:rsid w:val="3AD1B933"/>
    <w:rsid w:val="3AD38474"/>
    <w:rsid w:val="3AD56A44"/>
    <w:rsid w:val="3AE8725A"/>
    <w:rsid w:val="3B18873E"/>
    <w:rsid w:val="3B1D1466"/>
    <w:rsid w:val="3B1DD15D"/>
    <w:rsid w:val="3B266809"/>
    <w:rsid w:val="3B3D95F3"/>
    <w:rsid w:val="3B4A3B7D"/>
    <w:rsid w:val="3B4E733D"/>
    <w:rsid w:val="3B733F3E"/>
    <w:rsid w:val="3B7B2E0E"/>
    <w:rsid w:val="3B861EDB"/>
    <w:rsid w:val="3B9C7773"/>
    <w:rsid w:val="3BED0A2B"/>
    <w:rsid w:val="3BF38117"/>
    <w:rsid w:val="3C093C31"/>
    <w:rsid w:val="3C0EC0C7"/>
    <w:rsid w:val="3C1311BC"/>
    <w:rsid w:val="3C15AD61"/>
    <w:rsid w:val="3C16D872"/>
    <w:rsid w:val="3C2589F0"/>
    <w:rsid w:val="3C39E6E9"/>
    <w:rsid w:val="3C43579C"/>
    <w:rsid w:val="3C634506"/>
    <w:rsid w:val="3CAC0F62"/>
    <w:rsid w:val="3CAC4CCB"/>
    <w:rsid w:val="3CB4555D"/>
    <w:rsid w:val="3CBA58DC"/>
    <w:rsid w:val="3CC93A36"/>
    <w:rsid w:val="3CDF0131"/>
    <w:rsid w:val="3CE694B9"/>
    <w:rsid w:val="3CEA439E"/>
    <w:rsid w:val="3CEB6605"/>
    <w:rsid w:val="3CEC39A3"/>
    <w:rsid w:val="3D11D7C2"/>
    <w:rsid w:val="3D2027E7"/>
    <w:rsid w:val="3D2102C8"/>
    <w:rsid w:val="3D21EF3C"/>
    <w:rsid w:val="3D23D56C"/>
    <w:rsid w:val="3D26ABF2"/>
    <w:rsid w:val="3D3847D4"/>
    <w:rsid w:val="3D564F51"/>
    <w:rsid w:val="3D69DFF7"/>
    <w:rsid w:val="3D72C93D"/>
    <w:rsid w:val="3D779F4C"/>
    <w:rsid w:val="3D7879A9"/>
    <w:rsid w:val="3D84DA74"/>
    <w:rsid w:val="3DAE50DF"/>
    <w:rsid w:val="3DB7ACFA"/>
    <w:rsid w:val="3DBF053B"/>
    <w:rsid w:val="3DC01B90"/>
    <w:rsid w:val="3DDA8E17"/>
    <w:rsid w:val="3DDC4446"/>
    <w:rsid w:val="3DE1D2B3"/>
    <w:rsid w:val="3DEDEC4D"/>
    <w:rsid w:val="3DEECF46"/>
    <w:rsid w:val="3E077677"/>
    <w:rsid w:val="3E0A32B0"/>
    <w:rsid w:val="3E1968AF"/>
    <w:rsid w:val="3E24B7B6"/>
    <w:rsid w:val="3E29B401"/>
    <w:rsid w:val="3E2F8341"/>
    <w:rsid w:val="3E3163AB"/>
    <w:rsid w:val="3E4B06DB"/>
    <w:rsid w:val="3E61160A"/>
    <w:rsid w:val="3E9FBFF1"/>
    <w:rsid w:val="3EA7D5EB"/>
    <w:rsid w:val="3EB0926D"/>
    <w:rsid w:val="3EBC2840"/>
    <w:rsid w:val="3ED89C22"/>
    <w:rsid w:val="3EEAD694"/>
    <w:rsid w:val="3EEFA4BD"/>
    <w:rsid w:val="3EF300DC"/>
    <w:rsid w:val="3EFAD9AC"/>
    <w:rsid w:val="3F052417"/>
    <w:rsid w:val="3F0614FF"/>
    <w:rsid w:val="3F0B0879"/>
    <w:rsid w:val="3F0C354E"/>
    <w:rsid w:val="3F321245"/>
    <w:rsid w:val="3F394BAD"/>
    <w:rsid w:val="3F505C29"/>
    <w:rsid w:val="3F601003"/>
    <w:rsid w:val="3F6F064E"/>
    <w:rsid w:val="3F73EC9E"/>
    <w:rsid w:val="3F74EAD8"/>
    <w:rsid w:val="3F765E78"/>
    <w:rsid w:val="3F7EC4A1"/>
    <w:rsid w:val="3F817340"/>
    <w:rsid w:val="3F919674"/>
    <w:rsid w:val="3F936DEF"/>
    <w:rsid w:val="3F9F4E0C"/>
    <w:rsid w:val="3FA4160A"/>
    <w:rsid w:val="3FBE538D"/>
    <w:rsid w:val="3FC777C6"/>
    <w:rsid w:val="3FFD017E"/>
    <w:rsid w:val="3FFE8E9A"/>
    <w:rsid w:val="40144FA6"/>
    <w:rsid w:val="4024DFED"/>
    <w:rsid w:val="403727E4"/>
    <w:rsid w:val="4039BBBE"/>
    <w:rsid w:val="40526DC8"/>
    <w:rsid w:val="405AF216"/>
    <w:rsid w:val="40620620"/>
    <w:rsid w:val="406B4BC6"/>
    <w:rsid w:val="406FE896"/>
    <w:rsid w:val="4080654E"/>
    <w:rsid w:val="409A222E"/>
    <w:rsid w:val="409C807B"/>
    <w:rsid w:val="409FCEBD"/>
    <w:rsid w:val="40A87125"/>
    <w:rsid w:val="40B87241"/>
    <w:rsid w:val="40C483F7"/>
    <w:rsid w:val="40C7018E"/>
    <w:rsid w:val="40CC9710"/>
    <w:rsid w:val="40CEAD43"/>
    <w:rsid w:val="40D8283D"/>
    <w:rsid w:val="40DAFD1C"/>
    <w:rsid w:val="40DC5AF6"/>
    <w:rsid w:val="40DD3C68"/>
    <w:rsid w:val="40DFEB8F"/>
    <w:rsid w:val="40E68B7E"/>
    <w:rsid w:val="40FDD762"/>
    <w:rsid w:val="410BE929"/>
    <w:rsid w:val="411056FF"/>
    <w:rsid w:val="4116CA11"/>
    <w:rsid w:val="411A8D88"/>
    <w:rsid w:val="41566A63"/>
    <w:rsid w:val="4157CF32"/>
    <w:rsid w:val="4165F381"/>
    <w:rsid w:val="416B6D58"/>
    <w:rsid w:val="416B8903"/>
    <w:rsid w:val="417CD52B"/>
    <w:rsid w:val="41836CB7"/>
    <w:rsid w:val="418B0A54"/>
    <w:rsid w:val="418B9BF0"/>
    <w:rsid w:val="419B2C2A"/>
    <w:rsid w:val="41B3EC23"/>
    <w:rsid w:val="41B9A7D9"/>
    <w:rsid w:val="41CF9D06"/>
    <w:rsid w:val="41D00143"/>
    <w:rsid w:val="41D6D8C9"/>
    <w:rsid w:val="41E8BEED"/>
    <w:rsid w:val="41EF91DC"/>
    <w:rsid w:val="41F0D247"/>
    <w:rsid w:val="41F88396"/>
    <w:rsid w:val="41FEA5ED"/>
    <w:rsid w:val="42005618"/>
    <w:rsid w:val="42056046"/>
    <w:rsid w:val="421B574A"/>
    <w:rsid w:val="421F308F"/>
    <w:rsid w:val="422E5F79"/>
    <w:rsid w:val="42347983"/>
    <w:rsid w:val="426205E7"/>
    <w:rsid w:val="4270B2C7"/>
    <w:rsid w:val="4274CBD8"/>
    <w:rsid w:val="4285031A"/>
    <w:rsid w:val="428B7497"/>
    <w:rsid w:val="42A2668E"/>
    <w:rsid w:val="42AC8B9A"/>
    <w:rsid w:val="42ADFF3A"/>
    <w:rsid w:val="42C4F216"/>
    <w:rsid w:val="42E6ACE2"/>
    <w:rsid w:val="42EC1E8E"/>
    <w:rsid w:val="42ECD9D2"/>
    <w:rsid w:val="4309636A"/>
    <w:rsid w:val="433F38C9"/>
    <w:rsid w:val="4345A01B"/>
    <w:rsid w:val="434BC293"/>
    <w:rsid w:val="43549BA9"/>
    <w:rsid w:val="43650E61"/>
    <w:rsid w:val="436D1B86"/>
    <w:rsid w:val="436D42B9"/>
    <w:rsid w:val="4371BD3D"/>
    <w:rsid w:val="437F3B0D"/>
    <w:rsid w:val="43871302"/>
    <w:rsid w:val="4396E848"/>
    <w:rsid w:val="43998344"/>
    <w:rsid w:val="439A7340"/>
    <w:rsid w:val="43A5EB6C"/>
    <w:rsid w:val="43A69453"/>
    <w:rsid w:val="43B0709F"/>
    <w:rsid w:val="43C51688"/>
    <w:rsid w:val="43DC2CA2"/>
    <w:rsid w:val="43E1B954"/>
    <w:rsid w:val="43F3C06D"/>
    <w:rsid w:val="43F9A364"/>
    <w:rsid w:val="43FB100C"/>
    <w:rsid w:val="440D2DBA"/>
    <w:rsid w:val="440E5067"/>
    <w:rsid w:val="44101EAD"/>
    <w:rsid w:val="444BF363"/>
    <w:rsid w:val="44530DAE"/>
    <w:rsid w:val="448273A8"/>
    <w:rsid w:val="4483FCA7"/>
    <w:rsid w:val="449875C7"/>
    <w:rsid w:val="44A4E22D"/>
    <w:rsid w:val="44AD1612"/>
    <w:rsid w:val="44B233B1"/>
    <w:rsid w:val="44BC7E1C"/>
    <w:rsid w:val="44D840BB"/>
    <w:rsid w:val="44D87974"/>
    <w:rsid w:val="44D9A37E"/>
    <w:rsid w:val="44E2E4A2"/>
    <w:rsid w:val="454C4100"/>
    <w:rsid w:val="4567271D"/>
    <w:rsid w:val="4597F51A"/>
    <w:rsid w:val="4599A6A9"/>
    <w:rsid w:val="459DBC61"/>
    <w:rsid w:val="45A0D77C"/>
    <w:rsid w:val="45CFA790"/>
    <w:rsid w:val="45D0A1D9"/>
    <w:rsid w:val="45D8D2A4"/>
    <w:rsid w:val="45D91404"/>
    <w:rsid w:val="45F8CB3A"/>
    <w:rsid w:val="46060013"/>
    <w:rsid w:val="461FCD08"/>
    <w:rsid w:val="46278ABE"/>
    <w:rsid w:val="462BF890"/>
    <w:rsid w:val="46342E6E"/>
    <w:rsid w:val="4641FAE6"/>
    <w:rsid w:val="4659F6FE"/>
    <w:rsid w:val="4662C075"/>
    <w:rsid w:val="466872DB"/>
    <w:rsid w:val="4669C0AD"/>
    <w:rsid w:val="4670AC65"/>
    <w:rsid w:val="46849540"/>
    <w:rsid w:val="4685B0A6"/>
    <w:rsid w:val="46886AD5"/>
    <w:rsid w:val="46A35ADB"/>
    <w:rsid w:val="46A52447"/>
    <w:rsid w:val="46ADEFA2"/>
    <w:rsid w:val="46AF7654"/>
    <w:rsid w:val="46B25058"/>
    <w:rsid w:val="46C9A1F8"/>
    <w:rsid w:val="46CB987D"/>
    <w:rsid w:val="46E2DFFD"/>
    <w:rsid w:val="46E61D83"/>
    <w:rsid w:val="46E717A0"/>
    <w:rsid w:val="46F5EEE8"/>
    <w:rsid w:val="46FA18DF"/>
    <w:rsid w:val="47106FE2"/>
    <w:rsid w:val="471335EC"/>
    <w:rsid w:val="471D16F4"/>
    <w:rsid w:val="473C53B3"/>
    <w:rsid w:val="4745DE8E"/>
    <w:rsid w:val="4769AAE6"/>
    <w:rsid w:val="477C69D0"/>
    <w:rsid w:val="478283DD"/>
    <w:rsid w:val="4783CA35"/>
    <w:rsid w:val="4789D361"/>
    <w:rsid w:val="478EFFD2"/>
    <w:rsid w:val="4796CDF8"/>
    <w:rsid w:val="47B8E42B"/>
    <w:rsid w:val="47B97C23"/>
    <w:rsid w:val="47E1FD18"/>
    <w:rsid w:val="48051CA8"/>
    <w:rsid w:val="48177109"/>
    <w:rsid w:val="48266FC8"/>
    <w:rsid w:val="482CA3C6"/>
    <w:rsid w:val="48322FCB"/>
    <w:rsid w:val="4845EB75"/>
    <w:rsid w:val="484B46B5"/>
    <w:rsid w:val="4852AC30"/>
    <w:rsid w:val="4856D989"/>
    <w:rsid w:val="486126C5"/>
    <w:rsid w:val="4862B950"/>
    <w:rsid w:val="486C0325"/>
    <w:rsid w:val="48725793"/>
    <w:rsid w:val="487AFABE"/>
    <w:rsid w:val="488E56C6"/>
    <w:rsid w:val="4899FC08"/>
    <w:rsid w:val="48A29CCE"/>
    <w:rsid w:val="48A5BD86"/>
    <w:rsid w:val="48A8D831"/>
    <w:rsid w:val="48AB88EA"/>
    <w:rsid w:val="48C38F47"/>
    <w:rsid w:val="48C4F0B2"/>
    <w:rsid w:val="48CDF602"/>
    <w:rsid w:val="48D8BFB8"/>
    <w:rsid w:val="48E38EC1"/>
    <w:rsid w:val="48FA2646"/>
    <w:rsid w:val="4903480F"/>
    <w:rsid w:val="490C2A84"/>
    <w:rsid w:val="490E504D"/>
    <w:rsid w:val="491004F9"/>
    <w:rsid w:val="491121B9"/>
    <w:rsid w:val="4914AC54"/>
    <w:rsid w:val="4915D1AD"/>
    <w:rsid w:val="4919D781"/>
    <w:rsid w:val="491AA77F"/>
    <w:rsid w:val="492261BB"/>
    <w:rsid w:val="492C5784"/>
    <w:rsid w:val="493BD934"/>
    <w:rsid w:val="49506542"/>
    <w:rsid w:val="49552F07"/>
    <w:rsid w:val="49576DCA"/>
    <w:rsid w:val="49592224"/>
    <w:rsid w:val="4966BAEE"/>
    <w:rsid w:val="4968D6B6"/>
    <w:rsid w:val="4969D6F2"/>
    <w:rsid w:val="498080AC"/>
    <w:rsid w:val="49848CE6"/>
    <w:rsid w:val="4987A604"/>
    <w:rsid w:val="499B60BA"/>
    <w:rsid w:val="49A303F2"/>
    <w:rsid w:val="49AF07B8"/>
    <w:rsid w:val="49B427CD"/>
    <w:rsid w:val="49B91602"/>
    <w:rsid w:val="49B96BEB"/>
    <w:rsid w:val="49EC2B4E"/>
    <w:rsid w:val="4A0B20FD"/>
    <w:rsid w:val="4A0E4F5C"/>
    <w:rsid w:val="4A194B81"/>
    <w:rsid w:val="4A37C1E5"/>
    <w:rsid w:val="4A3C9E87"/>
    <w:rsid w:val="4A3F52BB"/>
    <w:rsid w:val="4A4BF36A"/>
    <w:rsid w:val="4A5346F8"/>
    <w:rsid w:val="4A82B899"/>
    <w:rsid w:val="4A93EE10"/>
    <w:rsid w:val="4A98E405"/>
    <w:rsid w:val="4A998090"/>
    <w:rsid w:val="4A9EC796"/>
    <w:rsid w:val="4AAD63E4"/>
    <w:rsid w:val="4AAEB776"/>
    <w:rsid w:val="4ACFCCB7"/>
    <w:rsid w:val="4AE0965C"/>
    <w:rsid w:val="4AEA8F91"/>
    <w:rsid w:val="4AEC7BE2"/>
    <w:rsid w:val="4AF13AB6"/>
    <w:rsid w:val="4B01B505"/>
    <w:rsid w:val="4B0CA2F6"/>
    <w:rsid w:val="4B22DCD2"/>
    <w:rsid w:val="4B237665"/>
    <w:rsid w:val="4B2D6354"/>
    <w:rsid w:val="4B31B22E"/>
    <w:rsid w:val="4B3F4F54"/>
    <w:rsid w:val="4B43ADD6"/>
    <w:rsid w:val="4B599681"/>
    <w:rsid w:val="4B66FDDF"/>
    <w:rsid w:val="4B79907F"/>
    <w:rsid w:val="4B7F1239"/>
    <w:rsid w:val="4B8D7927"/>
    <w:rsid w:val="4B9A02FC"/>
    <w:rsid w:val="4B9A1D05"/>
    <w:rsid w:val="4BAF8FAB"/>
    <w:rsid w:val="4BC67127"/>
    <w:rsid w:val="4BCC937E"/>
    <w:rsid w:val="4BD10A87"/>
    <w:rsid w:val="4C065E7C"/>
    <w:rsid w:val="4C082D9C"/>
    <w:rsid w:val="4C08E82D"/>
    <w:rsid w:val="4C0932E8"/>
    <w:rsid w:val="4C0946F8"/>
    <w:rsid w:val="4C1A809C"/>
    <w:rsid w:val="4C1ED751"/>
    <w:rsid w:val="4C2301A3"/>
    <w:rsid w:val="4C2EA886"/>
    <w:rsid w:val="4C36BAEE"/>
    <w:rsid w:val="4C41C777"/>
    <w:rsid w:val="4C66E813"/>
    <w:rsid w:val="4C729307"/>
    <w:rsid w:val="4C881378"/>
    <w:rsid w:val="4C8828B8"/>
    <w:rsid w:val="4C8FF89D"/>
    <w:rsid w:val="4C939837"/>
    <w:rsid w:val="4C93F457"/>
    <w:rsid w:val="4C9C2F96"/>
    <w:rsid w:val="4CBA6D40"/>
    <w:rsid w:val="4CDB96BE"/>
    <w:rsid w:val="4CEC6E27"/>
    <w:rsid w:val="4CF4CBB8"/>
    <w:rsid w:val="4CF8BD6F"/>
    <w:rsid w:val="4D0921D3"/>
    <w:rsid w:val="4D1EE580"/>
    <w:rsid w:val="4D1F2E52"/>
    <w:rsid w:val="4D21C5F4"/>
    <w:rsid w:val="4D4AC83B"/>
    <w:rsid w:val="4D4BE302"/>
    <w:rsid w:val="4D530A44"/>
    <w:rsid w:val="4D565924"/>
    <w:rsid w:val="4D747A5F"/>
    <w:rsid w:val="4D758724"/>
    <w:rsid w:val="4D91D759"/>
    <w:rsid w:val="4DA2FABC"/>
    <w:rsid w:val="4DA44A6F"/>
    <w:rsid w:val="4DA8F6F6"/>
    <w:rsid w:val="4DAF6507"/>
    <w:rsid w:val="4DEFD85A"/>
    <w:rsid w:val="4DF88EA8"/>
    <w:rsid w:val="4DFFC8A7"/>
    <w:rsid w:val="4E001DE9"/>
    <w:rsid w:val="4E1202CF"/>
    <w:rsid w:val="4E1299DC"/>
    <w:rsid w:val="4E1A4626"/>
    <w:rsid w:val="4E4F189E"/>
    <w:rsid w:val="4E50305B"/>
    <w:rsid w:val="4E544146"/>
    <w:rsid w:val="4E61CCCB"/>
    <w:rsid w:val="4E650416"/>
    <w:rsid w:val="4E656600"/>
    <w:rsid w:val="4E74C2D3"/>
    <w:rsid w:val="4E948DD0"/>
    <w:rsid w:val="4E9AE7FD"/>
    <w:rsid w:val="4EA9A269"/>
    <w:rsid w:val="4EBFDD17"/>
    <w:rsid w:val="4EDED4F5"/>
    <w:rsid w:val="4EF22985"/>
    <w:rsid w:val="4EFB4D3A"/>
    <w:rsid w:val="4F004568"/>
    <w:rsid w:val="4F074FFD"/>
    <w:rsid w:val="4F104AC0"/>
    <w:rsid w:val="4F1EE2C7"/>
    <w:rsid w:val="4F23493D"/>
    <w:rsid w:val="4F29F981"/>
    <w:rsid w:val="4F30320A"/>
    <w:rsid w:val="4F4C48CE"/>
    <w:rsid w:val="4F6F556F"/>
    <w:rsid w:val="4F8FA4CA"/>
    <w:rsid w:val="4F985940"/>
    <w:rsid w:val="4F9C9534"/>
    <w:rsid w:val="4FA553E9"/>
    <w:rsid w:val="4FB90AE4"/>
    <w:rsid w:val="4FB9A77A"/>
    <w:rsid w:val="4FBAE9D6"/>
    <w:rsid w:val="4FDDD556"/>
    <w:rsid w:val="4FE89EF3"/>
    <w:rsid w:val="4FE9C2B8"/>
    <w:rsid w:val="500BB7CF"/>
    <w:rsid w:val="50264B32"/>
    <w:rsid w:val="5029DE7B"/>
    <w:rsid w:val="502CFC98"/>
    <w:rsid w:val="502F620E"/>
    <w:rsid w:val="504FA8CF"/>
    <w:rsid w:val="506117BB"/>
    <w:rsid w:val="5066FB6A"/>
    <w:rsid w:val="5070E72C"/>
    <w:rsid w:val="507C8256"/>
    <w:rsid w:val="5085922F"/>
    <w:rsid w:val="50C093E2"/>
    <w:rsid w:val="50C14092"/>
    <w:rsid w:val="50DA8C86"/>
    <w:rsid w:val="50EAA050"/>
    <w:rsid w:val="5105E4FF"/>
    <w:rsid w:val="5106EB2D"/>
    <w:rsid w:val="51141C6F"/>
    <w:rsid w:val="511F2DC6"/>
    <w:rsid w:val="5126D250"/>
    <w:rsid w:val="513429A1"/>
    <w:rsid w:val="51376969"/>
    <w:rsid w:val="514DC2A0"/>
    <w:rsid w:val="51627FAF"/>
    <w:rsid w:val="5179A5B7"/>
    <w:rsid w:val="517AEC60"/>
    <w:rsid w:val="517BD56C"/>
    <w:rsid w:val="517C7562"/>
    <w:rsid w:val="5184BAA8"/>
    <w:rsid w:val="5198D615"/>
    <w:rsid w:val="51A6BA7E"/>
    <w:rsid w:val="51AB8A92"/>
    <w:rsid w:val="51B3415E"/>
    <w:rsid w:val="51C2A132"/>
    <w:rsid w:val="51CA768B"/>
    <w:rsid w:val="51D01C43"/>
    <w:rsid w:val="51D24911"/>
    <w:rsid w:val="51DA7C07"/>
    <w:rsid w:val="51F01BE1"/>
    <w:rsid w:val="51FD3F01"/>
    <w:rsid w:val="5202ED39"/>
    <w:rsid w:val="520A1870"/>
    <w:rsid w:val="520A8D11"/>
    <w:rsid w:val="5211DA52"/>
    <w:rsid w:val="521272EA"/>
    <w:rsid w:val="523F195A"/>
    <w:rsid w:val="5242A6BB"/>
    <w:rsid w:val="52459B14"/>
    <w:rsid w:val="5268B1C1"/>
    <w:rsid w:val="526B6F02"/>
    <w:rsid w:val="526C6260"/>
    <w:rsid w:val="526D527F"/>
    <w:rsid w:val="526EE3FB"/>
    <w:rsid w:val="527F1219"/>
    <w:rsid w:val="528B998C"/>
    <w:rsid w:val="52A94203"/>
    <w:rsid w:val="52B7206D"/>
    <w:rsid w:val="52B8C24B"/>
    <w:rsid w:val="52B8FF12"/>
    <w:rsid w:val="52BDB352"/>
    <w:rsid w:val="52CA9CEA"/>
    <w:rsid w:val="52E7390A"/>
    <w:rsid w:val="52FA44F0"/>
    <w:rsid w:val="52FE5010"/>
    <w:rsid w:val="5302373F"/>
    <w:rsid w:val="530A87AA"/>
    <w:rsid w:val="532AC0B2"/>
    <w:rsid w:val="533C0743"/>
    <w:rsid w:val="534EB3A2"/>
    <w:rsid w:val="536932B3"/>
    <w:rsid w:val="53739DE1"/>
    <w:rsid w:val="5373E78D"/>
    <w:rsid w:val="537C868B"/>
    <w:rsid w:val="53A7AD31"/>
    <w:rsid w:val="53AB3BCF"/>
    <w:rsid w:val="53BB8EF8"/>
    <w:rsid w:val="53BF1E5C"/>
    <w:rsid w:val="53CA7EF8"/>
    <w:rsid w:val="53D35793"/>
    <w:rsid w:val="54084003"/>
    <w:rsid w:val="54109C55"/>
    <w:rsid w:val="5420AF95"/>
    <w:rsid w:val="5431A06A"/>
    <w:rsid w:val="5442AB11"/>
    <w:rsid w:val="544B1A42"/>
    <w:rsid w:val="545ABF04"/>
    <w:rsid w:val="54700E0D"/>
    <w:rsid w:val="547B4470"/>
    <w:rsid w:val="547DD159"/>
    <w:rsid w:val="54930C87"/>
    <w:rsid w:val="54A86C79"/>
    <w:rsid w:val="54B84B5F"/>
    <w:rsid w:val="54CA58AB"/>
    <w:rsid w:val="54DFF572"/>
    <w:rsid w:val="5500DD0D"/>
    <w:rsid w:val="5501D50F"/>
    <w:rsid w:val="5503CF54"/>
    <w:rsid w:val="550D2838"/>
    <w:rsid w:val="550F3234"/>
    <w:rsid w:val="5514AA54"/>
    <w:rsid w:val="55344E7A"/>
    <w:rsid w:val="554ED58B"/>
    <w:rsid w:val="5559B256"/>
    <w:rsid w:val="5562793C"/>
    <w:rsid w:val="55705652"/>
    <w:rsid w:val="5573F9B0"/>
    <w:rsid w:val="5592E98E"/>
    <w:rsid w:val="55934AD1"/>
    <w:rsid w:val="55A5D9A5"/>
    <w:rsid w:val="55D145F6"/>
    <w:rsid w:val="55F65733"/>
    <w:rsid w:val="560D48CF"/>
    <w:rsid w:val="56179377"/>
    <w:rsid w:val="5617C0F3"/>
    <w:rsid w:val="5638551A"/>
    <w:rsid w:val="565ECB07"/>
    <w:rsid w:val="5666290C"/>
    <w:rsid w:val="566C4738"/>
    <w:rsid w:val="56716D19"/>
    <w:rsid w:val="569567E0"/>
    <w:rsid w:val="56979F47"/>
    <w:rsid w:val="569C1B35"/>
    <w:rsid w:val="56C8D8C9"/>
    <w:rsid w:val="56FC0E25"/>
    <w:rsid w:val="570A1EF8"/>
    <w:rsid w:val="570FCA11"/>
    <w:rsid w:val="5716A74F"/>
    <w:rsid w:val="571A99E6"/>
    <w:rsid w:val="572AEDEC"/>
    <w:rsid w:val="573628A0"/>
    <w:rsid w:val="573FEF3F"/>
    <w:rsid w:val="5753C6C9"/>
    <w:rsid w:val="5758DBD0"/>
    <w:rsid w:val="5765D0BF"/>
    <w:rsid w:val="5768FC2C"/>
    <w:rsid w:val="57691A6F"/>
    <w:rsid w:val="57752B42"/>
    <w:rsid w:val="577546ED"/>
    <w:rsid w:val="5781E444"/>
    <w:rsid w:val="5794C83E"/>
    <w:rsid w:val="5795DF01"/>
    <w:rsid w:val="57BB8F54"/>
    <w:rsid w:val="57DA4C77"/>
    <w:rsid w:val="57EB7AC4"/>
    <w:rsid w:val="57ED4866"/>
    <w:rsid w:val="57F197D7"/>
    <w:rsid w:val="57F69268"/>
    <w:rsid w:val="57FA9031"/>
    <w:rsid w:val="57FB7B09"/>
    <w:rsid w:val="581A1182"/>
    <w:rsid w:val="5832D425"/>
    <w:rsid w:val="583B7016"/>
    <w:rsid w:val="583E376D"/>
    <w:rsid w:val="583E76F1"/>
    <w:rsid w:val="584E6417"/>
    <w:rsid w:val="5868A433"/>
    <w:rsid w:val="587A615D"/>
    <w:rsid w:val="587C0AED"/>
    <w:rsid w:val="588C05F3"/>
    <w:rsid w:val="589C4745"/>
    <w:rsid w:val="58AC5BC9"/>
    <w:rsid w:val="58AEABAA"/>
    <w:rsid w:val="58BD4846"/>
    <w:rsid w:val="58CC760E"/>
    <w:rsid w:val="58FCC2F7"/>
    <w:rsid w:val="5911CB6C"/>
    <w:rsid w:val="59147AFC"/>
    <w:rsid w:val="592BFA13"/>
    <w:rsid w:val="5942F153"/>
    <w:rsid w:val="5964FA3C"/>
    <w:rsid w:val="59708F7A"/>
    <w:rsid w:val="59761713"/>
    <w:rsid w:val="59908631"/>
    <w:rsid w:val="59C5CCB1"/>
    <w:rsid w:val="59D44E30"/>
    <w:rsid w:val="5A0B6AEB"/>
    <w:rsid w:val="5A0DFF1E"/>
    <w:rsid w:val="5A1022E6"/>
    <w:rsid w:val="5A201E88"/>
    <w:rsid w:val="5A303F5C"/>
    <w:rsid w:val="5A5AFAC6"/>
    <w:rsid w:val="5A84FCA5"/>
    <w:rsid w:val="5A8D55EA"/>
    <w:rsid w:val="5A93A0D9"/>
    <w:rsid w:val="5AA8AB72"/>
    <w:rsid w:val="5AD7F3E4"/>
    <w:rsid w:val="5AFF9567"/>
    <w:rsid w:val="5B276AF9"/>
    <w:rsid w:val="5B3D06D3"/>
    <w:rsid w:val="5B3EB9B4"/>
    <w:rsid w:val="5B487606"/>
    <w:rsid w:val="5B583074"/>
    <w:rsid w:val="5B5E36EC"/>
    <w:rsid w:val="5B6BEA9E"/>
    <w:rsid w:val="5B7D1812"/>
    <w:rsid w:val="5B845918"/>
    <w:rsid w:val="5B8E1F68"/>
    <w:rsid w:val="5BA4CE84"/>
    <w:rsid w:val="5BABDBD0"/>
    <w:rsid w:val="5BCB0AF2"/>
    <w:rsid w:val="5BE3FC8B"/>
    <w:rsid w:val="5BEE0B09"/>
    <w:rsid w:val="5BF7C8E4"/>
    <w:rsid w:val="5BFCF2EC"/>
    <w:rsid w:val="5C0E9D28"/>
    <w:rsid w:val="5C1DA622"/>
    <w:rsid w:val="5C2547EE"/>
    <w:rsid w:val="5C3DEC58"/>
    <w:rsid w:val="5C4691B7"/>
    <w:rsid w:val="5C47C0AD"/>
    <w:rsid w:val="5C5D6016"/>
    <w:rsid w:val="5C60B17D"/>
    <w:rsid w:val="5C820996"/>
    <w:rsid w:val="5CBC0E42"/>
    <w:rsid w:val="5CC4A01B"/>
    <w:rsid w:val="5CD3E634"/>
    <w:rsid w:val="5CD55667"/>
    <w:rsid w:val="5CD9E027"/>
    <w:rsid w:val="5CFCA47B"/>
    <w:rsid w:val="5D011575"/>
    <w:rsid w:val="5D016301"/>
    <w:rsid w:val="5D072F8F"/>
    <w:rsid w:val="5D18C38A"/>
    <w:rsid w:val="5D1DC5FF"/>
    <w:rsid w:val="5D26D4DE"/>
    <w:rsid w:val="5D2EC682"/>
    <w:rsid w:val="5D41CA80"/>
    <w:rsid w:val="5D523C8C"/>
    <w:rsid w:val="5D58EEC5"/>
    <w:rsid w:val="5D6D20A9"/>
    <w:rsid w:val="5DB00526"/>
    <w:rsid w:val="5DB93F49"/>
    <w:rsid w:val="5DC0EB49"/>
    <w:rsid w:val="5DC21478"/>
    <w:rsid w:val="5DE964F4"/>
    <w:rsid w:val="5DECA167"/>
    <w:rsid w:val="5DF841EB"/>
    <w:rsid w:val="5E014EF4"/>
    <w:rsid w:val="5E0A9385"/>
    <w:rsid w:val="5E16650F"/>
    <w:rsid w:val="5E180144"/>
    <w:rsid w:val="5E244E85"/>
    <w:rsid w:val="5E26AE62"/>
    <w:rsid w:val="5E28829C"/>
    <w:rsid w:val="5E32F84F"/>
    <w:rsid w:val="5E3A8861"/>
    <w:rsid w:val="5E4B9419"/>
    <w:rsid w:val="5E4D0052"/>
    <w:rsid w:val="5E54B09E"/>
    <w:rsid w:val="5E56B173"/>
    <w:rsid w:val="5E5C8AEF"/>
    <w:rsid w:val="5E694574"/>
    <w:rsid w:val="5E91440A"/>
    <w:rsid w:val="5EB6F14D"/>
    <w:rsid w:val="5ED3A2AD"/>
    <w:rsid w:val="5ED7B3EC"/>
    <w:rsid w:val="5EDBB4B7"/>
    <w:rsid w:val="5F35DB3B"/>
    <w:rsid w:val="5F38B703"/>
    <w:rsid w:val="5F3FAD67"/>
    <w:rsid w:val="5F45971E"/>
    <w:rsid w:val="5F4AB42C"/>
    <w:rsid w:val="5F4C4A8F"/>
    <w:rsid w:val="5F74FD66"/>
    <w:rsid w:val="5F7ECB5F"/>
    <w:rsid w:val="5F829FD7"/>
    <w:rsid w:val="5F8C7EE8"/>
    <w:rsid w:val="5F8FA751"/>
    <w:rsid w:val="5F922545"/>
    <w:rsid w:val="5FB2AC14"/>
    <w:rsid w:val="5FB73C18"/>
    <w:rsid w:val="5FD77995"/>
    <w:rsid w:val="5FD80D1C"/>
    <w:rsid w:val="5FDBF39D"/>
    <w:rsid w:val="5FE3E1A6"/>
    <w:rsid w:val="5FEA48BE"/>
    <w:rsid w:val="60122AD7"/>
    <w:rsid w:val="6018B038"/>
    <w:rsid w:val="60239B07"/>
    <w:rsid w:val="602B9FBA"/>
    <w:rsid w:val="602E8782"/>
    <w:rsid w:val="6055E64D"/>
    <w:rsid w:val="605E25E6"/>
    <w:rsid w:val="606D6EC8"/>
    <w:rsid w:val="607A1ACD"/>
    <w:rsid w:val="60B76DAE"/>
    <w:rsid w:val="60C17C2C"/>
    <w:rsid w:val="60E7A5E8"/>
    <w:rsid w:val="60EF56B5"/>
    <w:rsid w:val="60FCA31A"/>
    <w:rsid w:val="611E7038"/>
    <w:rsid w:val="6123031D"/>
    <w:rsid w:val="614998C4"/>
    <w:rsid w:val="614EB3AE"/>
    <w:rsid w:val="61613CC8"/>
    <w:rsid w:val="61716DC6"/>
    <w:rsid w:val="6172A18B"/>
    <w:rsid w:val="617D4768"/>
    <w:rsid w:val="6181AFDF"/>
    <w:rsid w:val="6183FDFA"/>
    <w:rsid w:val="618D888A"/>
    <w:rsid w:val="619DE646"/>
    <w:rsid w:val="61BB79F1"/>
    <w:rsid w:val="61BCEE6A"/>
    <w:rsid w:val="61CB3E56"/>
    <w:rsid w:val="61D50536"/>
    <w:rsid w:val="61DA2D26"/>
    <w:rsid w:val="61E17164"/>
    <w:rsid w:val="61F634D2"/>
    <w:rsid w:val="621D714A"/>
    <w:rsid w:val="62253937"/>
    <w:rsid w:val="623004EF"/>
    <w:rsid w:val="623FF9F7"/>
    <w:rsid w:val="625B246A"/>
    <w:rsid w:val="6266E34D"/>
    <w:rsid w:val="627AA52D"/>
    <w:rsid w:val="627BD54D"/>
    <w:rsid w:val="627CD8D4"/>
    <w:rsid w:val="6280A848"/>
    <w:rsid w:val="628B61B4"/>
    <w:rsid w:val="628DE146"/>
    <w:rsid w:val="62908458"/>
    <w:rsid w:val="629C745D"/>
    <w:rsid w:val="629F5886"/>
    <w:rsid w:val="62A20A73"/>
    <w:rsid w:val="62A4A9D9"/>
    <w:rsid w:val="62AFCB40"/>
    <w:rsid w:val="62B1DC69"/>
    <w:rsid w:val="62E583F6"/>
    <w:rsid w:val="62F7473D"/>
    <w:rsid w:val="63265DAC"/>
    <w:rsid w:val="6338F702"/>
    <w:rsid w:val="63405FCF"/>
    <w:rsid w:val="6352DF04"/>
    <w:rsid w:val="63533FC5"/>
    <w:rsid w:val="63539397"/>
    <w:rsid w:val="6368E811"/>
    <w:rsid w:val="63B49F55"/>
    <w:rsid w:val="63D9ABC1"/>
    <w:rsid w:val="63DCA24B"/>
    <w:rsid w:val="63E2CB1E"/>
    <w:rsid w:val="63EBF6DC"/>
    <w:rsid w:val="63F5D0D8"/>
    <w:rsid w:val="63FA872C"/>
    <w:rsid w:val="6409DBD3"/>
    <w:rsid w:val="64252122"/>
    <w:rsid w:val="6427D32E"/>
    <w:rsid w:val="642E70FD"/>
    <w:rsid w:val="643D6CF3"/>
    <w:rsid w:val="645AC5D8"/>
    <w:rsid w:val="647EEA8D"/>
    <w:rsid w:val="6498BB08"/>
    <w:rsid w:val="64AB34EC"/>
    <w:rsid w:val="64ADD707"/>
    <w:rsid w:val="64AF8327"/>
    <w:rsid w:val="64B0FE11"/>
    <w:rsid w:val="64CE97A0"/>
    <w:rsid w:val="64D002F5"/>
    <w:rsid w:val="64D3A737"/>
    <w:rsid w:val="65301989"/>
    <w:rsid w:val="655200C5"/>
    <w:rsid w:val="6552BC97"/>
    <w:rsid w:val="656FB39E"/>
    <w:rsid w:val="65714696"/>
    <w:rsid w:val="65868F8A"/>
    <w:rsid w:val="6586DBB8"/>
    <w:rsid w:val="659D5330"/>
    <w:rsid w:val="65C6E1DF"/>
    <w:rsid w:val="65DD8A9E"/>
    <w:rsid w:val="65E58BF9"/>
    <w:rsid w:val="65F1E15B"/>
    <w:rsid w:val="65F95576"/>
    <w:rsid w:val="66026822"/>
    <w:rsid w:val="6611F07F"/>
    <w:rsid w:val="6625F2D0"/>
    <w:rsid w:val="66307DDE"/>
    <w:rsid w:val="6654CD24"/>
    <w:rsid w:val="666B74B4"/>
    <w:rsid w:val="66756824"/>
    <w:rsid w:val="66813537"/>
    <w:rsid w:val="66832D92"/>
    <w:rsid w:val="668CB6E9"/>
    <w:rsid w:val="66952CDD"/>
    <w:rsid w:val="6696632D"/>
    <w:rsid w:val="6699F498"/>
    <w:rsid w:val="66CBCFF6"/>
    <w:rsid w:val="66EC9987"/>
    <w:rsid w:val="66F11D07"/>
    <w:rsid w:val="6705223C"/>
    <w:rsid w:val="67078465"/>
    <w:rsid w:val="674419F2"/>
    <w:rsid w:val="6756E76C"/>
    <w:rsid w:val="6774CA50"/>
    <w:rsid w:val="677D240D"/>
    <w:rsid w:val="67804CBD"/>
    <w:rsid w:val="678DB1BC"/>
    <w:rsid w:val="679244A1"/>
    <w:rsid w:val="679687F0"/>
    <w:rsid w:val="67A384E7"/>
    <w:rsid w:val="67B2EAA1"/>
    <w:rsid w:val="67D0387A"/>
    <w:rsid w:val="67D5CE5D"/>
    <w:rsid w:val="67D91E42"/>
    <w:rsid w:val="67E5CDE5"/>
    <w:rsid w:val="67E9832C"/>
    <w:rsid w:val="67F00C50"/>
    <w:rsid w:val="67F8E0AB"/>
    <w:rsid w:val="6802DA50"/>
    <w:rsid w:val="680F24DD"/>
    <w:rsid w:val="6810CF4F"/>
    <w:rsid w:val="68244CE3"/>
    <w:rsid w:val="6834B092"/>
    <w:rsid w:val="683CD6DF"/>
    <w:rsid w:val="6840E7A5"/>
    <w:rsid w:val="6841AA11"/>
    <w:rsid w:val="684927DB"/>
    <w:rsid w:val="68613A14"/>
    <w:rsid w:val="68643894"/>
    <w:rsid w:val="688FDB0A"/>
    <w:rsid w:val="68A2DAF6"/>
    <w:rsid w:val="68B2FFED"/>
    <w:rsid w:val="68C27F93"/>
    <w:rsid w:val="68D474F3"/>
    <w:rsid w:val="68E500D4"/>
    <w:rsid w:val="68F0E4DD"/>
    <w:rsid w:val="68F2B7CD"/>
    <w:rsid w:val="69054791"/>
    <w:rsid w:val="6905730D"/>
    <w:rsid w:val="690AAB7C"/>
    <w:rsid w:val="691473E8"/>
    <w:rsid w:val="6925ADA5"/>
    <w:rsid w:val="69331903"/>
    <w:rsid w:val="69359FBB"/>
    <w:rsid w:val="69374B48"/>
    <w:rsid w:val="69577DBD"/>
    <w:rsid w:val="6974FD04"/>
    <w:rsid w:val="69767696"/>
    <w:rsid w:val="698B2607"/>
    <w:rsid w:val="6993AFDC"/>
    <w:rsid w:val="69A9D82D"/>
    <w:rsid w:val="69B8455C"/>
    <w:rsid w:val="6A027C10"/>
    <w:rsid w:val="6A032802"/>
    <w:rsid w:val="6A23178B"/>
    <w:rsid w:val="6A2E52DE"/>
    <w:rsid w:val="6A2ECC1B"/>
    <w:rsid w:val="6A37E8CF"/>
    <w:rsid w:val="6A40BF38"/>
    <w:rsid w:val="6A4CF435"/>
    <w:rsid w:val="6A6F2CFB"/>
    <w:rsid w:val="6A7C2638"/>
    <w:rsid w:val="6A933D47"/>
    <w:rsid w:val="6AA0474F"/>
    <w:rsid w:val="6AB5A8CD"/>
    <w:rsid w:val="6ABA558D"/>
    <w:rsid w:val="6AC7FED7"/>
    <w:rsid w:val="6ACEA597"/>
    <w:rsid w:val="6AD46445"/>
    <w:rsid w:val="6AE334A2"/>
    <w:rsid w:val="6B00A67E"/>
    <w:rsid w:val="6B16723B"/>
    <w:rsid w:val="6B29343B"/>
    <w:rsid w:val="6B3FA004"/>
    <w:rsid w:val="6B409A08"/>
    <w:rsid w:val="6B57237B"/>
    <w:rsid w:val="6B5EE1A1"/>
    <w:rsid w:val="6B60280C"/>
    <w:rsid w:val="6B62BF1F"/>
    <w:rsid w:val="6B6737BF"/>
    <w:rsid w:val="6B738BD7"/>
    <w:rsid w:val="6B7BE77C"/>
    <w:rsid w:val="6B88D4E6"/>
    <w:rsid w:val="6B8E2FE1"/>
    <w:rsid w:val="6B9D08BB"/>
    <w:rsid w:val="6B9F9871"/>
    <w:rsid w:val="6BA48755"/>
    <w:rsid w:val="6BB360BA"/>
    <w:rsid w:val="6BC1AE28"/>
    <w:rsid w:val="6BDBA3FC"/>
    <w:rsid w:val="6BFA20B1"/>
    <w:rsid w:val="6BFEBA94"/>
    <w:rsid w:val="6C0FA0EE"/>
    <w:rsid w:val="6C1A0087"/>
    <w:rsid w:val="6C1EF779"/>
    <w:rsid w:val="6C200C09"/>
    <w:rsid w:val="6C286D8A"/>
    <w:rsid w:val="6C650C5A"/>
    <w:rsid w:val="6C855DE6"/>
    <w:rsid w:val="6C9888C2"/>
    <w:rsid w:val="6C9AD930"/>
    <w:rsid w:val="6CAAD886"/>
    <w:rsid w:val="6CB5E655"/>
    <w:rsid w:val="6CB849CE"/>
    <w:rsid w:val="6CBAECBD"/>
    <w:rsid w:val="6CBBECF9"/>
    <w:rsid w:val="6CBCF44F"/>
    <w:rsid w:val="6CD296B3"/>
    <w:rsid w:val="6CE7F993"/>
    <w:rsid w:val="6CF2E0F1"/>
    <w:rsid w:val="6CF83F22"/>
    <w:rsid w:val="6D0DFD8D"/>
    <w:rsid w:val="6D15B0B8"/>
    <w:rsid w:val="6D1A70EC"/>
    <w:rsid w:val="6D2A0042"/>
    <w:rsid w:val="6D3860C1"/>
    <w:rsid w:val="6D4CA367"/>
    <w:rsid w:val="6D520E17"/>
    <w:rsid w:val="6D522AAB"/>
    <w:rsid w:val="6D5238D4"/>
    <w:rsid w:val="6D574367"/>
    <w:rsid w:val="6D5DCE7C"/>
    <w:rsid w:val="6D65675F"/>
    <w:rsid w:val="6D6CEF43"/>
    <w:rsid w:val="6D71654F"/>
    <w:rsid w:val="6D830F1F"/>
    <w:rsid w:val="6D8A50EB"/>
    <w:rsid w:val="6D92CF89"/>
    <w:rsid w:val="6DBFE05D"/>
    <w:rsid w:val="6DD015DF"/>
    <w:rsid w:val="6DD32834"/>
    <w:rsid w:val="6E001198"/>
    <w:rsid w:val="6E0067DB"/>
    <w:rsid w:val="6E4350BD"/>
    <w:rsid w:val="6E4BC3BE"/>
    <w:rsid w:val="6E4CFEB0"/>
    <w:rsid w:val="6E4D197F"/>
    <w:rsid w:val="6E56A0F5"/>
    <w:rsid w:val="6E5C0E09"/>
    <w:rsid w:val="6E5EB8FD"/>
    <w:rsid w:val="6E8A55B9"/>
    <w:rsid w:val="6E9A5FE1"/>
    <w:rsid w:val="6EAA1852"/>
    <w:rsid w:val="6EADB751"/>
    <w:rsid w:val="6EB399AD"/>
    <w:rsid w:val="6EBB3A17"/>
    <w:rsid w:val="6EC90DE8"/>
    <w:rsid w:val="6EEC330C"/>
    <w:rsid w:val="6F23208E"/>
    <w:rsid w:val="6F49D337"/>
    <w:rsid w:val="6F516F47"/>
    <w:rsid w:val="6F7525EB"/>
    <w:rsid w:val="6FADAED6"/>
    <w:rsid w:val="6FADFF54"/>
    <w:rsid w:val="6FB33920"/>
    <w:rsid w:val="6FB44C1D"/>
    <w:rsid w:val="6FB610F0"/>
    <w:rsid w:val="6FDA0BEE"/>
    <w:rsid w:val="6FE43E88"/>
    <w:rsid w:val="6FE7941F"/>
    <w:rsid w:val="6FE89359"/>
    <w:rsid w:val="6FEC2BFE"/>
    <w:rsid w:val="6FED01F6"/>
    <w:rsid w:val="6FEE49EB"/>
    <w:rsid w:val="6FF1CA93"/>
    <w:rsid w:val="6FF46EDF"/>
    <w:rsid w:val="6FF738ED"/>
    <w:rsid w:val="6FF76DC3"/>
    <w:rsid w:val="6FFA4640"/>
    <w:rsid w:val="6FFAF848"/>
    <w:rsid w:val="700829E0"/>
    <w:rsid w:val="7028E00B"/>
    <w:rsid w:val="702C0498"/>
    <w:rsid w:val="702D6D3B"/>
    <w:rsid w:val="7030760A"/>
    <w:rsid w:val="704C3330"/>
    <w:rsid w:val="7068C8CB"/>
    <w:rsid w:val="706B81B0"/>
    <w:rsid w:val="7082F156"/>
    <w:rsid w:val="70912A1F"/>
    <w:rsid w:val="70A7A903"/>
    <w:rsid w:val="70B261D5"/>
    <w:rsid w:val="70B427BF"/>
    <w:rsid w:val="70CDC804"/>
    <w:rsid w:val="70CEACC0"/>
    <w:rsid w:val="70E2340B"/>
    <w:rsid w:val="70F510C3"/>
    <w:rsid w:val="70F8EA5E"/>
    <w:rsid w:val="7114B2C2"/>
    <w:rsid w:val="71356318"/>
    <w:rsid w:val="7164F277"/>
    <w:rsid w:val="7180A03D"/>
    <w:rsid w:val="71836480"/>
    <w:rsid w:val="718B6556"/>
    <w:rsid w:val="71A485CC"/>
    <w:rsid w:val="71B50513"/>
    <w:rsid w:val="71B8E4FD"/>
    <w:rsid w:val="71BB165B"/>
    <w:rsid w:val="71D69B44"/>
    <w:rsid w:val="71E93356"/>
    <w:rsid w:val="71EB3A6F"/>
    <w:rsid w:val="720B4E20"/>
    <w:rsid w:val="721B9326"/>
    <w:rsid w:val="721E23E6"/>
    <w:rsid w:val="721FB14C"/>
    <w:rsid w:val="7237DC63"/>
    <w:rsid w:val="723DFEEB"/>
    <w:rsid w:val="723E11B2"/>
    <w:rsid w:val="724B490E"/>
    <w:rsid w:val="725299DF"/>
    <w:rsid w:val="7252BBF9"/>
    <w:rsid w:val="72578986"/>
    <w:rsid w:val="725827CB"/>
    <w:rsid w:val="725E97F0"/>
    <w:rsid w:val="7270D972"/>
    <w:rsid w:val="7272D0E8"/>
    <w:rsid w:val="727AFD27"/>
    <w:rsid w:val="728B30C1"/>
    <w:rsid w:val="729EB998"/>
    <w:rsid w:val="72A2ECEC"/>
    <w:rsid w:val="72A4D3B5"/>
    <w:rsid w:val="72B71A7E"/>
    <w:rsid w:val="72C150EB"/>
    <w:rsid w:val="72C79287"/>
    <w:rsid w:val="72C8E7A9"/>
    <w:rsid w:val="72DF1451"/>
    <w:rsid w:val="72EF29C8"/>
    <w:rsid w:val="72FB1EA6"/>
    <w:rsid w:val="7306F67A"/>
    <w:rsid w:val="7313DE96"/>
    <w:rsid w:val="73140BCA"/>
    <w:rsid w:val="731C2D65"/>
    <w:rsid w:val="731CB62D"/>
    <w:rsid w:val="732643A1"/>
    <w:rsid w:val="732B66F1"/>
    <w:rsid w:val="73309689"/>
    <w:rsid w:val="733C9D36"/>
    <w:rsid w:val="734AB1E9"/>
    <w:rsid w:val="736416B4"/>
    <w:rsid w:val="7367896D"/>
    <w:rsid w:val="73857F6C"/>
    <w:rsid w:val="73887A77"/>
    <w:rsid w:val="7392BAEF"/>
    <w:rsid w:val="739A8388"/>
    <w:rsid w:val="739BEFCA"/>
    <w:rsid w:val="73A047EC"/>
    <w:rsid w:val="73AF1FFB"/>
    <w:rsid w:val="73C2FD33"/>
    <w:rsid w:val="73ED00E9"/>
    <w:rsid w:val="73F7C193"/>
    <w:rsid w:val="740A6682"/>
    <w:rsid w:val="742E0C6F"/>
    <w:rsid w:val="743F04CA"/>
    <w:rsid w:val="745088AE"/>
    <w:rsid w:val="74517937"/>
    <w:rsid w:val="7459B7E0"/>
    <w:rsid w:val="745D214C"/>
    <w:rsid w:val="7467AADA"/>
    <w:rsid w:val="747143CD"/>
    <w:rsid w:val="747D10E9"/>
    <w:rsid w:val="74D629FA"/>
    <w:rsid w:val="74EBDD04"/>
    <w:rsid w:val="74F68386"/>
    <w:rsid w:val="74FB4FA0"/>
    <w:rsid w:val="75148BDE"/>
    <w:rsid w:val="75190BCA"/>
    <w:rsid w:val="752A420F"/>
    <w:rsid w:val="754611A1"/>
    <w:rsid w:val="754664C8"/>
    <w:rsid w:val="754EDC94"/>
    <w:rsid w:val="754F5508"/>
    <w:rsid w:val="755982CD"/>
    <w:rsid w:val="7572B1C6"/>
    <w:rsid w:val="7572E798"/>
    <w:rsid w:val="75AB9C5F"/>
    <w:rsid w:val="75B0A51F"/>
    <w:rsid w:val="75BC41CF"/>
    <w:rsid w:val="75DF6DC5"/>
    <w:rsid w:val="75EED121"/>
    <w:rsid w:val="75F223AA"/>
    <w:rsid w:val="75FB580A"/>
    <w:rsid w:val="75FD2F85"/>
    <w:rsid w:val="760AD1A2"/>
    <w:rsid w:val="762EDDBD"/>
    <w:rsid w:val="76307AEC"/>
    <w:rsid w:val="7632126E"/>
    <w:rsid w:val="76480E1B"/>
    <w:rsid w:val="76510668"/>
    <w:rsid w:val="765397C3"/>
    <w:rsid w:val="76968DF8"/>
    <w:rsid w:val="76CDC83B"/>
    <w:rsid w:val="76D44D9A"/>
    <w:rsid w:val="77156AFC"/>
    <w:rsid w:val="7749EDCD"/>
    <w:rsid w:val="77586AE6"/>
    <w:rsid w:val="776606A1"/>
    <w:rsid w:val="77680FB5"/>
    <w:rsid w:val="776CA081"/>
    <w:rsid w:val="77780E1F"/>
    <w:rsid w:val="77DF644E"/>
    <w:rsid w:val="77E6E43B"/>
    <w:rsid w:val="780DCABC"/>
    <w:rsid w:val="7814AC06"/>
    <w:rsid w:val="7816FDB4"/>
    <w:rsid w:val="7829E2EC"/>
    <w:rsid w:val="782B391A"/>
    <w:rsid w:val="7838E193"/>
    <w:rsid w:val="7838FB11"/>
    <w:rsid w:val="783D7506"/>
    <w:rsid w:val="784117EC"/>
    <w:rsid w:val="78414227"/>
    <w:rsid w:val="78442BEB"/>
    <w:rsid w:val="7845E7A1"/>
    <w:rsid w:val="7846989A"/>
    <w:rsid w:val="7847A5CC"/>
    <w:rsid w:val="784EFE77"/>
    <w:rsid w:val="7856AD9D"/>
    <w:rsid w:val="786E64E5"/>
    <w:rsid w:val="787016BE"/>
    <w:rsid w:val="787A9C14"/>
    <w:rsid w:val="787F4FEE"/>
    <w:rsid w:val="7883AB1F"/>
    <w:rsid w:val="7891FF2E"/>
    <w:rsid w:val="7894B2C1"/>
    <w:rsid w:val="78A998A8"/>
    <w:rsid w:val="78B2CB82"/>
    <w:rsid w:val="78B6A35D"/>
    <w:rsid w:val="78CB74E6"/>
    <w:rsid w:val="78D0FD7D"/>
    <w:rsid w:val="78F5F34D"/>
    <w:rsid w:val="7906067C"/>
    <w:rsid w:val="7946DDE9"/>
    <w:rsid w:val="7947890C"/>
    <w:rsid w:val="7949A50E"/>
    <w:rsid w:val="795A628B"/>
    <w:rsid w:val="795F5ED6"/>
    <w:rsid w:val="79988754"/>
    <w:rsid w:val="7998EBFD"/>
    <w:rsid w:val="79A0CB10"/>
    <w:rsid w:val="79B579B0"/>
    <w:rsid w:val="79BA5BD4"/>
    <w:rsid w:val="79C7097B"/>
    <w:rsid w:val="79D35838"/>
    <w:rsid w:val="79E265FE"/>
    <w:rsid w:val="79F19C72"/>
    <w:rsid w:val="79F604F5"/>
    <w:rsid w:val="79FC9E8A"/>
    <w:rsid w:val="7A0344DA"/>
    <w:rsid w:val="7A1AEED0"/>
    <w:rsid w:val="7A286B01"/>
    <w:rsid w:val="7A5D9B52"/>
    <w:rsid w:val="7A68BD56"/>
    <w:rsid w:val="7A6D7619"/>
    <w:rsid w:val="7A731F50"/>
    <w:rsid w:val="7A73B2AA"/>
    <w:rsid w:val="7A883EA7"/>
    <w:rsid w:val="7A8F1418"/>
    <w:rsid w:val="7A908FC4"/>
    <w:rsid w:val="7A95BAD8"/>
    <w:rsid w:val="7A9D84E1"/>
    <w:rsid w:val="7AA9CB7D"/>
    <w:rsid w:val="7AC16E6F"/>
    <w:rsid w:val="7AC75CF4"/>
    <w:rsid w:val="7ACB7AED"/>
    <w:rsid w:val="7ACD0CFF"/>
    <w:rsid w:val="7AE6064C"/>
    <w:rsid w:val="7AE708C3"/>
    <w:rsid w:val="7AF0553E"/>
    <w:rsid w:val="7B2B3C6A"/>
    <w:rsid w:val="7B3504FC"/>
    <w:rsid w:val="7B3C937A"/>
    <w:rsid w:val="7B43ADDE"/>
    <w:rsid w:val="7B43EA44"/>
    <w:rsid w:val="7B48BFF8"/>
    <w:rsid w:val="7B4CA638"/>
    <w:rsid w:val="7B532468"/>
    <w:rsid w:val="7B58D2B6"/>
    <w:rsid w:val="7B61C110"/>
    <w:rsid w:val="7B67E379"/>
    <w:rsid w:val="7B77315A"/>
    <w:rsid w:val="7B7B0480"/>
    <w:rsid w:val="7B99D882"/>
    <w:rsid w:val="7BA6015E"/>
    <w:rsid w:val="7BA8B329"/>
    <w:rsid w:val="7BABEEC5"/>
    <w:rsid w:val="7BBAA3C3"/>
    <w:rsid w:val="7BDCC3E7"/>
    <w:rsid w:val="7BDF0F24"/>
    <w:rsid w:val="7BDF7CC0"/>
    <w:rsid w:val="7C0ED606"/>
    <w:rsid w:val="7C0F830B"/>
    <w:rsid w:val="7C1E3E6D"/>
    <w:rsid w:val="7C4B301D"/>
    <w:rsid w:val="7C58ECD2"/>
    <w:rsid w:val="7C63E173"/>
    <w:rsid w:val="7C944754"/>
    <w:rsid w:val="7CB1562F"/>
    <w:rsid w:val="7CB2BC7B"/>
    <w:rsid w:val="7CB84F8D"/>
    <w:rsid w:val="7CF55735"/>
    <w:rsid w:val="7D0DDA58"/>
    <w:rsid w:val="7D1B765B"/>
    <w:rsid w:val="7D1C11EE"/>
    <w:rsid w:val="7D267D1C"/>
    <w:rsid w:val="7D77B19C"/>
    <w:rsid w:val="7D7F329E"/>
    <w:rsid w:val="7D8BD1F1"/>
    <w:rsid w:val="7D9B404D"/>
    <w:rsid w:val="7D9EEB4E"/>
    <w:rsid w:val="7DAE0AD4"/>
    <w:rsid w:val="7DB3D9CD"/>
    <w:rsid w:val="7DB65AE4"/>
    <w:rsid w:val="7DB76F01"/>
    <w:rsid w:val="7DBEDCC6"/>
    <w:rsid w:val="7DBF29B6"/>
    <w:rsid w:val="7DC85F8C"/>
    <w:rsid w:val="7DF1DD96"/>
    <w:rsid w:val="7DF8429D"/>
    <w:rsid w:val="7DFC9B06"/>
    <w:rsid w:val="7E133626"/>
    <w:rsid w:val="7E23DBEE"/>
    <w:rsid w:val="7E26010F"/>
    <w:rsid w:val="7E290639"/>
    <w:rsid w:val="7E45B1AE"/>
    <w:rsid w:val="7E6E5B80"/>
    <w:rsid w:val="7E7D5F24"/>
    <w:rsid w:val="7E87278A"/>
    <w:rsid w:val="7E98C943"/>
    <w:rsid w:val="7E9A8C0D"/>
    <w:rsid w:val="7EBCBDD7"/>
    <w:rsid w:val="7EBE75AC"/>
    <w:rsid w:val="7EC01459"/>
    <w:rsid w:val="7EC94920"/>
    <w:rsid w:val="7EFC3AEF"/>
    <w:rsid w:val="7F084F6E"/>
    <w:rsid w:val="7F0C78C6"/>
    <w:rsid w:val="7F0F30F7"/>
    <w:rsid w:val="7F2EB248"/>
    <w:rsid w:val="7F319440"/>
    <w:rsid w:val="7F4131DE"/>
    <w:rsid w:val="7F4EDAEE"/>
    <w:rsid w:val="7F533F62"/>
    <w:rsid w:val="7F553539"/>
    <w:rsid w:val="7F60B32F"/>
    <w:rsid w:val="7F6427F6"/>
    <w:rsid w:val="7F647EB4"/>
    <w:rsid w:val="7F70CF33"/>
    <w:rsid w:val="7F822199"/>
    <w:rsid w:val="7F8602E1"/>
    <w:rsid w:val="7F8EE3CC"/>
    <w:rsid w:val="7FC170A3"/>
    <w:rsid w:val="7FC61C57"/>
    <w:rsid w:val="7FC9C4DD"/>
    <w:rsid w:val="7FD4F94E"/>
    <w:rsid w:val="7FEA5D3D"/>
    <w:rsid w:val="7FFEDF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62420"/>
  <w15:chartTrackingRefBased/>
  <w15:docId w15:val="{9A834C08-567B-4E45-B657-E9A31698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E0"/>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Heading 2_sj,Report Para,EC"/>
    <w:basedOn w:val="Normal"/>
    <w:link w:val="ListParagraphChar"/>
    <w:uiPriority w:val="34"/>
    <w:qFormat/>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R, Exposant 3 Point"/>
    <w:basedOn w:val="DefaultParagraphFont"/>
    <w:link w:val="ftrefCharCharCharCharCharCharCharCharChar"/>
    <w:uiPriority w:val="99"/>
    <w:unhideWhenUsed/>
    <w:qFormat/>
    <w:rPr>
      <w:vertAlign w:val="superscript"/>
    </w:rPr>
  </w:style>
  <w:style w:type="character" w:customStyle="1" w:styleId="FootnoteTextChar">
    <w:name w:val="Footnote Text Char"/>
    <w:aliases w:val="Fußnote Char,Podrozdział Char,Geneva 9 Char,Font: Geneva 9 Char,Boston 10 Char,f Char,ft Char1,Fotnotstext Char Char,ft Char Char,single space Char,footnote text Char,FOOTNOTES Char,ADB Char,single space1 Char,footnote text1 Char"/>
    <w:basedOn w:val="DefaultParagraphFont"/>
    <w:link w:val="FootnoteText"/>
    <w:rPr>
      <w:sz w:val="20"/>
      <w:szCs w:val="20"/>
    </w:rPr>
  </w:style>
  <w:style w:type="paragraph" w:styleId="FootnoteText">
    <w:name w:val="footnote text"/>
    <w:aliases w:val="Fußnote,Podrozdział,Geneva 9,Font: Geneva 9,Boston 10,f,ft,Fotnotstext Char,ft Char,single space,footnote text,FOOTNOTES,ADB,single space1,footnote text1,FOOTNOTES1,fn1,ADB1,single space2,footnote text2,FOOTNOTES2,fn2,ADB2,single space3,o"/>
    <w:basedOn w:val="Normal"/>
    <w:link w:val="FootnoteTextChar"/>
    <w:uiPriority w:val="99"/>
    <w:unhideWhenUsed/>
    <w:qFormat/>
    <w:pPr>
      <w:spacing w:after="0"/>
      <w:jc w:val="left"/>
    </w:pPr>
    <w:rPr>
      <w:rFonts w:asciiTheme="minorHAnsi" w:eastAsiaTheme="minorHAnsi" w:hAnsiTheme="minorHAnsi" w:cstheme="minorBidi"/>
      <w:sz w:val="20"/>
      <w:lang w:eastAsia="en-US"/>
    </w:rPr>
  </w:style>
  <w:style w:type="paragraph" w:styleId="CommentText">
    <w:name w:val="annotation text"/>
    <w:basedOn w:val="Normal"/>
    <w:link w:val="CommentTextChar"/>
    <w:uiPriority w:val="99"/>
    <w:semiHidden/>
    <w:unhideWhenUs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1C2B"/>
    <w:pPr>
      <w:spacing w:after="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31C2B"/>
    <w:rPr>
      <w:rFonts w:ascii="Segoe UI" w:hAnsi="Segoe UI" w:cs="Segoe UI"/>
      <w:sz w:val="18"/>
      <w:szCs w:val="18"/>
    </w:rPr>
  </w:style>
  <w:style w:type="character" w:styleId="FollowedHyperlink">
    <w:name w:val="FollowedHyperlink"/>
    <w:basedOn w:val="DefaultParagraphFont"/>
    <w:uiPriority w:val="99"/>
    <w:semiHidden/>
    <w:unhideWhenUsed/>
    <w:rsid w:val="004A2CF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B7805"/>
    <w:rPr>
      <w:b/>
      <w:bCs/>
    </w:rPr>
  </w:style>
  <w:style w:type="character" w:customStyle="1" w:styleId="CommentSubjectChar">
    <w:name w:val="Comment Subject Char"/>
    <w:basedOn w:val="CommentTextChar"/>
    <w:link w:val="CommentSubject"/>
    <w:uiPriority w:val="99"/>
    <w:semiHidden/>
    <w:rsid w:val="00DB7805"/>
    <w:rPr>
      <w:b/>
      <w:bCs/>
      <w:sz w:val="20"/>
      <w:szCs w:val="20"/>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9C18FF"/>
    <w:pPr>
      <w:spacing w:after="0"/>
      <w:ind w:right="335"/>
    </w:pPr>
    <w:rPr>
      <w:vertAlign w:val="superscript"/>
    </w:rPr>
  </w:style>
  <w:style w:type="paragraph" w:styleId="Revision">
    <w:name w:val="Revision"/>
    <w:hidden/>
    <w:uiPriority w:val="99"/>
    <w:semiHidden/>
    <w:rsid w:val="002E45B1"/>
    <w:pPr>
      <w:spacing w:after="0" w:line="240" w:lineRule="auto"/>
    </w:pPr>
  </w:style>
  <w:style w:type="paragraph" w:styleId="Header">
    <w:name w:val="header"/>
    <w:basedOn w:val="Normal"/>
    <w:link w:val="HeaderChar"/>
    <w:uiPriority w:val="99"/>
    <w:unhideWhenUsed/>
    <w:rsid w:val="003E7FE3"/>
    <w:pPr>
      <w:tabs>
        <w:tab w:val="center" w:pos="4513"/>
        <w:tab w:val="right" w:pos="9026"/>
      </w:tabs>
      <w:spacing w:after="0"/>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E7FE3"/>
  </w:style>
  <w:style w:type="paragraph" w:styleId="Footer">
    <w:name w:val="footer"/>
    <w:basedOn w:val="Normal"/>
    <w:link w:val="FooterChar"/>
    <w:uiPriority w:val="99"/>
    <w:unhideWhenUsed/>
    <w:rsid w:val="003E7FE3"/>
    <w:pPr>
      <w:tabs>
        <w:tab w:val="center" w:pos="4513"/>
        <w:tab w:val="right" w:pos="9026"/>
      </w:tabs>
      <w:spacing w:after="0"/>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E7FE3"/>
  </w:style>
  <w:style w:type="paragraph" w:customStyle="1" w:styleId="paragraph">
    <w:name w:val="paragraph"/>
    <w:basedOn w:val="Normal"/>
    <w:rsid w:val="000B3780"/>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0B3780"/>
  </w:style>
  <w:style w:type="character" w:customStyle="1" w:styleId="eop">
    <w:name w:val="eop"/>
    <w:basedOn w:val="DefaultParagraphFont"/>
    <w:rsid w:val="000B3780"/>
  </w:style>
  <w:style w:type="paragraph" w:customStyle="1" w:styleId="NormalHanging12a">
    <w:name w:val="NormalHanging12a"/>
    <w:basedOn w:val="Normal"/>
    <w:link w:val="NormalHanging12aChar"/>
    <w:uiPriority w:val="1"/>
    <w:rsid w:val="259D69D9"/>
    <w:pPr>
      <w:widowControl w:val="0"/>
      <w:ind w:left="567" w:hanging="567"/>
    </w:pPr>
    <w:rPr>
      <w:szCs w:val="24"/>
    </w:rPr>
  </w:style>
  <w:style w:type="character" w:customStyle="1" w:styleId="NormalHanging12aChar">
    <w:name w:val="NormalHanging12a Char"/>
    <w:basedOn w:val="DefaultParagraphFont"/>
    <w:link w:val="NormalHanging12a"/>
    <w:uiPriority w:val="1"/>
    <w:rsid w:val="259D69D9"/>
    <w:rPr>
      <w:sz w:val="24"/>
      <w:szCs w:val="24"/>
    </w:rPr>
  </w:style>
  <w:style w:type="character" w:customStyle="1" w:styleId="Mention1">
    <w:name w:val="Mention1"/>
    <w:basedOn w:val="DefaultParagraphFont"/>
    <w:uiPriority w:val="99"/>
    <w:unhideWhenUsed/>
    <w:rsid w:val="0007220D"/>
    <w:rPr>
      <w:color w:val="2B579A"/>
      <w:shd w:val="clear" w:color="auto" w:fill="E6E6E6"/>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qFormat/>
    <w:rsid w:val="001902E0"/>
    <w:rPr>
      <w:rFonts w:ascii="Courier New" w:eastAsia="Times New Roman" w:hAnsi="Courier New" w:cs="Times New Roman"/>
      <w:sz w:val="20"/>
      <w:szCs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19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2601">
      <w:bodyDiv w:val="1"/>
      <w:marLeft w:val="0"/>
      <w:marRight w:val="0"/>
      <w:marTop w:val="0"/>
      <w:marBottom w:val="0"/>
      <w:divBdr>
        <w:top w:val="none" w:sz="0" w:space="0" w:color="auto"/>
        <w:left w:val="none" w:sz="0" w:space="0" w:color="auto"/>
        <w:bottom w:val="none" w:sz="0" w:space="0" w:color="auto"/>
        <w:right w:val="none" w:sz="0" w:space="0" w:color="auto"/>
      </w:divBdr>
      <w:divsChild>
        <w:div w:id="245575886">
          <w:marLeft w:val="0"/>
          <w:marRight w:val="0"/>
          <w:marTop w:val="0"/>
          <w:marBottom w:val="0"/>
          <w:divBdr>
            <w:top w:val="none" w:sz="0" w:space="0" w:color="auto"/>
            <w:left w:val="none" w:sz="0" w:space="0" w:color="auto"/>
            <w:bottom w:val="none" w:sz="0" w:space="0" w:color="auto"/>
            <w:right w:val="none" w:sz="0" w:space="0" w:color="auto"/>
          </w:divBdr>
        </w:div>
        <w:div w:id="1421289577">
          <w:marLeft w:val="0"/>
          <w:marRight w:val="0"/>
          <w:marTop w:val="0"/>
          <w:marBottom w:val="0"/>
          <w:divBdr>
            <w:top w:val="none" w:sz="0" w:space="0" w:color="auto"/>
            <w:left w:val="none" w:sz="0" w:space="0" w:color="auto"/>
            <w:bottom w:val="none" w:sz="0" w:space="0" w:color="auto"/>
            <w:right w:val="none" w:sz="0" w:space="0" w:color="auto"/>
          </w:divBdr>
        </w:div>
        <w:div w:id="1587303867">
          <w:marLeft w:val="0"/>
          <w:marRight w:val="0"/>
          <w:marTop w:val="0"/>
          <w:marBottom w:val="0"/>
          <w:divBdr>
            <w:top w:val="none" w:sz="0" w:space="0" w:color="auto"/>
            <w:left w:val="none" w:sz="0" w:space="0" w:color="auto"/>
            <w:bottom w:val="none" w:sz="0" w:space="0" w:color="auto"/>
            <w:right w:val="none" w:sz="0" w:space="0" w:color="auto"/>
          </w:divBdr>
        </w:div>
        <w:div w:id="1819612712">
          <w:marLeft w:val="0"/>
          <w:marRight w:val="0"/>
          <w:marTop w:val="0"/>
          <w:marBottom w:val="0"/>
          <w:divBdr>
            <w:top w:val="none" w:sz="0" w:space="0" w:color="auto"/>
            <w:left w:val="none" w:sz="0" w:space="0" w:color="auto"/>
            <w:bottom w:val="none" w:sz="0" w:space="0" w:color="auto"/>
            <w:right w:val="none" w:sz="0" w:space="0" w:color="auto"/>
          </w:divBdr>
        </w:div>
        <w:div w:id="2050260331">
          <w:marLeft w:val="0"/>
          <w:marRight w:val="0"/>
          <w:marTop w:val="0"/>
          <w:marBottom w:val="0"/>
          <w:divBdr>
            <w:top w:val="none" w:sz="0" w:space="0" w:color="auto"/>
            <w:left w:val="none" w:sz="0" w:space="0" w:color="auto"/>
            <w:bottom w:val="none" w:sz="0" w:space="0" w:color="auto"/>
            <w:right w:val="none" w:sz="0" w:space="0" w:color="auto"/>
          </w:divBdr>
        </w:div>
      </w:divsChild>
    </w:div>
    <w:div w:id="797726816">
      <w:bodyDiv w:val="1"/>
      <w:marLeft w:val="0"/>
      <w:marRight w:val="0"/>
      <w:marTop w:val="0"/>
      <w:marBottom w:val="0"/>
      <w:divBdr>
        <w:top w:val="none" w:sz="0" w:space="0" w:color="auto"/>
        <w:left w:val="none" w:sz="0" w:space="0" w:color="auto"/>
        <w:bottom w:val="none" w:sz="0" w:space="0" w:color="auto"/>
        <w:right w:val="none" w:sz="0" w:space="0" w:color="auto"/>
      </w:divBdr>
      <w:divsChild>
        <w:div w:id="1016616315">
          <w:marLeft w:val="0"/>
          <w:marRight w:val="0"/>
          <w:marTop w:val="0"/>
          <w:marBottom w:val="0"/>
          <w:divBdr>
            <w:top w:val="none" w:sz="0" w:space="0" w:color="auto"/>
            <w:left w:val="none" w:sz="0" w:space="0" w:color="auto"/>
            <w:bottom w:val="none" w:sz="0" w:space="0" w:color="auto"/>
            <w:right w:val="none" w:sz="0" w:space="0" w:color="auto"/>
          </w:divBdr>
        </w:div>
        <w:div w:id="1032269975">
          <w:marLeft w:val="0"/>
          <w:marRight w:val="0"/>
          <w:marTop w:val="0"/>
          <w:marBottom w:val="0"/>
          <w:divBdr>
            <w:top w:val="none" w:sz="0" w:space="0" w:color="auto"/>
            <w:left w:val="none" w:sz="0" w:space="0" w:color="auto"/>
            <w:bottom w:val="none" w:sz="0" w:space="0" w:color="auto"/>
            <w:right w:val="none" w:sz="0" w:space="0" w:color="auto"/>
          </w:divBdr>
        </w:div>
        <w:div w:id="1329015566">
          <w:marLeft w:val="0"/>
          <w:marRight w:val="0"/>
          <w:marTop w:val="0"/>
          <w:marBottom w:val="0"/>
          <w:divBdr>
            <w:top w:val="none" w:sz="0" w:space="0" w:color="auto"/>
            <w:left w:val="none" w:sz="0" w:space="0" w:color="auto"/>
            <w:bottom w:val="none" w:sz="0" w:space="0" w:color="auto"/>
            <w:right w:val="none" w:sz="0" w:space="0" w:color="auto"/>
          </w:divBdr>
        </w:div>
        <w:div w:id="2075542104">
          <w:marLeft w:val="0"/>
          <w:marRight w:val="0"/>
          <w:marTop w:val="0"/>
          <w:marBottom w:val="0"/>
          <w:divBdr>
            <w:top w:val="none" w:sz="0" w:space="0" w:color="auto"/>
            <w:left w:val="none" w:sz="0" w:space="0" w:color="auto"/>
            <w:bottom w:val="none" w:sz="0" w:space="0" w:color="auto"/>
            <w:right w:val="none" w:sz="0" w:space="0" w:color="auto"/>
          </w:divBdr>
        </w:div>
      </w:divsChild>
    </w:div>
    <w:div w:id="1080373683">
      <w:bodyDiv w:val="1"/>
      <w:marLeft w:val="0"/>
      <w:marRight w:val="0"/>
      <w:marTop w:val="0"/>
      <w:marBottom w:val="0"/>
      <w:divBdr>
        <w:top w:val="none" w:sz="0" w:space="0" w:color="auto"/>
        <w:left w:val="none" w:sz="0" w:space="0" w:color="auto"/>
        <w:bottom w:val="none" w:sz="0" w:space="0" w:color="auto"/>
        <w:right w:val="none" w:sz="0" w:space="0" w:color="auto"/>
      </w:divBdr>
      <w:divsChild>
        <w:div w:id="733553141">
          <w:marLeft w:val="0"/>
          <w:marRight w:val="0"/>
          <w:marTop w:val="0"/>
          <w:marBottom w:val="0"/>
          <w:divBdr>
            <w:top w:val="none" w:sz="0" w:space="0" w:color="auto"/>
            <w:left w:val="none" w:sz="0" w:space="0" w:color="auto"/>
            <w:bottom w:val="none" w:sz="0" w:space="0" w:color="auto"/>
            <w:right w:val="none" w:sz="0" w:space="0" w:color="auto"/>
          </w:divBdr>
        </w:div>
        <w:div w:id="1305113140">
          <w:marLeft w:val="0"/>
          <w:marRight w:val="0"/>
          <w:marTop w:val="0"/>
          <w:marBottom w:val="0"/>
          <w:divBdr>
            <w:top w:val="none" w:sz="0" w:space="0" w:color="auto"/>
            <w:left w:val="none" w:sz="0" w:space="0" w:color="auto"/>
            <w:bottom w:val="none" w:sz="0" w:space="0" w:color="auto"/>
            <w:right w:val="none" w:sz="0" w:space="0" w:color="auto"/>
          </w:divBdr>
        </w:div>
        <w:div w:id="1367483442">
          <w:marLeft w:val="0"/>
          <w:marRight w:val="0"/>
          <w:marTop w:val="0"/>
          <w:marBottom w:val="0"/>
          <w:divBdr>
            <w:top w:val="none" w:sz="0" w:space="0" w:color="auto"/>
            <w:left w:val="none" w:sz="0" w:space="0" w:color="auto"/>
            <w:bottom w:val="none" w:sz="0" w:space="0" w:color="auto"/>
            <w:right w:val="none" w:sz="0" w:space="0" w:color="auto"/>
          </w:divBdr>
        </w:div>
        <w:div w:id="1724670814">
          <w:marLeft w:val="0"/>
          <w:marRight w:val="0"/>
          <w:marTop w:val="0"/>
          <w:marBottom w:val="0"/>
          <w:divBdr>
            <w:top w:val="none" w:sz="0" w:space="0" w:color="auto"/>
            <w:left w:val="none" w:sz="0" w:space="0" w:color="auto"/>
            <w:bottom w:val="none" w:sz="0" w:space="0" w:color="auto"/>
            <w:right w:val="none" w:sz="0" w:space="0" w:color="auto"/>
          </w:divBdr>
        </w:div>
      </w:divsChild>
    </w:div>
    <w:div w:id="1371956658">
      <w:bodyDiv w:val="1"/>
      <w:marLeft w:val="0"/>
      <w:marRight w:val="0"/>
      <w:marTop w:val="0"/>
      <w:marBottom w:val="0"/>
      <w:divBdr>
        <w:top w:val="none" w:sz="0" w:space="0" w:color="auto"/>
        <w:left w:val="none" w:sz="0" w:space="0" w:color="auto"/>
        <w:bottom w:val="none" w:sz="0" w:space="0" w:color="auto"/>
        <w:right w:val="none" w:sz="0" w:space="0" w:color="auto"/>
      </w:divBdr>
      <w:divsChild>
        <w:div w:id="172570881">
          <w:marLeft w:val="0"/>
          <w:marRight w:val="0"/>
          <w:marTop w:val="0"/>
          <w:marBottom w:val="0"/>
          <w:divBdr>
            <w:top w:val="none" w:sz="0" w:space="0" w:color="auto"/>
            <w:left w:val="none" w:sz="0" w:space="0" w:color="auto"/>
            <w:bottom w:val="none" w:sz="0" w:space="0" w:color="auto"/>
            <w:right w:val="none" w:sz="0" w:space="0" w:color="auto"/>
          </w:divBdr>
        </w:div>
        <w:div w:id="990789703">
          <w:marLeft w:val="0"/>
          <w:marRight w:val="0"/>
          <w:marTop w:val="0"/>
          <w:marBottom w:val="0"/>
          <w:divBdr>
            <w:top w:val="none" w:sz="0" w:space="0" w:color="auto"/>
            <w:left w:val="none" w:sz="0" w:space="0" w:color="auto"/>
            <w:bottom w:val="none" w:sz="0" w:space="0" w:color="auto"/>
            <w:right w:val="none" w:sz="0" w:space="0" w:color="auto"/>
          </w:divBdr>
        </w:div>
        <w:div w:id="1927498015">
          <w:marLeft w:val="0"/>
          <w:marRight w:val="0"/>
          <w:marTop w:val="0"/>
          <w:marBottom w:val="0"/>
          <w:divBdr>
            <w:top w:val="none" w:sz="0" w:space="0" w:color="auto"/>
            <w:left w:val="none" w:sz="0" w:space="0" w:color="auto"/>
            <w:bottom w:val="none" w:sz="0" w:space="0" w:color="auto"/>
            <w:right w:val="none" w:sz="0" w:space="0" w:color="auto"/>
          </w:divBdr>
        </w:div>
        <w:div w:id="2007975756">
          <w:marLeft w:val="0"/>
          <w:marRight w:val="0"/>
          <w:marTop w:val="0"/>
          <w:marBottom w:val="0"/>
          <w:divBdr>
            <w:top w:val="none" w:sz="0" w:space="0" w:color="auto"/>
            <w:left w:val="none" w:sz="0" w:space="0" w:color="auto"/>
            <w:bottom w:val="none" w:sz="0" w:space="0" w:color="auto"/>
            <w:right w:val="none" w:sz="0" w:space="0" w:color="auto"/>
          </w:divBdr>
        </w:div>
      </w:divsChild>
    </w:div>
    <w:div w:id="1492402098">
      <w:bodyDiv w:val="1"/>
      <w:marLeft w:val="0"/>
      <w:marRight w:val="0"/>
      <w:marTop w:val="0"/>
      <w:marBottom w:val="0"/>
      <w:divBdr>
        <w:top w:val="none" w:sz="0" w:space="0" w:color="auto"/>
        <w:left w:val="none" w:sz="0" w:space="0" w:color="auto"/>
        <w:bottom w:val="none" w:sz="0" w:space="0" w:color="auto"/>
        <w:right w:val="none" w:sz="0" w:space="0" w:color="auto"/>
      </w:divBdr>
    </w:div>
    <w:div w:id="19088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news/story/en/item/197623/icode/" TargetMode="External"/></Relationships>
</file>

<file path=word/documenttasks/documenttasks1.xml><?xml version="1.0" encoding="utf-8"?>
<t:Tasks xmlns:t="http://schemas.microsoft.com/office/tasks/2019/documenttasks" xmlns:oel="http://schemas.microsoft.com/office/2019/extlst">
  <t:Task id="{5AD26981-47AC-483A-BEB1-4DF96C5E3559}">
    <t:Anchor>
      <t:Comment id="2028126279"/>
    </t:Anchor>
    <t:History>
      <t:Event id="{C557CC11-95D1-41EA-9D15-6FBD1FB29052}" time="2023-02-28T13:09:55.49Z">
        <t:Attribution userId="S::fabien.santini@ec.europa.eu::d9661b5b-d91b-4aad-a364-686e3fe5c115" userProvider="AD" userName="SANTINI Fabien (AGRI)"/>
        <t:Anchor>
          <t:Comment id="2028126279"/>
        </t:Anchor>
        <t:Create/>
      </t:Event>
      <t:Event id="{7ACD94FC-F83B-4003-A157-CAFA6ADA52A6}" time="2023-02-28T13:09:55.49Z">
        <t:Attribution userId="S::fabien.santini@ec.europa.eu::d9661b5b-d91b-4aad-a364-686e3fe5c115" userProvider="AD" userName="SANTINI Fabien (AGRI)"/>
        <t:Anchor>
          <t:Comment id="2028126279"/>
        </t:Anchor>
        <t:Assign userId="S::Isidro.CAMPOS-RODRIGUEZ@ec.europa.eu::46ef89d6-a21f-4772-96a4-7079322f1c31" userProvider="AD" userName="CAMPOS RODRIGUEZ Isidro (AGRI)"/>
      </t:Event>
      <t:Event id="{CD0BA79F-9FCA-4E36-A2D8-6BAEA4C46ECB}" time="2023-02-28T13:09:55.49Z">
        <t:Attribution userId="S::fabien.santini@ec.europa.eu::d9661b5b-d91b-4aad-a364-686e3fe5c115" userProvider="AD" userName="SANTINI Fabien (AGRI)"/>
        <t:Anchor>
          <t:Comment id="2028126279"/>
        </t:Anchor>
        <t:SetTitle title="@CAMPOS RODRIGUEZ Isidro (AGRI) why did you delete this Isidro? this is raised by the EP (btw, sorry i missed the word &quot;not&quot;). thks to look at it aga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21A5D62C0C87419F720947190A6CAF" ma:contentTypeVersion="2" ma:contentTypeDescription="Create a new document." ma:contentTypeScope="" ma:versionID="08f58a5d8d72d5c780aaae61526769df">
  <xsd:schema xmlns:xsd="http://www.w3.org/2001/XMLSchema" xmlns:xs="http://www.w3.org/2001/XMLSchema" xmlns:p="http://schemas.microsoft.com/office/2006/metadata/properties" xmlns:ns2="8504f6c6-571f-44b8-81a9-b453d1b229fb" targetNamespace="http://schemas.microsoft.com/office/2006/metadata/properties" ma:root="true" ma:fieldsID="b9e40730e82c3ab91eba529ecc89a499" ns2:_="">
    <xsd:import namespace="8504f6c6-571f-44b8-81a9-b453d1b229f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4f6c6-571f-44b8-81a9-b453d1b22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D331D-C7D5-445E-BE9D-B9D01C0127EF}">
  <ds:schemaRefs>
    <ds:schemaRef ds:uri="http://schemas.openxmlformats.org/officeDocument/2006/bibliography"/>
  </ds:schemaRefs>
</ds:datastoreItem>
</file>

<file path=customXml/itemProps2.xml><?xml version="1.0" encoding="utf-8"?>
<ds:datastoreItem xmlns:ds="http://schemas.openxmlformats.org/officeDocument/2006/customXml" ds:itemID="{C709CB8A-47EC-4012-949C-1B4CDE37D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4f6c6-571f-44b8-81a9-b453d1b2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6A806-69D4-4D31-8D5D-E09049715D0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8504f6c6-571f-44b8-81a9-b453d1b229fb"/>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9513525-0871-4CF8-B27F-3E5588150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5887</Words>
  <Characters>33267</Characters>
  <Application>Microsoft Office Word</Application>
  <DocSecurity>0</DocSecurity>
  <Lines>432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VAN OORDT Caroline (ENV)</dc:creator>
  <cp:keywords/>
  <dc:description/>
  <cp:lastModifiedBy>DELBAER Gerda (SG)</cp:lastModifiedBy>
  <cp:revision>2</cp:revision>
  <dcterms:created xsi:type="dcterms:W3CDTF">2023-05-24T11:32:00Z</dcterms:created>
  <dcterms:modified xsi:type="dcterms:W3CDTF">2023-05-24T11:32:00Z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0x0101002121A5D62C0C87419F720947190A6CAF</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2022-07-05T17:13:46Z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87d70c94-7996-4e77-b6c2-0c72aa0a6aa4</vt:lpwstr>
  </property>
  <property fmtid="{D5CDD505-2E9C-101B-9397-08002B2CF9AE}" pid="10" name="MSIP_Label_6bd9ddd1-4d20-43f6-abfa-fc3c07406f94_ContentBits">
    <vt:lpwstr>0</vt:lpwstr>
  </property>
</Properties>
</file>