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5F6C7" w14:textId="35B182E3" w:rsidR="007301BA" w:rsidRPr="00674EE6" w:rsidRDefault="00674EE6" w:rsidP="00674EE6">
      <w:pPr>
        <w:spacing w:after="600"/>
        <w:jc w:val="center"/>
        <w:rPr>
          <w:rFonts w:ascii="Times New Roman" w:hAnsi="Times New Roman"/>
          <w:b/>
          <w:bCs/>
          <w:szCs w:val="24"/>
        </w:rPr>
      </w:pPr>
      <w:r>
        <w:rPr>
          <w:rFonts w:ascii="Times New Roman" w:hAnsi="Times New Roman"/>
          <w:b/>
        </w:rPr>
        <w:t>Suite donnée à la résolution non législative du Parlement européen sur le projet de décision du Conseil relative à la conclusion de l’accord de partenariat volontaire entre l’Union européenne et la République coopérative du Guyana sur l’application des réglementations forestières, la gouvernance et les échanges commerciaux de produits du bois vers l’Union européenne</w:t>
      </w:r>
    </w:p>
    <w:p w14:paraId="0D9623FD" w14:textId="4A5EE039" w:rsidR="00377B07" w:rsidRPr="00674EE6" w:rsidRDefault="00377B07" w:rsidP="00377B07">
      <w:pPr>
        <w:numPr>
          <w:ilvl w:val="0"/>
          <w:numId w:val="1"/>
        </w:numPr>
        <w:ind w:left="567" w:hanging="567"/>
        <w:rPr>
          <w:rFonts w:ascii="Times New Roman" w:hAnsi="Times New Roman"/>
          <w:b/>
          <w:szCs w:val="24"/>
        </w:rPr>
      </w:pPr>
      <w:r>
        <w:rPr>
          <w:rFonts w:ascii="Times New Roman" w:hAnsi="Times New Roman"/>
          <w:b/>
        </w:rPr>
        <w:t xml:space="preserve">Rapporteure: </w:t>
      </w:r>
      <w:r>
        <w:rPr>
          <w:rFonts w:ascii="Times New Roman" w:hAnsi="Times New Roman"/>
        </w:rPr>
        <w:t>Karin KARLSBRO (Renew / SE)</w:t>
      </w:r>
    </w:p>
    <w:p w14:paraId="53EF597B" w14:textId="34CCB8A2" w:rsidR="00377B07" w:rsidRPr="00674EE6" w:rsidRDefault="00377B07" w:rsidP="00377B07">
      <w:pPr>
        <w:numPr>
          <w:ilvl w:val="0"/>
          <w:numId w:val="1"/>
        </w:numPr>
        <w:ind w:left="567" w:hanging="567"/>
        <w:rPr>
          <w:rFonts w:ascii="Times New Roman" w:hAnsi="Times New Roman"/>
          <w:i/>
          <w:szCs w:val="24"/>
        </w:rPr>
      </w:pPr>
      <w:r>
        <w:rPr>
          <w:rFonts w:ascii="Times New Roman" w:hAnsi="Times New Roman"/>
          <w:b/>
        </w:rPr>
        <w:t xml:space="preserve">Numéros de référence: </w:t>
      </w:r>
      <w:r>
        <w:rPr>
          <w:rFonts w:ascii="Times New Roman" w:hAnsi="Times New Roman"/>
        </w:rPr>
        <w:t>2022/0142M (NLE) / A9-0018/2023 / P9_TA(2023)0035</w:t>
      </w:r>
    </w:p>
    <w:p w14:paraId="2048A2D8" w14:textId="038D86B0" w:rsidR="00377B07" w:rsidRPr="00674EE6" w:rsidRDefault="00377B07" w:rsidP="00377B07">
      <w:pPr>
        <w:numPr>
          <w:ilvl w:val="0"/>
          <w:numId w:val="1"/>
        </w:numPr>
        <w:ind w:left="567" w:hanging="567"/>
        <w:rPr>
          <w:rFonts w:ascii="Times New Roman" w:hAnsi="Times New Roman"/>
          <w:szCs w:val="24"/>
        </w:rPr>
      </w:pPr>
      <w:r>
        <w:rPr>
          <w:rFonts w:ascii="Times New Roman" w:hAnsi="Times New Roman"/>
          <w:b/>
        </w:rPr>
        <w:t>Date d’adoption de la résolution:</w:t>
      </w:r>
      <w:r>
        <w:rPr>
          <w:rFonts w:ascii="Times New Roman" w:hAnsi="Times New Roman"/>
        </w:rPr>
        <w:t xml:space="preserve"> 14 février 2023</w:t>
      </w:r>
    </w:p>
    <w:p w14:paraId="1D9C062C" w14:textId="772B4C3B" w:rsidR="00377B07" w:rsidRPr="00674EE6" w:rsidRDefault="00377B07" w:rsidP="00377B07">
      <w:pPr>
        <w:numPr>
          <w:ilvl w:val="0"/>
          <w:numId w:val="1"/>
        </w:numPr>
        <w:spacing w:line="276" w:lineRule="auto"/>
        <w:ind w:left="567" w:hanging="567"/>
        <w:rPr>
          <w:rFonts w:ascii="Times New Roman" w:eastAsia="Calibri" w:hAnsi="Times New Roman"/>
          <w:szCs w:val="24"/>
        </w:rPr>
      </w:pPr>
      <w:r>
        <w:rPr>
          <w:rFonts w:ascii="Times New Roman" w:hAnsi="Times New Roman"/>
          <w:b/>
        </w:rPr>
        <w:t>Commission parlementaire compétente:</w:t>
      </w:r>
      <w:r>
        <w:rPr>
          <w:rFonts w:ascii="Times New Roman" w:hAnsi="Times New Roman"/>
        </w:rPr>
        <w:t xml:space="preserve"> commission du commerce international (INTA)</w:t>
      </w:r>
    </w:p>
    <w:p w14:paraId="05A58753" w14:textId="77777777" w:rsidR="00377B07" w:rsidRPr="00674EE6" w:rsidRDefault="00377B07" w:rsidP="00377B07">
      <w:pPr>
        <w:widowControl w:val="0"/>
        <w:numPr>
          <w:ilvl w:val="0"/>
          <w:numId w:val="1"/>
        </w:numPr>
        <w:ind w:left="567" w:hanging="567"/>
        <w:rPr>
          <w:rFonts w:ascii="Times New Roman" w:hAnsi="Times New Roman"/>
          <w:szCs w:val="24"/>
        </w:rPr>
      </w:pPr>
      <w:r>
        <w:rPr>
          <w:rFonts w:ascii="Times New Roman" w:hAnsi="Times New Roman"/>
          <w:b/>
        </w:rPr>
        <w:t>Analyse/évaluation succincte de la résolution et des demandes qu’elle contient</w:t>
      </w:r>
    </w:p>
    <w:p w14:paraId="3A453D9D" w14:textId="256DB842" w:rsidR="00377B07" w:rsidRPr="00674EE6" w:rsidRDefault="00377B07" w:rsidP="00377B07">
      <w:pPr>
        <w:spacing w:after="120"/>
        <w:rPr>
          <w:rFonts w:ascii="Times New Roman" w:hAnsi="Times New Roman"/>
          <w:szCs w:val="24"/>
        </w:rPr>
      </w:pPr>
      <w:r>
        <w:rPr>
          <w:rFonts w:ascii="Times New Roman" w:hAnsi="Times New Roman"/>
        </w:rPr>
        <w:t>Dans cette résolution, le Parlement européen souscrit résolument à la conclusion des négociations de l’accord de partenariat volontaire (ci-après l’«APV») entre l’UE et le Guyana. Il souligne l’importance de l’accord pour garantir que seul le bois abattu légalement sera importé dans l’Union ainsi que pour encourager des pratiques de gestion durable des forêts, la gouvernance forestière, l’application de la réglementation et le respect des droits de l’homme, entre autres. Il se félicite également de la participation élevée des acteurs concernés et de l’adoption d’un cadre commun de mise en œuvre. Dans sa résolution, le Parlement souligne la possibilité de donner un coup de fouet à la création d’emplois dans le secteur forestier et salue la fixation par certains secteurs de priorités et d’objectifs communs en vue d’une gestion durable des forêts et d’une coopération commerciale.</w:t>
      </w:r>
    </w:p>
    <w:p w14:paraId="0D598E4C" w14:textId="641F783A" w:rsidR="00377B07" w:rsidRPr="00674EE6" w:rsidRDefault="00377B07" w:rsidP="00377B07">
      <w:pPr>
        <w:widowControl w:val="0"/>
        <w:spacing w:after="120"/>
        <w:rPr>
          <w:rFonts w:ascii="Times New Roman" w:hAnsi="Times New Roman"/>
          <w:szCs w:val="24"/>
        </w:rPr>
      </w:pPr>
      <w:r>
        <w:rPr>
          <w:rFonts w:ascii="Times New Roman" w:hAnsi="Times New Roman"/>
        </w:rPr>
        <w:t>La résolution invite également le Guyana et l’UE à poursuivre leurs efforts et à veiller à ce qu’un appui en matière logistique et technique soit apporté au processus de l’APV à l’avenir. Elle demande à la Commission de rendre compte régulièrement au Parlement européen de la mise en œuvre de l’accord.</w:t>
      </w:r>
    </w:p>
    <w:p w14:paraId="3FB4C06B" w14:textId="6774BC3E" w:rsidR="00377B07" w:rsidRPr="009F45AC" w:rsidRDefault="00377B07" w:rsidP="00674EE6">
      <w:pPr>
        <w:numPr>
          <w:ilvl w:val="0"/>
          <w:numId w:val="1"/>
        </w:numPr>
        <w:ind w:left="567" w:hanging="567"/>
        <w:rPr>
          <w:rFonts w:ascii="Calibri" w:eastAsia="Calibri" w:hAnsi="Calibri" w:cs="Calibri"/>
          <w:b/>
          <w:bCs/>
          <w:sz w:val="22"/>
          <w:szCs w:val="22"/>
        </w:rPr>
      </w:pPr>
      <w:r>
        <w:rPr>
          <w:rFonts w:ascii="Times New Roman" w:hAnsi="Times New Roman"/>
          <w:b/>
        </w:rPr>
        <w:t>Réponse à ces demandes et aperçu des mesures que la Commission a prises ou envisage de prendre</w:t>
      </w:r>
    </w:p>
    <w:p w14:paraId="420C0458" w14:textId="7B8595E8" w:rsidR="009F45AC" w:rsidRPr="00674EE6" w:rsidRDefault="00304384" w:rsidP="00674EE6">
      <w:pPr>
        <w:spacing w:after="120"/>
        <w:rPr>
          <w:rFonts w:ascii="Times New Roman" w:hAnsi="Times New Roman"/>
          <w:szCs w:val="24"/>
        </w:rPr>
      </w:pPr>
      <w:r>
        <w:rPr>
          <w:rFonts w:ascii="Times New Roman" w:hAnsi="Times New Roman"/>
        </w:rPr>
        <w:t>La Commission se réjouit du soutien accordé par le Parlement européen à l’APV avec le Guyana et de l’attention portée aux éléments essentiels de la mise en œuvre de l’accord. Ces éléments sont bien couverts dans le texte de l’APV ainsi que dans le cadre commun de mise en œuvre qui a été établi pour guider les parties et les parties prenantes vers la réalisation des objectifs de l’accord, notamment l’application des réglementations forestières, la gouvernance et les échanges commerciaux (FLEGT).</w:t>
      </w:r>
    </w:p>
    <w:p w14:paraId="54FB19FA" w14:textId="554173A7" w:rsidR="009F45AC" w:rsidRPr="00674EE6" w:rsidRDefault="009F45AC" w:rsidP="00674EE6">
      <w:pPr>
        <w:spacing w:after="120"/>
        <w:rPr>
          <w:rFonts w:ascii="Times New Roman" w:hAnsi="Times New Roman"/>
          <w:szCs w:val="24"/>
        </w:rPr>
      </w:pPr>
      <w:r>
        <w:rPr>
          <w:rFonts w:ascii="Times New Roman" w:hAnsi="Times New Roman"/>
        </w:rPr>
        <w:t xml:space="preserve">En ce qui concerne le </w:t>
      </w:r>
      <w:r>
        <w:rPr>
          <w:rFonts w:ascii="Times New Roman" w:hAnsi="Times New Roman"/>
          <w:b/>
        </w:rPr>
        <w:t>paragraphe 4</w:t>
      </w:r>
      <w:r>
        <w:rPr>
          <w:rFonts w:ascii="Times New Roman" w:hAnsi="Times New Roman"/>
        </w:rPr>
        <w:t xml:space="preserve">, l’APV comprend un cadre détaillé pour guider la fourniture d’un appui technique et financier à la mise en œuvre et à la réalisation des objectifs, notamment la mise en place d’un régime d’autorisation FLEGT. L’article 15 («Mesures d’accompagnement») et l’annexe VII («Mesures d’accompagnement et mécanismes de financement») recensent les domaines dans lesquels cet appui doit être fourni ainsi que les sources de financement potentielles. Un cadre commun de mise en œuvre de l’APV a été élaboré pour orienter les activités de mise en œuvre, tandis qu’un groupe de coordination des donateurs présidé par la délégation de l’UE et le Guyana a été créé pour </w:t>
      </w:r>
      <w:r>
        <w:rPr>
          <w:rFonts w:ascii="Times New Roman" w:hAnsi="Times New Roman"/>
        </w:rPr>
        <w:lastRenderedPageBreak/>
        <w:t>garantir une efficacité et un impact maximaux. Le soutien au renforcement des institutions et au développement des capacités des parties prenantes avait déjà été programmé et est actuellement déployé, tandis qu’un soutien supplémentaire est prévu pour les éléments essentiels de l’APV, tels que le développement du système de garantie de la légalité du bois (SGLB) et les améliorations de la gouvernance.</w:t>
      </w:r>
    </w:p>
    <w:p w14:paraId="33ADC402" w14:textId="22BBF111" w:rsidR="009F45AC" w:rsidRPr="00674EE6" w:rsidRDefault="009F45AC" w:rsidP="00674EE6">
      <w:pPr>
        <w:shd w:val="clear" w:color="auto" w:fill="FFFFFF"/>
        <w:spacing w:after="120"/>
        <w:rPr>
          <w:rFonts w:ascii="Times New Roman" w:hAnsi="Times New Roman"/>
          <w:szCs w:val="24"/>
        </w:rPr>
      </w:pPr>
      <w:r>
        <w:rPr>
          <w:rFonts w:ascii="Times New Roman" w:hAnsi="Times New Roman"/>
        </w:rPr>
        <w:t xml:space="preserve">En ce qui concerne le </w:t>
      </w:r>
      <w:r>
        <w:rPr>
          <w:rFonts w:ascii="Times New Roman" w:hAnsi="Times New Roman"/>
          <w:b/>
        </w:rPr>
        <w:t>paragraphe 10</w:t>
      </w:r>
      <w:r>
        <w:rPr>
          <w:rFonts w:ascii="Times New Roman" w:hAnsi="Times New Roman"/>
        </w:rPr>
        <w:t xml:space="preserve"> (analyse de genre), l’APV comporte des références au genre dans différentes dispositions pour garantir non seulement une inclusion efficace dans la mise en œuvre, mais aussi pour prévenir et atténuer tout effet négatif potentiel (articles 17 et 18). Le cadre commun de mise en œuvre de l’APV a été élaboré avec cet objectif en tête et comprend des activités spécifiques à cet égard, comme le renforcement des capacités en matière d’emploi et de droits des femmes. Le soutien apporté par l’UE dans ce contexte est guidé par des objectifs axés sur l’égalité entre les genres.</w:t>
      </w:r>
    </w:p>
    <w:p w14:paraId="35D05BC2" w14:textId="1888E382" w:rsidR="009F45AC" w:rsidRPr="00674EE6" w:rsidRDefault="009F45AC" w:rsidP="00674EE6">
      <w:pPr>
        <w:shd w:val="clear" w:color="auto" w:fill="FFFFFF"/>
        <w:spacing w:after="120"/>
        <w:rPr>
          <w:rFonts w:ascii="Times New Roman" w:hAnsi="Times New Roman"/>
          <w:szCs w:val="24"/>
        </w:rPr>
      </w:pPr>
      <w:r>
        <w:rPr>
          <w:rFonts w:ascii="Times New Roman" w:hAnsi="Times New Roman"/>
        </w:rPr>
        <w:t xml:space="preserve">En ce qui concerne la demande du </w:t>
      </w:r>
      <w:r>
        <w:rPr>
          <w:rFonts w:ascii="Times New Roman" w:hAnsi="Times New Roman"/>
          <w:b/>
        </w:rPr>
        <w:t>paragraphe 11</w:t>
      </w:r>
      <w:r>
        <w:rPr>
          <w:rFonts w:ascii="Times New Roman" w:hAnsi="Times New Roman"/>
        </w:rPr>
        <w:t xml:space="preserve">, la Commission tient le Parlement informé de l’avancée de tous les APV dans le cadre du groupe APV créé par la commission INTA. Par ailleurs, l’UE et le Guyana ont convenu d’examiner l’incidence du règlement de l’UE relatif à la déforestation sur l’APV, en vue de mieux comprendre les perspectives et les défis qui se présentent à tous les acteurs, étatiques ou non. Un groupe de travail a déjà été créé, sous l’égide du comité conjoint de suivi et d’évaluation, pour orienter ces discussions et s’accorder sur la meilleure voie à suivre. </w:t>
      </w:r>
    </w:p>
    <w:p w14:paraId="6892086D" w14:textId="5399D5CD" w:rsidR="009F45AC" w:rsidRPr="00674EE6" w:rsidRDefault="009F45AC" w:rsidP="00674EE6">
      <w:pPr>
        <w:shd w:val="clear" w:color="auto" w:fill="FFFFFF"/>
        <w:spacing w:after="120"/>
        <w:rPr>
          <w:rFonts w:ascii="Times New Roman" w:hAnsi="Times New Roman"/>
          <w:szCs w:val="24"/>
        </w:rPr>
      </w:pPr>
      <w:r>
        <w:rPr>
          <w:rFonts w:ascii="Times New Roman" w:hAnsi="Times New Roman"/>
        </w:rPr>
        <w:t>La dimension régionale de l’exploitation forestière illégale et du commerce qui y est associé (</w:t>
      </w:r>
      <w:r>
        <w:rPr>
          <w:rFonts w:ascii="Times New Roman" w:hAnsi="Times New Roman"/>
          <w:b/>
        </w:rPr>
        <w:t>paragraphe 12</w:t>
      </w:r>
      <w:r>
        <w:rPr>
          <w:rFonts w:ascii="Times New Roman" w:hAnsi="Times New Roman"/>
        </w:rPr>
        <w:t>) est bien intégrée dans l’APV, le champ d’application de l’accord couvrant aussi bien les exportations vers des marchés extérieurs à l’Union que les importations de bois. Dans le contexte du cadre commun de mise en œuvre, des activités sont prévues pour assurer la crédibilité du système en ce qui concerne tant les exportations que les importations de bois en provenance des pays voisins. Le comité conjoint de suivi et d’évaluation qui est chargé de suivre et d’évaluer l’état d’avancement de la mise en œuvre accordera une attention particulière à cette question et guidera les missions de l’audit indépendant.</w:t>
      </w:r>
    </w:p>
    <w:p w14:paraId="455A32A3" w14:textId="79FB84A2" w:rsidR="009F45AC" w:rsidRPr="00674EE6" w:rsidRDefault="009F45AC" w:rsidP="00674EE6">
      <w:pPr>
        <w:shd w:val="clear" w:color="auto" w:fill="FFFFFF"/>
        <w:spacing w:after="120"/>
        <w:rPr>
          <w:rFonts w:ascii="Times New Roman" w:hAnsi="Times New Roman"/>
          <w:szCs w:val="24"/>
        </w:rPr>
      </w:pPr>
      <w:r>
        <w:rPr>
          <w:rFonts w:ascii="Times New Roman" w:hAnsi="Times New Roman"/>
        </w:rPr>
        <w:t xml:space="preserve">La mise en œuvre réussie de l’APV UE-Guyana et la réalisation de ses objectifs, notamment la mise en place du régime d’autorisation FLEGT, représenteraient une bonne pratique pour la région et pourraient inspirer de manière positive la fixation d’objectifs et de lignes d’action par les pays voisins sur les questions liées à la forêt, notamment dans le prolongement du sommet UE-CELAC (Communauté des États latino-américains et des Caraïbes) à venir. </w:t>
      </w:r>
    </w:p>
    <w:sectPr w:rsidR="009F45AC" w:rsidRPr="00674EE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43001" w14:textId="77777777" w:rsidR="00F7619D" w:rsidRDefault="00F7619D" w:rsidP="00377B07">
      <w:pPr>
        <w:spacing w:after="0"/>
      </w:pPr>
      <w:r>
        <w:separator/>
      </w:r>
    </w:p>
  </w:endnote>
  <w:endnote w:type="continuationSeparator" w:id="0">
    <w:p w14:paraId="3FB0A49E" w14:textId="77777777" w:rsidR="00F7619D" w:rsidRDefault="00F7619D" w:rsidP="00377B0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D4C46" w14:textId="77777777" w:rsidR="00F7619D" w:rsidRDefault="00F7619D" w:rsidP="00377B07">
      <w:pPr>
        <w:spacing w:after="0"/>
      </w:pPr>
      <w:r>
        <w:separator/>
      </w:r>
    </w:p>
  </w:footnote>
  <w:footnote w:type="continuationSeparator" w:id="0">
    <w:p w14:paraId="45726547" w14:textId="77777777" w:rsidR="00F7619D" w:rsidRDefault="00F7619D" w:rsidP="00377B0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FD22FF"/>
    <w:multiLevelType w:val="multilevel"/>
    <w:tmpl w:val="7F44C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E463B53"/>
    <w:multiLevelType w:val="hybridMultilevel"/>
    <w:tmpl w:val="CF64E904"/>
    <w:lvl w:ilvl="0" w:tplc="41085656">
      <w:start w:val="1"/>
      <w:numFmt w:val="decimal"/>
      <w:lvlText w:val="%1."/>
      <w:lvlJc w:val="left"/>
      <w:pPr>
        <w:ind w:left="862" w:hanging="720"/>
      </w:pPr>
      <w:rPr>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246958874">
    <w:abstractNumId w:val="1"/>
  </w:num>
  <w:num w:numId="2" w16cid:durableId="597518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377B07"/>
    <w:rsid w:val="00040A47"/>
    <w:rsid w:val="001B26FD"/>
    <w:rsid w:val="00216ED1"/>
    <w:rsid w:val="002A1475"/>
    <w:rsid w:val="00304384"/>
    <w:rsid w:val="003704F7"/>
    <w:rsid w:val="00377B07"/>
    <w:rsid w:val="003D4D5E"/>
    <w:rsid w:val="0041637D"/>
    <w:rsid w:val="00435194"/>
    <w:rsid w:val="004A459A"/>
    <w:rsid w:val="004B25B5"/>
    <w:rsid w:val="00572C62"/>
    <w:rsid w:val="006150D3"/>
    <w:rsid w:val="00645BA0"/>
    <w:rsid w:val="00674EE6"/>
    <w:rsid w:val="00722632"/>
    <w:rsid w:val="007301BA"/>
    <w:rsid w:val="007677BE"/>
    <w:rsid w:val="00793029"/>
    <w:rsid w:val="007A3B08"/>
    <w:rsid w:val="007E5646"/>
    <w:rsid w:val="00834E5B"/>
    <w:rsid w:val="009013BF"/>
    <w:rsid w:val="009618BD"/>
    <w:rsid w:val="009F45AC"/>
    <w:rsid w:val="00A17D6D"/>
    <w:rsid w:val="00A93045"/>
    <w:rsid w:val="00B5360F"/>
    <w:rsid w:val="00BD22C4"/>
    <w:rsid w:val="00C33F2F"/>
    <w:rsid w:val="00C34C02"/>
    <w:rsid w:val="00D55876"/>
    <w:rsid w:val="00D73BCF"/>
    <w:rsid w:val="00D844F7"/>
    <w:rsid w:val="00E263A5"/>
    <w:rsid w:val="00E645D7"/>
    <w:rsid w:val="00F220CF"/>
    <w:rsid w:val="00F279D9"/>
    <w:rsid w:val="00F7619D"/>
    <w:rsid w:val="00F964A9"/>
    <w:rsid w:val="00FD5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986B41"/>
  <w15:chartTrackingRefBased/>
  <w15:docId w15:val="{2018478F-DE0D-4714-AA43-7270A4764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B07"/>
    <w:pPr>
      <w:spacing w:after="240" w:line="240" w:lineRule="auto"/>
      <w:jc w:val="both"/>
    </w:pPr>
    <w:rPr>
      <w:rFonts w:ascii="Courier New" w:eastAsia="Times New Roman" w:hAnsi="Courier New"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ußnotentext Char Char1 Char Char,Fußnotentext Char1 Char1 Char Char Char,Fußnotentext Char Char Char Char Char Char Char1,Footnote Text Char1,Footnote Text Char Char,o,Footnote TextCSR"/>
    <w:basedOn w:val="Normal"/>
    <w:link w:val="FootnoteTextChar2"/>
    <w:uiPriority w:val="99"/>
    <w:qFormat/>
    <w:rsid w:val="00377B07"/>
    <w:pPr>
      <w:ind w:left="357" w:hanging="357"/>
    </w:pPr>
    <w:rPr>
      <w:sz w:val="20"/>
    </w:rPr>
  </w:style>
  <w:style w:type="character" w:customStyle="1" w:styleId="FootnoteTextChar">
    <w:name w:val="Footnote Text Char"/>
    <w:basedOn w:val="DefaultParagraphFont"/>
    <w:uiPriority w:val="99"/>
    <w:semiHidden/>
    <w:rsid w:val="00377B07"/>
    <w:rPr>
      <w:rFonts w:ascii="Courier New" w:eastAsia="Times New Roman" w:hAnsi="Courier New" w:cs="Times New Roman"/>
      <w:sz w:val="20"/>
      <w:szCs w:val="20"/>
      <w:lang w:eastAsia="en-GB"/>
    </w:rPr>
  </w:style>
  <w:style w:type="character" w:styleId="FootnoteReference">
    <w:name w:val="footnote reference"/>
    <w:aliases w:val=" BVI fnr,BVI fnr,SUPERS,Footnote symbol,Footnote,Footnote reference number,Footnote number,Footnote Reference Superscript,note TESI,EN Footnote Reference,-E Fußnotenzeichen,number Char Char,Footnote Reference Superscript Car,number,Re"/>
    <w:link w:val="ftrefCharCharCharCharCharCharCharCharChar"/>
    <w:uiPriority w:val="99"/>
    <w:qFormat/>
    <w:rsid w:val="00377B07"/>
    <w:rPr>
      <w:vertAlign w:val="superscript"/>
    </w:rPr>
  </w:style>
  <w:style w:type="character" w:styleId="Hyperlink">
    <w:name w:val="Hyperlink"/>
    <w:aliases w:val="Char1"/>
    <w:uiPriority w:val="99"/>
    <w:rsid w:val="00377B07"/>
    <w:rPr>
      <w:color w:val="0000FF"/>
      <w:u w:val="single"/>
    </w:rPr>
  </w:style>
  <w:style w:type="character" w:customStyle="1" w:styleId="FootnoteTextChar2">
    <w:name w:val="Footnote Text Char2"/>
    <w:aliases w:val="Footnote Text Char1 Char Char,Footnote Text Char Char Char Char,Fußnotentext Char Char1 Char Char Char,Fußnotentext Char1 Char1 Char Char Char Char,Fußnotentext Char Char Char Char Char Char Char1 Char,Footnote Text Char1 Char1"/>
    <w:link w:val="FootnoteText"/>
    <w:uiPriority w:val="99"/>
    <w:rsid w:val="00377B07"/>
    <w:rPr>
      <w:rFonts w:ascii="Courier New" w:eastAsia="Times New Roman" w:hAnsi="Courier New" w:cs="Times New Roman"/>
      <w:sz w:val="20"/>
      <w:szCs w:val="20"/>
      <w:lang w:eastAsia="en-GB"/>
    </w:rPr>
  </w:style>
  <w:style w:type="paragraph" w:customStyle="1" w:styleId="ftrefCharCharCharCharCharCharCharCharChar">
    <w:name w:val="ftref Char Char Char Char Char Char Char Char Char"/>
    <w:aliases w:val="Footnote Char Char Char Char Char Char Char Char Char, BVI fnr Char Char Char Char Char Char Char Char Char,BVI fnr Char Char Char Char Char Char Char Char Char Char"/>
    <w:basedOn w:val="Normal"/>
    <w:next w:val="Normal"/>
    <w:link w:val="FootnoteReference"/>
    <w:uiPriority w:val="99"/>
    <w:rsid w:val="00377B07"/>
    <w:pPr>
      <w:spacing w:after="160" w:line="240" w:lineRule="exact"/>
      <w:jc w:val="left"/>
    </w:pPr>
    <w:rPr>
      <w:rFonts w:asciiTheme="minorHAnsi" w:eastAsiaTheme="minorHAnsi" w:hAnsiTheme="minorHAnsi" w:cstheme="minorBidi"/>
      <w:sz w:val="22"/>
      <w:szCs w:val="22"/>
      <w:vertAlign w:val="superscript"/>
      <w:lang w:eastAsia="en-US"/>
    </w:rPr>
  </w:style>
  <w:style w:type="character" w:customStyle="1" w:styleId="sln-member-name">
    <w:name w:val="sln-member-name"/>
    <w:basedOn w:val="DefaultParagraphFont"/>
    <w:rsid w:val="00377B07"/>
  </w:style>
  <w:style w:type="paragraph" w:customStyle="1" w:styleId="NormalHanging12a">
    <w:name w:val="NormalHanging12a"/>
    <w:basedOn w:val="Normal"/>
    <w:link w:val="NormalHanging12aChar"/>
    <w:rsid w:val="00377B07"/>
    <w:pPr>
      <w:widowControl w:val="0"/>
      <w:ind w:left="567" w:hanging="567"/>
      <w:jc w:val="left"/>
    </w:pPr>
    <w:rPr>
      <w:rFonts w:ascii="Times New Roman" w:hAnsi="Times New Roman"/>
    </w:rPr>
  </w:style>
  <w:style w:type="character" w:customStyle="1" w:styleId="NormalHanging12aChar">
    <w:name w:val="NormalHanging12a Char"/>
    <w:basedOn w:val="DefaultParagraphFont"/>
    <w:link w:val="NormalHanging12a"/>
    <w:rsid w:val="00377B07"/>
    <w:rPr>
      <w:rFonts w:ascii="Times New Roman" w:eastAsia="Times New Roman" w:hAnsi="Times New Roman" w:cs="Times New Roman"/>
      <w:sz w:val="24"/>
      <w:szCs w:val="20"/>
      <w:lang w:eastAsia="en-GB"/>
    </w:rPr>
  </w:style>
  <w:style w:type="paragraph" w:customStyle="1" w:styleId="ltttitle2">
    <w:name w:val="ltttitle2"/>
    <w:basedOn w:val="Normal"/>
    <w:rsid w:val="00377B07"/>
    <w:pPr>
      <w:spacing w:before="480" w:after="320"/>
      <w:jc w:val="left"/>
    </w:pPr>
    <w:rPr>
      <w:rFonts w:ascii="Calibri" w:eastAsiaTheme="minorHAnsi" w:hAnsi="Calibri" w:cs="Calibri"/>
      <w:b/>
      <w:bCs/>
      <w:szCs w:val="24"/>
    </w:rPr>
  </w:style>
  <w:style w:type="character" w:styleId="Strong">
    <w:name w:val="Strong"/>
    <w:basedOn w:val="DefaultParagraphFont"/>
    <w:uiPriority w:val="22"/>
    <w:qFormat/>
    <w:rsid w:val="00377B07"/>
    <w:rPr>
      <w:b/>
      <w:bCs/>
    </w:rPr>
  </w:style>
  <w:style w:type="character" w:styleId="CommentReference">
    <w:name w:val="annotation reference"/>
    <w:basedOn w:val="DefaultParagraphFont"/>
    <w:uiPriority w:val="99"/>
    <w:semiHidden/>
    <w:unhideWhenUsed/>
    <w:rsid w:val="00D55876"/>
    <w:rPr>
      <w:sz w:val="16"/>
      <w:szCs w:val="16"/>
    </w:rPr>
  </w:style>
  <w:style w:type="paragraph" w:styleId="CommentText">
    <w:name w:val="annotation text"/>
    <w:basedOn w:val="Normal"/>
    <w:link w:val="CommentTextChar"/>
    <w:uiPriority w:val="99"/>
    <w:semiHidden/>
    <w:unhideWhenUsed/>
    <w:rsid w:val="00D55876"/>
    <w:rPr>
      <w:sz w:val="20"/>
    </w:rPr>
  </w:style>
  <w:style w:type="character" w:customStyle="1" w:styleId="CommentTextChar">
    <w:name w:val="Comment Text Char"/>
    <w:basedOn w:val="DefaultParagraphFont"/>
    <w:link w:val="CommentText"/>
    <w:uiPriority w:val="99"/>
    <w:semiHidden/>
    <w:rsid w:val="00D55876"/>
    <w:rPr>
      <w:rFonts w:ascii="Courier New" w:eastAsia="Times New Roman" w:hAnsi="Courier New"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55876"/>
    <w:rPr>
      <w:b/>
      <w:bCs/>
    </w:rPr>
  </w:style>
  <w:style w:type="character" w:customStyle="1" w:styleId="CommentSubjectChar">
    <w:name w:val="Comment Subject Char"/>
    <w:basedOn w:val="CommentTextChar"/>
    <w:link w:val="CommentSubject"/>
    <w:uiPriority w:val="99"/>
    <w:semiHidden/>
    <w:rsid w:val="00D55876"/>
    <w:rPr>
      <w:rFonts w:ascii="Courier New" w:eastAsia="Times New Roman" w:hAnsi="Courier New" w:cs="Times New Roman"/>
      <w:b/>
      <w:bCs/>
      <w:sz w:val="20"/>
      <w:szCs w:val="20"/>
      <w:lang w:eastAsia="en-GB"/>
    </w:rPr>
  </w:style>
  <w:style w:type="paragraph" w:styleId="BalloonText">
    <w:name w:val="Balloon Text"/>
    <w:basedOn w:val="Normal"/>
    <w:link w:val="BalloonTextChar"/>
    <w:uiPriority w:val="99"/>
    <w:semiHidden/>
    <w:unhideWhenUsed/>
    <w:rsid w:val="00D5587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876"/>
    <w:rPr>
      <w:rFonts w:ascii="Segoe UI" w:eastAsia="Times New Roman" w:hAnsi="Segoe UI" w:cs="Segoe UI"/>
      <w:sz w:val="18"/>
      <w:szCs w:val="18"/>
      <w:lang w:eastAsia="en-GB"/>
    </w:rPr>
  </w:style>
  <w:style w:type="paragraph" w:styleId="Revision">
    <w:name w:val="Revision"/>
    <w:hidden/>
    <w:uiPriority w:val="99"/>
    <w:semiHidden/>
    <w:rsid w:val="007A3B08"/>
    <w:pPr>
      <w:spacing w:after="0" w:line="240" w:lineRule="auto"/>
    </w:pPr>
    <w:rPr>
      <w:rFonts w:ascii="Courier New" w:eastAsia="Times New Roman" w:hAnsi="Courier New"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994917">
      <w:bodyDiv w:val="1"/>
      <w:marLeft w:val="0"/>
      <w:marRight w:val="0"/>
      <w:marTop w:val="0"/>
      <w:marBottom w:val="0"/>
      <w:divBdr>
        <w:top w:val="none" w:sz="0" w:space="0" w:color="auto"/>
        <w:left w:val="none" w:sz="0" w:space="0" w:color="auto"/>
        <w:bottom w:val="none" w:sz="0" w:space="0" w:color="auto"/>
        <w:right w:val="none" w:sz="0" w:space="0" w:color="auto"/>
      </w:divBdr>
    </w:div>
    <w:div w:id="207110372">
      <w:bodyDiv w:val="1"/>
      <w:marLeft w:val="0"/>
      <w:marRight w:val="0"/>
      <w:marTop w:val="0"/>
      <w:marBottom w:val="0"/>
      <w:divBdr>
        <w:top w:val="none" w:sz="0" w:space="0" w:color="auto"/>
        <w:left w:val="none" w:sz="0" w:space="0" w:color="auto"/>
        <w:bottom w:val="none" w:sz="0" w:space="0" w:color="auto"/>
        <w:right w:val="none" w:sz="0" w:space="0" w:color="auto"/>
      </w:divBdr>
    </w:div>
    <w:div w:id="479424845">
      <w:bodyDiv w:val="1"/>
      <w:marLeft w:val="0"/>
      <w:marRight w:val="0"/>
      <w:marTop w:val="0"/>
      <w:marBottom w:val="0"/>
      <w:divBdr>
        <w:top w:val="none" w:sz="0" w:space="0" w:color="auto"/>
        <w:left w:val="none" w:sz="0" w:space="0" w:color="auto"/>
        <w:bottom w:val="none" w:sz="0" w:space="0" w:color="auto"/>
        <w:right w:val="none" w:sz="0" w:space="0" w:color="auto"/>
      </w:divBdr>
    </w:div>
    <w:div w:id="1387145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941</Words>
  <Characters>5007</Characters>
  <Application>Microsoft Office Word</Application>
  <DocSecurity>0</DocSecurity>
  <Lines>73</Lines>
  <Paragraphs>17</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KALBUROV Ivan (DEVCO)</dc:creator>
  <cp:keywords/>
  <dc:description/>
  <cp:lastModifiedBy>DELBAER Gerda (SG)</cp:lastModifiedBy>
  <cp:revision>2</cp:revision>
  <dcterms:created xsi:type="dcterms:W3CDTF">2023-05-10T06:51:00Z</dcterms:created>
  <dcterms:modified xsi:type="dcterms:W3CDTF">2023-05-10T06:51:00Z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2023-04-05T09:10:43Z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e20a8f57-e908-4ca7-a94a-a25bf04f576b</vt:lpwstr>
  </property>
  <property fmtid="{D5CDD505-2E9C-101B-9397-08002B2CF9AE}" pid="8" name="MSIP_Label_6bd9ddd1-4d20-43f6-abfa-fc3c07406f94_ContentBits">
    <vt:lpwstr>0</vt:lpwstr>
  </property>
</Properties>
</file>