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01D2" w14:textId="77777777" w:rsidR="00E1059F" w:rsidRPr="00E1059F" w:rsidRDefault="00E1059F" w:rsidP="00E1059F">
      <w:pPr>
        <w:spacing w:after="600"/>
        <w:jc w:val="center"/>
        <w:rPr>
          <w:rFonts w:ascii="Times New Roman" w:hAnsi="Times New Roman"/>
          <w:b/>
          <w:bCs/>
          <w:szCs w:val="24"/>
        </w:rPr>
      </w:pPr>
      <w:bookmarkStart w:id="0" w:name="Ombudsman"/>
      <w:r>
        <w:rPr>
          <w:rFonts w:ascii="Times New Roman" w:hAnsi="Times New Roman"/>
          <w:b/>
        </w:rPr>
        <w:t>Suite donnée à la résolution non législative du 14 mars 2023 du Parlement européen sur le rapport annuel relatif aux activités du Médiateur européen en 2021</w:t>
      </w:r>
      <w:bookmarkEnd w:id="0"/>
    </w:p>
    <w:p w14:paraId="67F3C23C" w14:textId="77777777" w:rsidR="00E1059F" w:rsidRPr="00E1059F" w:rsidRDefault="00E1059F" w:rsidP="00E1059F">
      <w:pPr>
        <w:numPr>
          <w:ilvl w:val="0"/>
          <w:numId w:val="1"/>
        </w:numPr>
        <w:ind w:left="567" w:hanging="567"/>
        <w:rPr>
          <w:rFonts w:ascii="Times New Roman" w:hAnsi="Times New Roman"/>
          <w:i/>
          <w:szCs w:val="24"/>
        </w:rPr>
      </w:pPr>
      <w:r>
        <w:rPr>
          <w:rFonts w:ascii="Times New Roman" w:hAnsi="Times New Roman"/>
          <w:b/>
        </w:rPr>
        <w:t>Rapporteur(e):</w:t>
      </w:r>
      <w:r>
        <w:rPr>
          <w:rFonts w:ascii="Times New Roman" w:hAnsi="Times New Roman"/>
        </w:rPr>
        <w:t xml:space="preserve"> Anne-Sophie PELLETIER (La gauche/FR)</w:t>
      </w:r>
    </w:p>
    <w:p w14:paraId="0D6F55AF" w14:textId="77777777" w:rsidR="00E1059F" w:rsidRPr="00E1059F" w:rsidRDefault="00E1059F" w:rsidP="00E1059F">
      <w:pPr>
        <w:numPr>
          <w:ilvl w:val="0"/>
          <w:numId w:val="1"/>
        </w:numPr>
        <w:autoSpaceDE w:val="0"/>
        <w:autoSpaceDN w:val="0"/>
        <w:adjustRightInd w:val="0"/>
        <w:ind w:left="567" w:hanging="567"/>
        <w:rPr>
          <w:rFonts w:ascii="Times New Roman" w:hAnsi="Times New Roman"/>
          <w:color w:val="000000"/>
          <w:szCs w:val="24"/>
        </w:rPr>
      </w:pPr>
      <w:r>
        <w:rPr>
          <w:rFonts w:ascii="Times New Roman" w:hAnsi="Times New Roman"/>
          <w:b/>
        </w:rPr>
        <w:t xml:space="preserve">Numéro de référence: </w:t>
      </w:r>
      <w:bookmarkStart w:id="1" w:name="References"/>
      <w:r>
        <w:rPr>
          <w:rFonts w:ascii="Times New Roman" w:hAnsi="Times New Roman"/>
          <w:color w:val="000000"/>
        </w:rPr>
        <w:t>2022/2141 (INI)</w:t>
      </w:r>
      <w:bookmarkEnd w:id="1"/>
      <w:r>
        <w:rPr>
          <w:rFonts w:ascii="Times New Roman" w:hAnsi="Times New Roman"/>
          <w:color w:val="000000"/>
        </w:rPr>
        <w:t xml:space="preserve"> / A9-0054/2023 / P9_TA(2023)0070</w:t>
      </w:r>
    </w:p>
    <w:p w14:paraId="0336E4E8" w14:textId="77777777" w:rsidR="00E1059F" w:rsidRPr="00E1059F" w:rsidRDefault="00E1059F" w:rsidP="00E1059F">
      <w:pPr>
        <w:numPr>
          <w:ilvl w:val="0"/>
          <w:numId w:val="1"/>
        </w:numPr>
        <w:autoSpaceDE w:val="0"/>
        <w:autoSpaceDN w:val="0"/>
        <w:adjustRightInd w:val="0"/>
        <w:ind w:left="567" w:hanging="567"/>
        <w:rPr>
          <w:rFonts w:ascii="Times New Roman" w:hAnsi="Times New Roman"/>
          <w:color w:val="000000"/>
          <w:szCs w:val="24"/>
        </w:rPr>
      </w:pPr>
      <w:r>
        <w:rPr>
          <w:rFonts w:ascii="Times New Roman" w:hAnsi="Times New Roman"/>
          <w:b/>
          <w:color w:val="000000"/>
        </w:rPr>
        <w:t>Date d'adoption de la résolution:</w:t>
      </w:r>
      <w:r>
        <w:rPr>
          <w:rFonts w:ascii="Times New Roman" w:hAnsi="Times New Roman"/>
          <w:color w:val="000000"/>
        </w:rPr>
        <w:t xml:space="preserve"> 14 mars 2023</w:t>
      </w:r>
    </w:p>
    <w:p w14:paraId="6BF852F3" w14:textId="77777777" w:rsidR="00E1059F" w:rsidRPr="00E1059F" w:rsidRDefault="00E1059F" w:rsidP="00E1059F">
      <w:pPr>
        <w:numPr>
          <w:ilvl w:val="0"/>
          <w:numId w:val="1"/>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des pétitions (PETI)</w:t>
      </w:r>
    </w:p>
    <w:p w14:paraId="309316BD" w14:textId="77777777" w:rsidR="00E1059F" w:rsidRPr="00E1059F" w:rsidRDefault="00E1059F" w:rsidP="00E1059F">
      <w:pPr>
        <w:widowControl w:val="0"/>
        <w:numPr>
          <w:ilvl w:val="0"/>
          <w:numId w:val="1"/>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15DC0EC7" w14:textId="77777777" w:rsidR="00E1059F" w:rsidRPr="00E1059F" w:rsidRDefault="00E1059F" w:rsidP="00E1059F">
      <w:pPr>
        <w:widowControl w:val="0"/>
        <w:spacing w:after="120"/>
        <w:rPr>
          <w:rFonts w:ascii="Times New Roman" w:hAnsi="Times New Roman"/>
          <w:b/>
          <w:szCs w:val="24"/>
        </w:rPr>
      </w:pPr>
      <w:r>
        <w:rPr>
          <w:rFonts w:ascii="Times New Roman" w:hAnsi="Times New Roman"/>
        </w:rPr>
        <w:t>Chaque année, la commission PETI adopte un rapport d’initiative sur le rapport annuel relatif aux activités du Médiateur européen, fonction actuellement exercée par M</w:t>
      </w:r>
      <w:r>
        <w:rPr>
          <w:rFonts w:ascii="Times New Roman" w:hAnsi="Times New Roman"/>
          <w:vertAlign w:val="superscript"/>
        </w:rPr>
        <w:t>me</w:t>
      </w:r>
      <w:r>
        <w:rPr>
          <w:rFonts w:ascii="Times New Roman" w:hAnsi="Times New Roman"/>
        </w:rPr>
        <w:t> Emily O’Reilly. Ce rapport contient une proposition de résolution et est présenté en séance plénière pour discussion et vote. La résolution actuelle a été adoptée le 14 mars 2023 et porte sur les activités du Médiateur en 2021. Conformément à une procédure établie, la Commission répond par écrit aux questions soulevées dans la résolution concernant la Commission lorsque des réponses sont nécessaires.</w:t>
      </w:r>
    </w:p>
    <w:p w14:paraId="362FB206" w14:textId="77777777" w:rsidR="00E1059F" w:rsidRPr="00E1059F" w:rsidRDefault="00E1059F" w:rsidP="00E1059F">
      <w:pPr>
        <w:widowControl w:val="0"/>
        <w:numPr>
          <w:ilvl w:val="0"/>
          <w:numId w:val="1"/>
        </w:numPr>
        <w:ind w:left="567" w:hanging="567"/>
        <w:rPr>
          <w:rFonts w:ascii="Times New Roman" w:hAnsi="Times New Roman"/>
          <w:b/>
          <w:szCs w:val="24"/>
        </w:rPr>
      </w:pPr>
      <w:r>
        <w:rPr>
          <w:rFonts w:ascii="Times New Roman" w:hAnsi="Times New Roman"/>
          <w:b/>
        </w:rPr>
        <w:t xml:space="preserve">Réponse à ces demandes et aperçu des mesures que la Commission a prises ou envisage de prendre </w:t>
      </w:r>
    </w:p>
    <w:p w14:paraId="5ECD5FD4" w14:textId="77777777" w:rsidR="00E1059F" w:rsidRPr="00E1059F" w:rsidRDefault="00E1059F" w:rsidP="00E1059F">
      <w:pPr>
        <w:widowControl w:val="0"/>
        <w:spacing w:after="120"/>
        <w:rPr>
          <w:rFonts w:ascii="Times New Roman" w:eastAsia="Calibri" w:hAnsi="Times New Roman"/>
          <w:b/>
          <w:szCs w:val="24"/>
          <w:u w:val="single"/>
        </w:rPr>
      </w:pPr>
      <w:r>
        <w:rPr>
          <w:rFonts w:ascii="Times New Roman" w:hAnsi="Times New Roman"/>
          <w:b/>
          <w:u w:val="single"/>
        </w:rPr>
        <w:t>Paragraphe 9 — transparence</w:t>
      </w:r>
    </w:p>
    <w:p w14:paraId="07E22515" w14:textId="77777777" w:rsidR="00E1059F" w:rsidRPr="00E1059F" w:rsidRDefault="00E1059F" w:rsidP="00E1059F">
      <w:pPr>
        <w:widowControl w:val="0"/>
        <w:spacing w:after="120"/>
        <w:rPr>
          <w:rFonts w:ascii="Times New Roman" w:hAnsi="Times New Roman"/>
        </w:rPr>
      </w:pPr>
      <w:r>
        <w:rPr>
          <w:rFonts w:ascii="Times New Roman" w:hAnsi="Times New Roman"/>
        </w:rPr>
        <w:t xml:space="preserve">La Commission accorde une grande importance à la transparence du processus décisionnel de l’UE. Elle publie de manière proactive une grande variété de documents juridiques, stratégiques, administratifs et autres sur différents sites web et dans différents registres. Nombre d’entre eux sont disponibles dans le registre des documents de la Commission, le registre des actes délégués et d’exécution, le registre de comitologie et d’autres registres institutionnels gérés par le secrétariat général, tandis que d’autres sont disponibles sur des sites web gérés par les directions générales ou sur EUR-Lex. </w:t>
      </w:r>
    </w:p>
    <w:p w14:paraId="09B53AAC" w14:textId="77777777" w:rsidR="00E1059F" w:rsidRPr="00E1059F" w:rsidRDefault="00E1059F" w:rsidP="00E1059F">
      <w:pPr>
        <w:spacing w:after="120"/>
        <w:rPr>
          <w:rFonts w:ascii="Times New Roman" w:hAnsi="Times New Roman"/>
        </w:rPr>
      </w:pPr>
      <w:r>
        <w:rPr>
          <w:rFonts w:ascii="Times New Roman" w:hAnsi="Times New Roman"/>
        </w:rPr>
        <w:t>La Commission examine en permanence les outils permettant de renforcer le cadre de transparence. En 2021, elle a publié une nouvelle version du registre des documents de la Commission, qui comprend des fonctionnalités de recherche supplémentaires, une interface utilisateur améliorée et une meilleure présentation des documents. Depuis 2022, de nouveaux types de documents ont été publiés dans le registre des documents de la Commission. En outre, la Commission a mis à la disposition du public un nouvel outil (accès électronique aux documents de la Commission européenne) afin de faciliter l’introduction de demandes d’accès aux documents et la recherche de documents déjà divulgués par la Commission qui sont publiés sur le portail EASE.</w:t>
      </w:r>
    </w:p>
    <w:p w14:paraId="08989A20"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b/>
          <w:u w:val="single"/>
        </w:rPr>
        <w:t>Paragraphes 10 et 11 — accès aux documents (révision du règlement (CE) nº 1049/2001)</w:t>
      </w:r>
    </w:p>
    <w:p w14:paraId="615D7598" w14:textId="77777777" w:rsidR="00E1059F" w:rsidRPr="00E1059F" w:rsidRDefault="00E1059F" w:rsidP="00E1059F">
      <w:pPr>
        <w:spacing w:after="120"/>
        <w:rPr>
          <w:rFonts w:ascii="Times New Roman" w:hAnsi="Times New Roman"/>
        </w:rPr>
      </w:pPr>
      <w:r>
        <w:rPr>
          <w:rFonts w:ascii="Times New Roman" w:hAnsi="Times New Roman"/>
        </w:rPr>
        <w:t xml:space="preserve">L’accès du public aux documents détenus par les institutions de l’UE est actuellement régi par le règlement (CE) nº 1049/2001 et par la jurisprudence pertinente de la Cour de justice. En 2019, le Parlement a demandé à la Commission de retirer les deux propositions de refonte de ce règlement présentées en 2008 et 2011 [2008/0090 (COD) et 2011/0073 (COD)]. Le 29 janvier 2020, à la suite de cette demande, la Commission a proposé de retirer les deux propositions au motif qu’aucun progrès n’avait été accompli par les colégislateurs depuis 2011. Toutefois, le Parlement européen s’est opposé au retrait des deux propositions. Par lettre du 14 septembre 2020 adressée au Parlement européen, la Commission a accepté de ne pas retirer les propositions et de soutenir la poursuite du débat politique. Par </w:t>
      </w:r>
      <w:r>
        <w:rPr>
          <w:rFonts w:ascii="Times New Roman" w:hAnsi="Times New Roman"/>
        </w:rPr>
        <w:lastRenderedPageBreak/>
        <w:t>conséquent, ces propositions sont toujours pendantes et constituent la base de toute nouvelle discussion législative et politique.</w:t>
      </w:r>
    </w:p>
    <w:p w14:paraId="59753C5B" w14:textId="77777777" w:rsidR="00E1059F" w:rsidRPr="00E1059F" w:rsidRDefault="00E1059F" w:rsidP="00E1059F">
      <w:pPr>
        <w:spacing w:after="120"/>
        <w:rPr>
          <w:rFonts w:ascii="Times New Roman" w:hAnsi="Times New Roman"/>
        </w:rPr>
      </w:pPr>
      <w:r>
        <w:rPr>
          <w:rFonts w:ascii="Times New Roman" w:hAnsi="Times New Roman"/>
        </w:rPr>
        <w:t>Dans son programme de travail pour 2023, la Commission indique qu’en 2024, elle examinera des outils pour renforcer son cadre de transparence, en particulier en ce qui concerne l’accès aux documents.</w:t>
      </w:r>
    </w:p>
    <w:p w14:paraId="01995DBB" w14:textId="77777777" w:rsidR="00E1059F" w:rsidRPr="00E1059F" w:rsidRDefault="00E1059F" w:rsidP="00E1059F">
      <w:pPr>
        <w:spacing w:after="120"/>
        <w:rPr>
          <w:rFonts w:ascii="Times New Roman" w:eastAsia="Calibri" w:hAnsi="Times New Roman"/>
          <w:b/>
          <w:szCs w:val="24"/>
          <w:u w:val="single"/>
        </w:rPr>
      </w:pPr>
      <w:bookmarkStart w:id="2" w:name="_Hlk132624007"/>
      <w:r>
        <w:rPr>
          <w:rFonts w:ascii="Times New Roman" w:hAnsi="Times New Roman"/>
          <w:b/>
          <w:u w:val="single"/>
        </w:rPr>
        <w:t>Paragraphe 13</w:t>
      </w:r>
      <w:bookmarkEnd w:id="2"/>
      <w:r>
        <w:rPr>
          <w:rFonts w:ascii="Times New Roman" w:hAnsi="Times New Roman"/>
          <w:b/>
          <w:u w:val="single"/>
        </w:rPr>
        <w:t xml:space="preserve"> </w:t>
      </w:r>
      <w:r>
        <w:rPr>
          <w:rFonts w:ascii="Times New Roman" w:hAnsi="Times New Roman"/>
          <w:b/>
          <w:bCs/>
          <w:u w:val="single"/>
        </w:rPr>
        <w:t>— accès aux documents (échange de messages textuels</w:t>
      </w:r>
      <w:r>
        <w:rPr>
          <w:rFonts w:ascii="Times New Roman" w:hAnsi="Times New Roman"/>
          <w:b/>
          <w:u w:val="single"/>
        </w:rPr>
        <w:t>)</w:t>
      </w:r>
    </w:p>
    <w:p w14:paraId="73AD8D45" w14:textId="269509C9" w:rsidR="00E1059F" w:rsidRPr="00E1059F" w:rsidRDefault="00E1059F" w:rsidP="00E1059F">
      <w:pPr>
        <w:spacing w:after="120"/>
        <w:rPr>
          <w:rFonts w:ascii="Times New Roman" w:hAnsi="Times New Roman"/>
          <w:color w:val="000000" w:themeColor="text1"/>
          <w:szCs w:val="24"/>
        </w:rPr>
      </w:pPr>
      <w:r>
        <w:rPr>
          <w:rFonts w:ascii="Times New Roman" w:hAnsi="Times New Roman"/>
        </w:rPr>
        <w:t>Conformément à l’article 3, point a), du règlement (CE) nº 1049/2001, on entend par «document» tout contenu quel que soit son support concernant une matière relative aux politiques, activités et décisions relevant de la compétence de l’institution. Les critères d’enregistrement de la Commission, tels que définis dans la décision de la Commission relative à la gestion des documents</w:t>
      </w:r>
      <w:r>
        <w:rPr>
          <w:rFonts w:ascii="Times New Roman" w:hAnsi="Times New Roman"/>
          <w:vertAlign w:val="superscript"/>
        </w:rPr>
        <w:footnoteReference w:id="2"/>
      </w:r>
      <w:r>
        <w:rPr>
          <w:rFonts w:ascii="Times New Roman" w:hAnsi="Times New Roman"/>
        </w:rPr>
        <w:t xml:space="preserve">, se concentrent également uniquement sur le contenu d’un document et ne font pas référence à son support. </w:t>
      </w:r>
      <w:r>
        <w:rPr>
          <w:rFonts w:ascii="Times New Roman" w:hAnsi="Times New Roman"/>
          <w:color w:val="000000" w:themeColor="text1"/>
        </w:rPr>
        <w:t>Conformément à ces critères, un document établi ou reçu par la Commission européenne doit être enregistré s’il contient des informations substantielles non éphémères et/ou s’il nécessite éventuellement une action ou un suivi de la Commission européenne ou d’un de ses services. La Commission et la Médiatrice sont convenues que c’était le contenu du document qui importait.</w:t>
      </w:r>
    </w:p>
    <w:p w14:paraId="64119510" w14:textId="0B705A1F" w:rsidR="00E1059F" w:rsidRPr="00E1059F" w:rsidRDefault="00E1059F" w:rsidP="00E1059F">
      <w:pPr>
        <w:spacing w:after="120"/>
        <w:rPr>
          <w:rFonts w:ascii="Times New Roman" w:hAnsi="Times New Roman"/>
          <w:szCs w:val="24"/>
        </w:rPr>
      </w:pPr>
      <w:r>
        <w:rPr>
          <w:rFonts w:ascii="Times New Roman" w:hAnsi="Times New Roman"/>
        </w:rPr>
        <w:t>La Commission a expliqué dans sa décision C(2021) 5592, qui a fait l’objet de l’enquête de la Médiatrice sur le refus de la Commission d’accorder au public l’accès aux SMS échangés entre la présidente de la Commission et le PDG d’une entreprise pharmaceutique sur l’achat de vaccins contre la COVID-19, que lorsqu’un document établi ou reçu par la Commission ne contenait pas d’informations substantielles et/ou était éphémère et ne relevait pas de la compétence de l’institution, il ne remplissait pas les critères d’enregistrement et n’était donc pas enregistré. Ces documents éphémères, qui ont une brève durée de vie, ne sont pas conservés et, par conséquent, ils ne sont pas en possession de l’institution conformément à l’article 2, paragraphe 3, du règlement (CE) nº 1049/2001. La Commission a expliqué dans sa réponse à l’initiative stratégique SI/4/2021/TE de la Médiatrice que la recherche effectuée par le cabinet de la présidente sur les messages textuels pertinents correspondant à la demande d’accès aux documents n’avait donné aucun résultat.</w:t>
      </w:r>
    </w:p>
    <w:p w14:paraId="11907C14" w14:textId="77777777" w:rsidR="00E1059F" w:rsidRPr="00E1059F" w:rsidRDefault="00E1059F" w:rsidP="00E1059F">
      <w:pPr>
        <w:spacing w:after="120"/>
        <w:rPr>
          <w:rFonts w:ascii="Times New Roman" w:hAnsi="Times New Roman"/>
        </w:rPr>
      </w:pPr>
      <w:r>
        <w:rPr>
          <w:rFonts w:ascii="Times New Roman" w:hAnsi="Times New Roman"/>
        </w:rPr>
        <w:t>La Commission a l’intention de publier de nouvelles orientations sur les outils de communication modernes tels que les messages textuels et instantanés. Dans un souci de cohérence, la Commission s’est adressée aux autres institutions et organes de l’UE et a proposé d’élaborer ensemble des orientations à l’intention du personnel des institutions sur l’utilisation des outils de communication modernes dans le contexte professionnel de l’UE. À cette fin, la Commission a tenu une réunion avec les institutions et organes de l’UE le 9 décembre 2022. À la suite des conclusions de cette réunion, la Commission a envoyé, le 6 mars 2023, une note de cadrage exposant les principaux éléments des règles et principes applicables aux outils de communication et a demandé un retour d’information aux autres institutions et organes de l’UE.</w:t>
      </w:r>
    </w:p>
    <w:p w14:paraId="6EF4C901"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b/>
          <w:u w:val="single"/>
        </w:rPr>
        <w:t>Paragraphe 14 — accès aux documents (masques médicaux — pandémie de COVID</w:t>
      </w:r>
      <w:r>
        <w:rPr>
          <w:rFonts w:ascii="Times New Roman" w:hAnsi="Times New Roman"/>
          <w:b/>
          <w:u w:val="single"/>
        </w:rPr>
        <w:noBreakHyphen/>
        <w:t>19)</w:t>
      </w:r>
    </w:p>
    <w:p w14:paraId="3FD01EFA" w14:textId="77777777" w:rsidR="00E1059F" w:rsidRPr="00E1059F" w:rsidRDefault="00E1059F" w:rsidP="00E1059F">
      <w:pPr>
        <w:spacing w:after="120"/>
        <w:rPr>
          <w:rFonts w:ascii="Times New Roman" w:eastAsia="Calibri" w:hAnsi="Times New Roman"/>
          <w:bCs/>
          <w:szCs w:val="24"/>
        </w:rPr>
      </w:pPr>
      <w:r>
        <w:rPr>
          <w:rFonts w:ascii="Times New Roman" w:hAnsi="Times New Roman"/>
        </w:rPr>
        <w:t xml:space="preserve">La Commission a accordé un rôle important à la transparence, y compris pendant la pandémie de COVID-19, et a continué de traiter les demandes d’accès du public au cours de cette période. En ce qui concerne l’enquête de la Médiatrice sur la manière dont la Commission a traité une demande d’accès à des documents relatifs à la qualité des masques médicaux, la Commission souligne qu’elle a accordé un large accès aux documents demandés. À la suite de la recommandation de la Médiatrice d’accorder un accès plus large </w:t>
      </w:r>
      <w:r>
        <w:rPr>
          <w:rFonts w:ascii="Times New Roman" w:hAnsi="Times New Roman"/>
        </w:rPr>
        <w:lastRenderedPageBreak/>
        <w:t>à un nombre limité de documents concernés, la Commission a accordé un accès supplémentaire à la plupart de ces documents et a confirmé, après une évaluation minutieuse, qu’elle avait appliqué la législation de l’Union sur l’accès aux documents de la manière la plus transparente possible.</w:t>
      </w:r>
    </w:p>
    <w:p w14:paraId="2E414127"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b/>
          <w:u w:val="single"/>
        </w:rPr>
        <w:t>Considérant J et paragraphe 16 — «pantouflage»</w:t>
      </w:r>
    </w:p>
    <w:p w14:paraId="186D30F7" w14:textId="77777777" w:rsidR="00E1059F" w:rsidRPr="00E1059F" w:rsidRDefault="00E1059F" w:rsidP="00E1059F">
      <w:pPr>
        <w:widowControl w:val="0"/>
        <w:spacing w:after="120"/>
        <w:rPr>
          <w:rFonts w:ascii="Times New Roman" w:hAnsi="Times New Roman"/>
          <w:b/>
          <w:szCs w:val="24"/>
        </w:rPr>
      </w:pPr>
      <w:r>
        <w:rPr>
          <w:rFonts w:ascii="Times New Roman" w:hAnsi="Times New Roman"/>
        </w:rPr>
        <w:t>La Commission note avec satisfaction que la Médiatrice, lorsqu’elle a clôturé son enquête en mai 2022, n’a trouvé aucun cas de mauvaise administration dans les cent décisions de la Commission examinées par son équipe. Elle note également que la Médiatrice s’est félicitée des améliorations apportées par la Commission depuis sa dernière enquête sur la question.</w:t>
      </w:r>
    </w:p>
    <w:p w14:paraId="2FFC2542" w14:textId="77777777" w:rsidR="00E1059F" w:rsidRPr="00E1059F" w:rsidRDefault="00E1059F" w:rsidP="00E1059F">
      <w:pPr>
        <w:spacing w:after="120"/>
        <w:rPr>
          <w:rFonts w:ascii="Times New Roman" w:eastAsia="Calibri" w:hAnsi="Times New Roman"/>
          <w:bCs/>
          <w:iCs/>
          <w:szCs w:val="24"/>
        </w:rPr>
      </w:pPr>
      <w:r>
        <w:rPr>
          <w:rFonts w:ascii="Times New Roman" w:hAnsi="Times New Roman"/>
        </w:rPr>
        <w:t>Le simple nombre d’activités approuvées ou refusées d’anciens membres du personnel est peu pertinent pour l’évaluation de la question du «pantouflage» dans son ensemble. Se fonder uniquement sur de telles statistiques peut être trompeur.</w:t>
      </w:r>
    </w:p>
    <w:p w14:paraId="772E3149" w14:textId="703E02CB" w:rsidR="00E1059F" w:rsidRPr="00E1059F" w:rsidRDefault="00E1059F" w:rsidP="00E1059F">
      <w:pPr>
        <w:spacing w:after="120"/>
        <w:rPr>
          <w:rFonts w:ascii="Times New Roman" w:eastAsia="Calibri" w:hAnsi="Times New Roman"/>
          <w:bCs/>
          <w:iCs/>
          <w:szCs w:val="24"/>
        </w:rPr>
      </w:pPr>
      <w:r>
        <w:rPr>
          <w:rFonts w:ascii="Times New Roman" w:hAnsi="Times New Roman"/>
        </w:rPr>
        <w:t>Par exemple, lors de l’évaluation d’une éventuelle activité après la cessation des fonctions, l’administration engage un dialogue avec son personnel et il arrive parfois que l’activité prévue soit abandonnée. Les statistiques ne reflètent pas ce type de situations en tant que telles.</w:t>
      </w:r>
    </w:p>
    <w:p w14:paraId="3BAA4270" w14:textId="77777777" w:rsidR="00E1059F" w:rsidRPr="00E1059F" w:rsidRDefault="00E1059F" w:rsidP="00E1059F">
      <w:pPr>
        <w:spacing w:after="120"/>
        <w:rPr>
          <w:rFonts w:ascii="Times New Roman" w:eastAsia="Calibri" w:hAnsi="Times New Roman"/>
          <w:bCs/>
          <w:iCs/>
          <w:szCs w:val="24"/>
        </w:rPr>
      </w:pPr>
      <w:r>
        <w:rPr>
          <w:rFonts w:ascii="Times New Roman" w:hAnsi="Times New Roman"/>
        </w:rPr>
        <w:t>La Commission estime que son approche en matière de gestion du pantouflage pour toutes les catégories de personnel, y compris les membres de l’encadrement supérieur, est efficace, solide et proportionnée. Tout en se fondant sur une évaluation au cas par cas, l’approche est conforme aux exigences de sauvegarde de l’intérêt général et de préservation des droits des membres du personnel à travailler et à exercer une activité professionnelle librement choisie ou acceptée.</w:t>
      </w:r>
    </w:p>
    <w:p w14:paraId="0DC3A43F" w14:textId="4BB7FDC1" w:rsidR="00E1059F" w:rsidRPr="00E1059F" w:rsidRDefault="00E1059F" w:rsidP="00E1059F">
      <w:pPr>
        <w:spacing w:after="120"/>
        <w:rPr>
          <w:rFonts w:ascii="Times New Roman" w:eastAsia="Calibri" w:hAnsi="Times New Roman"/>
          <w:bCs/>
          <w:iCs/>
          <w:szCs w:val="24"/>
        </w:rPr>
      </w:pPr>
      <w:r>
        <w:rPr>
          <w:rFonts w:ascii="Times New Roman" w:hAnsi="Times New Roman"/>
        </w:rPr>
        <w:t>Le cas échéant, et conformément au principe de proportionnalité, la Commission n’a pas hésité à imposer des mesures d’atténuation strictes aux activités envisagées par les membres de l’encadrement supérieur, voire à les interdire totalement.</w:t>
      </w:r>
    </w:p>
    <w:p w14:paraId="5907B89B" w14:textId="77777777" w:rsidR="00E1059F" w:rsidRPr="00E1059F" w:rsidRDefault="00E1059F" w:rsidP="00E1059F">
      <w:pPr>
        <w:spacing w:after="120"/>
        <w:rPr>
          <w:rFonts w:ascii="Times New Roman" w:eastAsia="Calibri" w:hAnsi="Times New Roman"/>
          <w:bCs/>
          <w:szCs w:val="24"/>
        </w:rPr>
      </w:pPr>
      <w:r>
        <w:rPr>
          <w:rFonts w:ascii="Times New Roman" w:hAnsi="Times New Roman"/>
        </w:rPr>
        <w:t xml:space="preserve">En clôturant sa troisième enquête sur le phénomène de «pantouflage», en mai 2022, la Médiatrice a constaté de réelles améliorations depuis qu’elle avait examiné la question pour la dernière fois, y compris des orientations sur la manière de procéder à des examens plus rigoureux de chaque migration. La Médiatrice a salué la réponse constructive de la Commission à son enquête sur la manière dont celle-ci gérait les migrations de son personnel vers le secteur privé. </w:t>
      </w:r>
    </w:p>
    <w:p w14:paraId="18420720" w14:textId="77777777" w:rsidR="00E1059F" w:rsidRPr="00E1059F" w:rsidRDefault="00E1059F" w:rsidP="00E1059F">
      <w:pPr>
        <w:spacing w:after="120"/>
        <w:rPr>
          <w:rFonts w:ascii="Times New Roman" w:eastAsia="Calibri" w:hAnsi="Times New Roman"/>
          <w:bCs/>
          <w:szCs w:val="24"/>
        </w:rPr>
      </w:pPr>
      <w:r>
        <w:rPr>
          <w:rFonts w:ascii="Times New Roman" w:hAnsi="Times New Roman"/>
        </w:rPr>
        <w:t>La Médiatrice a constaté que la Commission appliquait des normes élevées en matière d’éthique et de transparence, et elle l’a encouragée à continuer à montrer l’exemple. En particulier, elle a estimé que la gestion, par la Commission, des cas qu’elle-même qualifie de «pantouflage inverse» (migrations du secteur privé vers la Commission), était généralement conforme aux règles pertinentes du statut et appropriée dans la pratique. En outre, elle a estimé que la gestion par la Commission des demandes d’autorisation d’activités professionnelles après la cessation des fonctions était techniquement conforme au statut. La décision de clôture n’a pas constaté de mauvaise administration et elle ne contenait aucune recommandation formelle, mais seulement quelques suggestions.</w:t>
      </w:r>
    </w:p>
    <w:p w14:paraId="381810EC" w14:textId="77777777" w:rsidR="00E1059F" w:rsidRPr="00E1059F" w:rsidRDefault="00E1059F" w:rsidP="00E1059F">
      <w:pPr>
        <w:spacing w:after="120"/>
        <w:rPr>
          <w:rFonts w:ascii="Times New Roman" w:eastAsia="Calibri" w:hAnsi="Times New Roman"/>
          <w:bCs/>
          <w:szCs w:val="24"/>
        </w:rPr>
      </w:pPr>
      <w:r>
        <w:rPr>
          <w:rFonts w:ascii="Times New Roman" w:hAnsi="Times New Roman"/>
        </w:rPr>
        <w:t>En ce qui concerne les agences de l’UE, le statut des fonctionnaires de l’UE s’applique à toutes les institutions, y compris aux agences de l’UE. Toutefois, les agences de l’UE sont des entités juridiques distinctes et indépendantes créées par un acte législatif adopté par le Parlement européen et le Conseil. Dans ce contexte, il est essentiel de souligner que la conséquence juridique inévitable de ce choix politique opéré par le législateur de l’Union est que chaque agence est responsable de manière autonome de la mise en œuvre des règles, du respect des règles et de l’adoption des décisions individuelles concernant leur personnel.</w:t>
      </w:r>
    </w:p>
    <w:p w14:paraId="0E4DED5A" w14:textId="77777777" w:rsidR="00E1059F" w:rsidRPr="00E1059F" w:rsidRDefault="00E1059F" w:rsidP="00E1059F">
      <w:pPr>
        <w:spacing w:after="120"/>
        <w:rPr>
          <w:rFonts w:ascii="Times New Roman" w:eastAsia="Calibri" w:hAnsi="Times New Roman"/>
          <w:bCs/>
          <w:szCs w:val="24"/>
        </w:rPr>
      </w:pPr>
      <w:r>
        <w:rPr>
          <w:rFonts w:ascii="Times New Roman" w:hAnsi="Times New Roman"/>
        </w:rPr>
        <w:t xml:space="preserve">Dans un souci de garantir la cohérence et l’harmonisation, le statut des fonctionnaires de l’UE et les dispositions d’exécution adoptées par la Commission s’appliquent aux agences </w:t>
      </w:r>
      <w:r>
        <w:rPr>
          <w:rFonts w:ascii="Times New Roman" w:hAnsi="Times New Roman"/>
        </w:rPr>
        <w:lastRenderedPageBreak/>
        <w:t>de l’UE conformément à l’article 110, paragraphe 2, du statut. Si une agence souhaite déroger aux dispositions d’exécution de la Commission et adopter ses propres dispositions, elle peut le faire, mais elle devra obtenir l’accord de la Commission. À titre d’exemple, toutes les agences de l’Union qui appliquent le statut appliquent par analogie la décision de la Commission relative aux activités extérieures, aux mandats et aux activités professionnelles après la cessation des fonctions. Dans ce contexte, la Commission présente toujours aux agences les nouvelles dispositions d’exécution du statut qu’elle prévoit d’adopter, y compris en matière d’éthique. Elle fournit également, à la demande des agences, des explications sur l’application de ces dispositions à la Commission. La Commission partage également les bonnes pratiques au moyen de présentations sur l’éthique, afin de mieux faire connaître les dispositions du statut en matière d’éthique. En outre, la Commission fait usage de son influence lorsqu’elle est représentée au conseil d’administration d’une agence, que ce soit en tant que membre à part entière ou en tant qu’observatrice.</w:t>
      </w:r>
    </w:p>
    <w:p w14:paraId="5E975156" w14:textId="77777777" w:rsidR="00E1059F" w:rsidRPr="00E1059F" w:rsidRDefault="00E1059F" w:rsidP="00E1059F">
      <w:pPr>
        <w:spacing w:after="120"/>
        <w:rPr>
          <w:rFonts w:ascii="Times New Roman" w:eastAsia="Calibri" w:hAnsi="Times New Roman"/>
          <w:bCs/>
          <w:szCs w:val="24"/>
        </w:rPr>
      </w:pPr>
      <w:r>
        <w:rPr>
          <w:rFonts w:ascii="Times New Roman" w:hAnsi="Times New Roman"/>
        </w:rPr>
        <w:t>Dans ce contexte, la Commission peut contribuer à promouvoir activement l’adoption de règles éthiques harmonisées et le respect de ces règles, mais elle ne peut pas juridiquement agir en tant qu’autorité de contrôle des règles vis-à-vis d’autres organes indépendants de l’UE.</w:t>
      </w:r>
    </w:p>
    <w:p w14:paraId="6E18408F"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b/>
          <w:u w:val="single"/>
        </w:rPr>
        <w:t>Paragraphe 17 — conflits d’intérêts (forum de haut niveau sur l’union des marchés des capitaux de l’UE)</w:t>
      </w:r>
    </w:p>
    <w:p w14:paraId="33719281" w14:textId="77777777" w:rsidR="00E1059F" w:rsidRPr="00E1059F" w:rsidRDefault="00E1059F" w:rsidP="00E1059F">
      <w:pPr>
        <w:spacing w:after="120"/>
        <w:rPr>
          <w:rFonts w:ascii="Times New Roman" w:eastAsia="Calibri" w:hAnsi="Times New Roman"/>
          <w:bCs/>
          <w:szCs w:val="24"/>
        </w:rPr>
      </w:pPr>
      <w:r>
        <w:rPr>
          <w:rFonts w:ascii="Times New Roman" w:hAnsi="Times New Roman"/>
        </w:rPr>
        <w:t>En ce qui concerne l’enquête de la Médiatrice sur la manière dont la Commission a traité les préoccupations relatives à la composition du forum de haut niveau sur l’union des marchés des capitaux de l’UE, la Commission a souligné, dans sa réponse à la Médiatrice, qu’elle était pleinement déterminée à prendre toutes les mesures nécessaires pour prévenir ou atténuer de manière adéquate d’éventuels conflits d’intérêts.</w:t>
      </w:r>
    </w:p>
    <w:p w14:paraId="270E2FB6" w14:textId="77777777" w:rsidR="00E1059F" w:rsidRPr="00E1059F" w:rsidRDefault="00E1059F" w:rsidP="00E1059F">
      <w:pPr>
        <w:spacing w:after="120"/>
        <w:rPr>
          <w:rFonts w:ascii="Times New Roman" w:hAnsi="Times New Roman"/>
          <w:szCs w:val="24"/>
        </w:rPr>
      </w:pPr>
      <w:r>
        <w:rPr>
          <w:rFonts w:ascii="Times New Roman" w:hAnsi="Times New Roman"/>
        </w:rPr>
        <w:t>La Commission a pris note des conclusions de la Médiatrice et a expliqué dans sa réponse que, dans le cas d’espèce, elle avait pris plusieurs mesures pratiques pour atténuer le risque posé par les conflits d’intérêts et que ces mesures étaient suffisantes pour garantir une représentation équitable des points de vue de tous les experts. Grâce aux garanties mises en place par la Commission, le résultat final des travaux du forum de haut niveau s’est avéré très équilibré et objectif.</w:t>
      </w:r>
    </w:p>
    <w:p w14:paraId="66493294" w14:textId="77777777" w:rsidR="00E1059F" w:rsidRPr="00E1059F" w:rsidRDefault="00E1059F" w:rsidP="00E1059F">
      <w:pPr>
        <w:spacing w:after="120"/>
        <w:rPr>
          <w:rFonts w:ascii="Times New Roman" w:hAnsi="Times New Roman"/>
          <w:szCs w:val="24"/>
        </w:rPr>
      </w:pPr>
      <w:r>
        <w:rPr>
          <w:rFonts w:ascii="Times New Roman" w:hAnsi="Times New Roman"/>
        </w:rPr>
        <w:t>La Commission tient à souligner que le chiffre figurant dans l’amendement indiquant que seuls 7 des 28 membres sont indépendants est sorti de son contexte et peut induire en erreur, car il mélange deux catégories différentes de membres de groupe d’experts. Seuls 12 des 28 membres du groupe d’experts étaient de type A (experts indépendants). Les autres (16) ont été désignés pour représenter un intérêt (type B), selon les règles en vigueur. Il a été constaté que 5 des 12 membres de type A se trouvaient en situation de conflit d’intérêts.</w:t>
      </w:r>
    </w:p>
    <w:p w14:paraId="21265353" w14:textId="77777777" w:rsidR="00E1059F" w:rsidRPr="00E1059F" w:rsidRDefault="00E1059F" w:rsidP="00E1059F">
      <w:pPr>
        <w:spacing w:after="120"/>
        <w:rPr>
          <w:rFonts w:ascii="Times New Roman" w:hAnsi="Times New Roman"/>
          <w:szCs w:val="24"/>
        </w:rPr>
      </w:pPr>
      <w:r>
        <w:rPr>
          <w:rFonts w:ascii="Times New Roman" w:hAnsi="Times New Roman"/>
        </w:rPr>
        <w:t>La Commission tient également à souligner que la Médiatrice n’a pas suggéré que les règles existantes sur les modalités de création et de fonctionnement des groupes d’experts de la Commission étaient insuffisantes.</w:t>
      </w:r>
    </w:p>
    <w:p w14:paraId="56575EC8" w14:textId="77777777" w:rsidR="00E1059F" w:rsidRPr="00E1059F" w:rsidRDefault="00E1059F" w:rsidP="00E1059F">
      <w:pPr>
        <w:spacing w:after="120"/>
        <w:rPr>
          <w:rFonts w:ascii="Times New Roman" w:hAnsi="Times New Roman"/>
          <w:szCs w:val="24"/>
        </w:rPr>
      </w:pPr>
      <w:r>
        <w:rPr>
          <w:rFonts w:ascii="Times New Roman" w:hAnsi="Times New Roman"/>
        </w:rPr>
        <w:t>La question du «pantouflage» mentionnée au paragraphe 17 de la résolution est dénuée de pertinence dans ce contexte, étant donné qu’il n’y a pas eu de conclusions ni de recommandations de la Médiatrice en ce qui concerne le forum de haut niveau sur l’union des marchés des capitaux de l’UE.</w:t>
      </w:r>
    </w:p>
    <w:p w14:paraId="70DC115E" w14:textId="77777777" w:rsidR="00E1059F" w:rsidRPr="00E1059F" w:rsidRDefault="00E1059F" w:rsidP="00E1059F">
      <w:pPr>
        <w:spacing w:after="120"/>
        <w:rPr>
          <w:rFonts w:ascii="Times New Roman" w:eastAsia="Calibri" w:hAnsi="Times New Roman"/>
          <w:b/>
          <w:iCs/>
          <w:szCs w:val="24"/>
          <w:u w:val="single"/>
        </w:rPr>
      </w:pPr>
      <w:r>
        <w:rPr>
          <w:rFonts w:ascii="Times New Roman" w:hAnsi="Times New Roman"/>
          <w:b/>
          <w:u w:val="single"/>
        </w:rPr>
        <w:t>Paragraphe 18 — interactions avec les représentants d’intérêts du tabac</w:t>
      </w:r>
    </w:p>
    <w:p w14:paraId="459346DF" w14:textId="4353359B" w:rsidR="00E1059F" w:rsidRPr="00E1059F" w:rsidRDefault="00E1059F" w:rsidP="00E1059F">
      <w:pPr>
        <w:spacing w:after="120"/>
        <w:rPr>
          <w:rFonts w:ascii="Times New Roman" w:hAnsi="Times New Roman"/>
        </w:rPr>
      </w:pPr>
      <w:r>
        <w:rPr>
          <w:rFonts w:ascii="Times New Roman" w:hAnsi="Times New Roman"/>
        </w:rPr>
        <w:t xml:space="preserve">L’enquête stratégique a été menée en 2021 et 2022 et comprenait notamment une réunion avec l’équipe d’enquête. La Commission a fourni toutes les informations et explications nécessaires concernant la politique qu’elle mène en ce qui concerne les interactions avec l’industrie du tabac. Elle a exposé sa politique en ce qui concerne les relations avec les </w:t>
      </w:r>
      <w:r>
        <w:rPr>
          <w:rFonts w:ascii="Times New Roman" w:hAnsi="Times New Roman"/>
        </w:rPr>
        <w:lastRenderedPageBreak/>
        <w:t>représentants d’intérêts et le régime spécifique qu’elle applique à l’industrie du tabac. À la demande de la Médiatrice européenne, elle a fourni tous les documents pertinents. La Médiatrice européenne n’a pas publié de rapport final ni de recommandation à la Commission en la matière.  La Commission a pris note des conclusions préliminaires du 18 avril 2023 et entend répondre à la Médiatrice sur cette question afin de faciliter la finalisation du rapport.</w:t>
      </w:r>
    </w:p>
    <w:p w14:paraId="3E12BF70"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b/>
          <w:u w:val="single"/>
        </w:rPr>
        <w:t>Paragraphe 20 — durabilité des projets gaziers énumérés comme projets d’importance régionale par la Communauté de l’énergie</w:t>
      </w:r>
    </w:p>
    <w:p w14:paraId="70471123" w14:textId="77777777" w:rsidR="00E1059F" w:rsidRPr="00E1059F" w:rsidRDefault="00E1059F" w:rsidP="00E1059F">
      <w:pPr>
        <w:spacing w:after="120"/>
        <w:rPr>
          <w:rFonts w:ascii="Times New Roman" w:eastAsia="Calibri" w:hAnsi="Times New Roman"/>
          <w:bCs/>
          <w:szCs w:val="24"/>
        </w:rPr>
      </w:pPr>
      <w:r>
        <w:rPr>
          <w:rFonts w:ascii="Times New Roman" w:hAnsi="Times New Roman"/>
        </w:rPr>
        <w:t>La Commission prend note des conclusions de la Médiatrice. Elle est d’avis que l’évaluation de la durabilité de tous les projets gaziers figurant sur les listes de projets présentant un intérêt pour la Communauté de l’énergie (PICE) et de projets d’intérêt mutuel (PIM), qui ont été publiées le 14 janvier 2021, a été réalisée de manière appropriée et dans le plein respect du traité instituant la Communauté de l’énergie, était conforme à la législation et aux règles de sélection applicables à l’époque et fondée sur le principe de «l’adéquation à l’objectif visé», compte tenu des spécificités régionales, telles que le bouquet énergétique existant.</w:t>
      </w:r>
    </w:p>
    <w:p w14:paraId="716969AB" w14:textId="77777777" w:rsidR="00E1059F" w:rsidRPr="00E1059F" w:rsidRDefault="00E1059F" w:rsidP="00E1059F">
      <w:pPr>
        <w:spacing w:after="120"/>
        <w:rPr>
          <w:rFonts w:ascii="Times New Roman" w:hAnsi="Times New Roman"/>
        </w:rPr>
      </w:pPr>
      <w:r>
        <w:rPr>
          <w:rFonts w:ascii="Times New Roman" w:hAnsi="Times New Roman"/>
        </w:rPr>
        <w:t>La Commission a participé aux principales étapes d’élaboration de la méthodologie et d’évaluation pour les listes PICE et PIM de 2020. Son rôle était de transmettre l’expérience acquise dans le cadre de l’évaluation des PIC au sein de l’UE et de fournir des conseils sur la nouvelle orientation des politiques de l’UE, afin d’établir la bonne base méthodologique pour les listes de 2020 de la Communauté de l’énergie, qui devaient être orientées sur le pacte vert pour l’Europe et adaptées aux réalités et aux objectifs énergétiques et climatiques des parties contractantes de la Communauté de l’énergie. Dans ce contexte, il convient de souligner que la Commission a activement cherché à intégrer, sur la base des données disponibles et crédibles, divers éléments de durabilité qui pouvaient être utilisés pour mesurer l’impact des projets sur la décarbonation et le climat.</w:t>
      </w:r>
    </w:p>
    <w:p w14:paraId="7407ABFF" w14:textId="77777777" w:rsidR="00E1059F" w:rsidRPr="00E1059F" w:rsidRDefault="00E1059F" w:rsidP="00E1059F">
      <w:pPr>
        <w:spacing w:after="120"/>
        <w:rPr>
          <w:rFonts w:ascii="Times New Roman" w:hAnsi="Times New Roman"/>
        </w:rPr>
      </w:pPr>
      <w:r>
        <w:rPr>
          <w:rFonts w:ascii="Times New Roman" w:hAnsi="Times New Roman"/>
        </w:rPr>
        <w:t>La participation de la Commission au processus d’élaboration de la méthodologie a conduit à l’intégration de scénarios communs du Réseau européen des gestionnaires de réseaux de transport d’électricité (REGRT-E), en particulier du scénario «Tendances nationales» du dernier plan décennal de développement du réseau (TYNDP) 2020, qui est conforme aux objectifs de la stratégie Europe 2030. En outre, la Commission a encouragé l’utilisation du scénario PRIMES Electric Unicycle Collective (EUCO) 3223.5 de l’UE aux fins de l’élaboration du scénario vert pour l’évaluation des PICE/PIM. Cela a été fait dans le but d’aligner les données d’entrée sur celles de l’Union européenne, afin de respecter les objectifs fixés par l’UE. L’évaluation des projets a été réalisée sur la base des deux scénarios, ensuite les résultats du rapport coût-avantage ont été pondérés, avec une part de 50-50 % pour les résultats finaux de l’analyse coûts-avantages. La Commission a également exprimé sa préférence pour l’utilisation d’un prix du carbone dans la méthodologie, même si les parties contractantes de la Communauté de l’énergie ne sont actuellement pas légalement tenues d’utiliser un tel mécanisme, qui décourage l’utilisation de combustibles plus polluants.</w:t>
      </w:r>
    </w:p>
    <w:p w14:paraId="655E3E9C" w14:textId="77777777" w:rsidR="00E1059F" w:rsidRPr="00E1059F" w:rsidRDefault="00E1059F" w:rsidP="00E1059F">
      <w:pPr>
        <w:spacing w:after="120"/>
        <w:rPr>
          <w:rFonts w:ascii="Times New Roman" w:hAnsi="Times New Roman"/>
          <w:szCs w:val="24"/>
        </w:rPr>
      </w:pPr>
      <w:r>
        <w:rPr>
          <w:rFonts w:ascii="Times New Roman" w:hAnsi="Times New Roman"/>
        </w:rPr>
        <w:t>Enfin, une fois que le règlement révisé sur les réseaux transeuropéens d’énergie (RTE-E) aura été adapté et intégré dans la Communauté de l’énergie, les nouvelles listes de PICE seront établies différemment, en tenant compte du nouveau critère de durabilité élaboré pour le processus RTE-E/PIC, qui doit également être utilisé pour la sélection des PICE/PIM.</w:t>
      </w:r>
    </w:p>
    <w:p w14:paraId="6B94D2F1" w14:textId="77777777" w:rsidR="00E1059F" w:rsidRPr="00E1059F" w:rsidRDefault="00E1059F" w:rsidP="00E1059F">
      <w:pPr>
        <w:spacing w:after="120"/>
        <w:rPr>
          <w:rFonts w:ascii="Times New Roman" w:hAnsi="Times New Roman"/>
          <w:b/>
          <w:bCs/>
          <w:szCs w:val="24"/>
          <w:u w:val="single"/>
        </w:rPr>
      </w:pPr>
      <w:r>
        <w:rPr>
          <w:rFonts w:ascii="Times New Roman" w:hAnsi="Times New Roman"/>
          <w:b/>
          <w:u w:val="single"/>
        </w:rPr>
        <w:t>Paragraphe 21 — négociations commerciales UE-Mercosur («évaluation de l’impact sur le développement durable»)</w:t>
      </w:r>
    </w:p>
    <w:p w14:paraId="476D5373"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rPr>
        <w:t xml:space="preserve">La Commission prend note des conclusions de la Médiatrice. Elle a mené un processus complet et continu de consultations de la société civile, avec plusieurs réunions et de nombreuses possibilités pour la société civile de fournir des contributions orales et écrites. </w:t>
      </w:r>
      <w:r>
        <w:rPr>
          <w:rFonts w:ascii="Times New Roman" w:hAnsi="Times New Roman"/>
        </w:rPr>
        <w:lastRenderedPageBreak/>
        <w:t>La Commission reste attachée à ce dialogue continu avec toutes les parties intéressées sur l’accord commercial UE-Mercosur.</w:t>
      </w:r>
    </w:p>
    <w:p w14:paraId="48272BD5"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rPr>
        <w:t>C’est dans cet esprit que la Commission a lancé en 2017 l’évaluation de l’impact sur le développement durable (EID) UE-Mercosur, en ayant l’intention de la finaliser et de la publier avant la fin des négociations, alors qu’il n’existait aucune exigence explicite ou juridiquement contraignante en matière de calendrier. Malheureusement, la Commission n’a pas conclu cette évaluation à temps, en raison du caractère imprévisible du processus et du calendrier de négociation.</w:t>
      </w:r>
    </w:p>
    <w:p w14:paraId="21C9680B"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rPr>
        <w:t>La Commission a tout de même examiné de manière exhaustive les conclusions de l’EID les plus récentes au moment des négociations. Elle a également l’intention de traiter les questions en suspens recensées dans le rapport final de l’EID, y compris en ce qui concerne les engagements en matière de commerce et de développement durable.</w:t>
      </w:r>
    </w:p>
    <w:p w14:paraId="46A9236B"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color w:val="000000"/>
        </w:rPr>
        <w:t>La Commission reste fermement attachée à un processus de négociation transparent et inclusif, avec une participation étroite de la société civile. Les EID constituent un outil essentiel pour garantir que les accords commerciaux de l’UE respectent les normes économiques, sociales et environnementales. La Commission a réformé le processus d’EID en 2018 afin de garantir que les EID finales puissent être prêtes plus rapidement qu’auparavant.</w:t>
      </w:r>
    </w:p>
    <w:p w14:paraId="61C0AD44"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rPr>
        <w:t>La Commission tient également à souligner que la Médiatrice a uniquement critiqué la Commission en ce qui concerne la procédure mais pas sur le fond.</w:t>
      </w:r>
    </w:p>
    <w:p w14:paraId="37C3EB09"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rPr>
        <w:t>La Médiatrice ne s’est pas prononcée sur la question de savoir si les questions de durabilité avaient été dûment prises en compte dans le résultat des négociations.</w:t>
      </w:r>
    </w:p>
    <w:p w14:paraId="721C903C" w14:textId="77777777" w:rsidR="00E1059F" w:rsidRPr="00E1059F" w:rsidRDefault="00E1059F" w:rsidP="00E1059F">
      <w:pPr>
        <w:spacing w:after="120"/>
        <w:rPr>
          <w:rFonts w:ascii="Times New Roman" w:eastAsia="Calibri" w:hAnsi="Times New Roman"/>
          <w:b/>
          <w:szCs w:val="24"/>
          <w:u w:val="single"/>
        </w:rPr>
      </w:pPr>
      <w:r>
        <w:rPr>
          <w:rFonts w:ascii="Times New Roman" w:hAnsi="Times New Roman"/>
        </w:rPr>
        <w:t>De fait, elle a reconnu les efforts déployés par la Commission pour inclure dans les négociations UE-Mercosur les informations les plus récentes disponibles dans le cadre du processus d’EID.</w:t>
      </w:r>
    </w:p>
    <w:sectPr w:rsidR="00E1059F" w:rsidRPr="00E1059F" w:rsidSect="001342A0">
      <w:headerReference w:type="default" r:id="rId20"/>
      <w:footerReference w:type="even" r:id="rId21"/>
      <w:footerReference w:type="default" r:id="rId22"/>
      <w:footerReference w:type="first" r:id="rId23"/>
      <w:footnotePr>
        <w:pos w:val="beneathText"/>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862B" w14:textId="77777777" w:rsidR="00810C84" w:rsidRDefault="00810C84" w:rsidP="001342A0">
      <w:pPr>
        <w:spacing w:after="0"/>
      </w:pPr>
      <w:r>
        <w:separator/>
      </w:r>
    </w:p>
  </w:endnote>
  <w:endnote w:type="continuationSeparator" w:id="0">
    <w:p w14:paraId="2FAAD54D" w14:textId="77777777" w:rsidR="00810C84" w:rsidRDefault="00810C84" w:rsidP="001342A0">
      <w:pPr>
        <w:spacing w:after="0"/>
      </w:pPr>
      <w:r>
        <w:continuationSeparator/>
      </w:r>
    </w:p>
  </w:endnote>
  <w:endnote w:type="continuationNotice" w:id="1">
    <w:p w14:paraId="06814F3E" w14:textId="77777777" w:rsidR="00810C84" w:rsidRDefault="00810C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3142" w14:textId="77777777" w:rsidR="003E7E40" w:rsidRDefault="001342A0"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29F80B4" w14:textId="77777777" w:rsidR="003E7E40" w:rsidRDefault="00845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00BB" w14:textId="0A490A41" w:rsidR="003E7E40" w:rsidRDefault="001342A0"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50C2EE4F" w14:textId="77777777" w:rsidR="003E7E40" w:rsidRPr="008A6623" w:rsidRDefault="008455B0"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AC21" w14:textId="5025048B" w:rsidR="003E7E40" w:rsidRDefault="001342A0"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0D511CD" w14:textId="77777777" w:rsidR="003E7E40" w:rsidRDefault="008455B0"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5B46" w14:textId="77777777" w:rsidR="00810C84" w:rsidRDefault="00810C84" w:rsidP="001342A0">
      <w:pPr>
        <w:spacing w:after="0"/>
      </w:pPr>
      <w:r>
        <w:separator/>
      </w:r>
    </w:p>
  </w:footnote>
  <w:footnote w:type="continuationSeparator" w:id="0">
    <w:p w14:paraId="22F99721" w14:textId="77777777" w:rsidR="00810C84" w:rsidRDefault="00810C84" w:rsidP="001342A0">
      <w:pPr>
        <w:spacing w:after="0"/>
      </w:pPr>
      <w:r>
        <w:continuationSeparator/>
      </w:r>
    </w:p>
  </w:footnote>
  <w:footnote w:type="continuationNotice" w:id="1">
    <w:p w14:paraId="74413256" w14:textId="77777777" w:rsidR="00810C84" w:rsidRDefault="00810C84">
      <w:pPr>
        <w:spacing w:after="0"/>
      </w:pPr>
    </w:p>
  </w:footnote>
  <w:footnote w:id="2">
    <w:p w14:paraId="4CD63114" w14:textId="77777777" w:rsidR="00E1059F" w:rsidRDefault="00E1059F" w:rsidP="00E1059F">
      <w:pPr>
        <w:spacing w:after="0"/>
        <w:ind w:left="357" w:hanging="357"/>
        <w:rPr>
          <w:rFonts w:ascii="Times New Roman" w:hAnsi="Times New Roman"/>
          <w:sz w:val="22"/>
          <w:szCs w:val="22"/>
        </w:rPr>
      </w:pPr>
      <w:r>
        <w:rPr>
          <w:vertAlign w:val="superscript"/>
        </w:rPr>
        <w:footnoteRef/>
      </w:r>
      <w:r>
        <w:rPr>
          <w:vertAlign w:val="superscript"/>
        </w:rPr>
        <w:t xml:space="preserve"> </w:t>
      </w:r>
      <w:r>
        <w:tab/>
      </w:r>
      <w:r>
        <w:rPr>
          <w:rFonts w:ascii="Times New Roman" w:hAnsi="Times New Roman"/>
          <w:sz w:val="20"/>
        </w:rPr>
        <w:t>Décision (UE) 2021/2121 de la Commission du 6 juillet 2020 concernant la gestion des documents d’activité et les archives, JO L 430 du 2.12.2021, p. 30–41.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D317" w14:textId="77777777" w:rsidR="00914C60" w:rsidRDefault="00914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731D2"/>
    <w:multiLevelType w:val="hybridMultilevel"/>
    <w:tmpl w:val="DE40DB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74E1A77"/>
    <w:multiLevelType w:val="hybridMultilevel"/>
    <w:tmpl w:val="ECBA2194"/>
    <w:lvl w:ilvl="0" w:tplc="040C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start w:val="1"/>
      <w:numFmt w:val="bullet"/>
      <w:lvlText w:val=""/>
      <w:lvlJc w:val="left"/>
      <w:pPr>
        <w:ind w:left="3240" w:hanging="360"/>
      </w:pPr>
      <w:rPr>
        <w:rFonts w:ascii="Wingdings" w:hAnsi="Wingdings" w:hint="default"/>
      </w:rPr>
    </w:lvl>
    <w:lvl w:ilvl="3" w:tplc="18090001">
      <w:start w:val="1"/>
      <w:numFmt w:val="bullet"/>
      <w:lvlText w:val=""/>
      <w:lvlJc w:val="left"/>
      <w:pPr>
        <w:ind w:left="3960" w:hanging="360"/>
      </w:pPr>
      <w:rPr>
        <w:rFonts w:ascii="Symbol" w:hAnsi="Symbol" w:hint="default"/>
      </w:rPr>
    </w:lvl>
    <w:lvl w:ilvl="4" w:tplc="18090003">
      <w:start w:val="1"/>
      <w:numFmt w:val="bullet"/>
      <w:lvlText w:val="o"/>
      <w:lvlJc w:val="left"/>
      <w:pPr>
        <w:ind w:left="4680" w:hanging="360"/>
      </w:pPr>
      <w:rPr>
        <w:rFonts w:ascii="Courier New" w:hAnsi="Courier New" w:cs="Courier New" w:hint="default"/>
      </w:rPr>
    </w:lvl>
    <w:lvl w:ilvl="5" w:tplc="18090005">
      <w:start w:val="1"/>
      <w:numFmt w:val="bullet"/>
      <w:lvlText w:val=""/>
      <w:lvlJc w:val="left"/>
      <w:pPr>
        <w:ind w:left="5400" w:hanging="360"/>
      </w:pPr>
      <w:rPr>
        <w:rFonts w:ascii="Wingdings" w:hAnsi="Wingdings" w:hint="default"/>
      </w:rPr>
    </w:lvl>
    <w:lvl w:ilvl="6" w:tplc="18090001">
      <w:start w:val="1"/>
      <w:numFmt w:val="bullet"/>
      <w:lvlText w:val=""/>
      <w:lvlJc w:val="left"/>
      <w:pPr>
        <w:ind w:left="6120" w:hanging="360"/>
      </w:pPr>
      <w:rPr>
        <w:rFonts w:ascii="Symbol" w:hAnsi="Symbol" w:hint="default"/>
      </w:rPr>
    </w:lvl>
    <w:lvl w:ilvl="7" w:tplc="18090003">
      <w:start w:val="1"/>
      <w:numFmt w:val="bullet"/>
      <w:lvlText w:val="o"/>
      <w:lvlJc w:val="left"/>
      <w:pPr>
        <w:ind w:left="6840" w:hanging="360"/>
      </w:pPr>
      <w:rPr>
        <w:rFonts w:ascii="Courier New" w:hAnsi="Courier New" w:cs="Courier New" w:hint="default"/>
      </w:rPr>
    </w:lvl>
    <w:lvl w:ilvl="8" w:tplc="18090005">
      <w:start w:val="1"/>
      <w:numFmt w:val="bullet"/>
      <w:lvlText w:val=""/>
      <w:lvlJc w:val="left"/>
      <w:pPr>
        <w:ind w:left="7560" w:hanging="360"/>
      </w:pPr>
      <w:rPr>
        <w:rFonts w:ascii="Wingdings" w:hAnsi="Wingdings" w:hint="default"/>
      </w:rPr>
    </w:lvl>
  </w:abstractNum>
  <w:abstractNum w:abstractNumId="2" w15:restartNumberingAfterBreak="0">
    <w:nsid w:val="443867C4"/>
    <w:multiLevelType w:val="hybridMultilevel"/>
    <w:tmpl w:val="D3981ABE"/>
    <w:lvl w:ilvl="0" w:tplc="570E07EE">
      <w:start w:val="1"/>
      <w:numFmt w:val="bullet"/>
      <w:lvlText w:val=""/>
      <w:lvlJc w:val="left"/>
      <w:pPr>
        <w:ind w:left="720" w:hanging="360"/>
      </w:pPr>
      <w:rPr>
        <w:rFonts w:ascii="Symbol" w:hAnsi="Symbol" w:hint="default"/>
        <w:lang w:val="en-GB"/>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 w15:restartNumberingAfterBreak="0">
    <w:nsid w:val="5C6D1BB1"/>
    <w:multiLevelType w:val="hybridMultilevel"/>
    <w:tmpl w:val="05E8D02C"/>
    <w:lvl w:ilvl="0" w:tplc="040C0001">
      <w:start w:val="1"/>
      <w:numFmt w:val="bullet"/>
      <w:lvlText w:val=""/>
      <w:lvlJc w:val="left"/>
      <w:pPr>
        <w:ind w:left="1538" w:hanging="360"/>
      </w:pPr>
      <w:rPr>
        <w:rFonts w:ascii="Symbol" w:hAnsi="Symbol" w:hint="default"/>
      </w:rPr>
    </w:lvl>
    <w:lvl w:ilvl="1" w:tplc="18090003">
      <w:start w:val="1"/>
      <w:numFmt w:val="bullet"/>
      <w:lvlText w:val="o"/>
      <w:lvlJc w:val="left"/>
      <w:pPr>
        <w:ind w:left="2258" w:hanging="360"/>
      </w:pPr>
      <w:rPr>
        <w:rFonts w:ascii="Courier New" w:hAnsi="Courier New" w:cs="Courier New" w:hint="default"/>
      </w:rPr>
    </w:lvl>
    <w:lvl w:ilvl="2" w:tplc="18090005">
      <w:start w:val="1"/>
      <w:numFmt w:val="bullet"/>
      <w:lvlText w:val=""/>
      <w:lvlJc w:val="left"/>
      <w:pPr>
        <w:ind w:left="2978" w:hanging="360"/>
      </w:pPr>
      <w:rPr>
        <w:rFonts w:ascii="Wingdings" w:hAnsi="Wingdings" w:hint="default"/>
      </w:rPr>
    </w:lvl>
    <w:lvl w:ilvl="3" w:tplc="18090001">
      <w:start w:val="1"/>
      <w:numFmt w:val="bullet"/>
      <w:lvlText w:val=""/>
      <w:lvlJc w:val="left"/>
      <w:pPr>
        <w:ind w:left="3698" w:hanging="360"/>
      </w:pPr>
      <w:rPr>
        <w:rFonts w:ascii="Symbol" w:hAnsi="Symbol" w:hint="default"/>
      </w:rPr>
    </w:lvl>
    <w:lvl w:ilvl="4" w:tplc="18090003">
      <w:start w:val="1"/>
      <w:numFmt w:val="bullet"/>
      <w:lvlText w:val="o"/>
      <w:lvlJc w:val="left"/>
      <w:pPr>
        <w:ind w:left="4418" w:hanging="360"/>
      </w:pPr>
      <w:rPr>
        <w:rFonts w:ascii="Courier New" w:hAnsi="Courier New" w:cs="Courier New" w:hint="default"/>
      </w:rPr>
    </w:lvl>
    <w:lvl w:ilvl="5" w:tplc="18090005">
      <w:start w:val="1"/>
      <w:numFmt w:val="bullet"/>
      <w:lvlText w:val=""/>
      <w:lvlJc w:val="left"/>
      <w:pPr>
        <w:ind w:left="5138" w:hanging="360"/>
      </w:pPr>
      <w:rPr>
        <w:rFonts w:ascii="Wingdings" w:hAnsi="Wingdings" w:hint="default"/>
      </w:rPr>
    </w:lvl>
    <w:lvl w:ilvl="6" w:tplc="18090001">
      <w:start w:val="1"/>
      <w:numFmt w:val="bullet"/>
      <w:lvlText w:val=""/>
      <w:lvlJc w:val="left"/>
      <w:pPr>
        <w:ind w:left="5858" w:hanging="360"/>
      </w:pPr>
      <w:rPr>
        <w:rFonts w:ascii="Symbol" w:hAnsi="Symbol" w:hint="default"/>
      </w:rPr>
    </w:lvl>
    <w:lvl w:ilvl="7" w:tplc="18090003">
      <w:start w:val="1"/>
      <w:numFmt w:val="bullet"/>
      <w:lvlText w:val="o"/>
      <w:lvlJc w:val="left"/>
      <w:pPr>
        <w:ind w:left="6578" w:hanging="360"/>
      </w:pPr>
      <w:rPr>
        <w:rFonts w:ascii="Courier New" w:hAnsi="Courier New" w:cs="Courier New" w:hint="default"/>
      </w:rPr>
    </w:lvl>
    <w:lvl w:ilvl="8" w:tplc="18090005">
      <w:start w:val="1"/>
      <w:numFmt w:val="bullet"/>
      <w:lvlText w:val=""/>
      <w:lvlJc w:val="left"/>
      <w:pPr>
        <w:ind w:left="7298" w:hanging="360"/>
      </w:pPr>
      <w:rPr>
        <w:rFonts w:ascii="Wingdings" w:hAnsi="Wingdings" w:hint="default"/>
      </w:rPr>
    </w:lvl>
  </w:abstractNum>
  <w:num w:numId="1" w16cid:durableId="859975017">
    <w:abstractNumId w:val="3"/>
  </w:num>
  <w:num w:numId="2" w16cid:durableId="727068747">
    <w:abstractNumId w:val="4"/>
  </w:num>
  <w:num w:numId="3" w16cid:durableId="1763255582">
    <w:abstractNumId w:val="1"/>
  </w:num>
  <w:num w:numId="4" w16cid:durableId="954092103">
    <w:abstractNumId w:val="0"/>
  </w:num>
  <w:num w:numId="5" w16cid:durableId="186911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0721"/>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121C31"/>
    <w:rsid w:val="00003267"/>
    <w:rsid w:val="0000584C"/>
    <w:rsid w:val="0002370C"/>
    <w:rsid w:val="000449EE"/>
    <w:rsid w:val="00050CBA"/>
    <w:rsid w:val="00051628"/>
    <w:rsid w:val="00075CF7"/>
    <w:rsid w:val="0007612D"/>
    <w:rsid w:val="00076B83"/>
    <w:rsid w:val="00082B26"/>
    <w:rsid w:val="00085061"/>
    <w:rsid w:val="00093B02"/>
    <w:rsid w:val="000A2A08"/>
    <w:rsid w:val="000B21E3"/>
    <w:rsid w:val="000E08C6"/>
    <w:rsid w:val="000E5887"/>
    <w:rsid w:val="00105109"/>
    <w:rsid w:val="001111AF"/>
    <w:rsid w:val="001217F0"/>
    <w:rsid w:val="00121C31"/>
    <w:rsid w:val="001342A0"/>
    <w:rsid w:val="00144A41"/>
    <w:rsid w:val="00175562"/>
    <w:rsid w:val="0017650B"/>
    <w:rsid w:val="001B4AF6"/>
    <w:rsid w:val="001C5AFB"/>
    <w:rsid w:val="002056FA"/>
    <w:rsid w:val="0021240B"/>
    <w:rsid w:val="00277302"/>
    <w:rsid w:val="00280B2D"/>
    <w:rsid w:val="00281333"/>
    <w:rsid w:val="002A757D"/>
    <w:rsid w:val="002E3BA3"/>
    <w:rsid w:val="002E4533"/>
    <w:rsid w:val="0033551C"/>
    <w:rsid w:val="003A0D1F"/>
    <w:rsid w:val="003A7149"/>
    <w:rsid w:val="003C0AF8"/>
    <w:rsid w:val="003D741A"/>
    <w:rsid w:val="003E212B"/>
    <w:rsid w:val="004042C8"/>
    <w:rsid w:val="004309F5"/>
    <w:rsid w:val="0044206E"/>
    <w:rsid w:val="00444756"/>
    <w:rsid w:val="00446A61"/>
    <w:rsid w:val="004763C3"/>
    <w:rsid w:val="004A65BE"/>
    <w:rsid w:val="004A6BF1"/>
    <w:rsid w:val="004B43CD"/>
    <w:rsid w:val="00510789"/>
    <w:rsid w:val="00531BA1"/>
    <w:rsid w:val="00546957"/>
    <w:rsid w:val="005543BE"/>
    <w:rsid w:val="00583643"/>
    <w:rsid w:val="0059554B"/>
    <w:rsid w:val="005A20F0"/>
    <w:rsid w:val="005A2304"/>
    <w:rsid w:val="005D2C2E"/>
    <w:rsid w:val="006214C9"/>
    <w:rsid w:val="006219E4"/>
    <w:rsid w:val="00623423"/>
    <w:rsid w:val="006804BD"/>
    <w:rsid w:val="006C515F"/>
    <w:rsid w:val="006D629E"/>
    <w:rsid w:val="00712860"/>
    <w:rsid w:val="00723583"/>
    <w:rsid w:val="00752574"/>
    <w:rsid w:val="007946C5"/>
    <w:rsid w:val="00810C84"/>
    <w:rsid w:val="00816F2F"/>
    <w:rsid w:val="00827558"/>
    <w:rsid w:val="008455B0"/>
    <w:rsid w:val="0084774C"/>
    <w:rsid w:val="00854358"/>
    <w:rsid w:val="00873BD0"/>
    <w:rsid w:val="00891045"/>
    <w:rsid w:val="00894170"/>
    <w:rsid w:val="008A507C"/>
    <w:rsid w:val="008C6BBD"/>
    <w:rsid w:val="008D41C4"/>
    <w:rsid w:val="008F3F97"/>
    <w:rsid w:val="00914C60"/>
    <w:rsid w:val="00940A46"/>
    <w:rsid w:val="009438DC"/>
    <w:rsid w:val="00964422"/>
    <w:rsid w:val="0097327C"/>
    <w:rsid w:val="00982562"/>
    <w:rsid w:val="009A47B6"/>
    <w:rsid w:val="009A76A5"/>
    <w:rsid w:val="009B103D"/>
    <w:rsid w:val="009B7284"/>
    <w:rsid w:val="009E4E15"/>
    <w:rsid w:val="009E621B"/>
    <w:rsid w:val="00A30EB6"/>
    <w:rsid w:val="00A71206"/>
    <w:rsid w:val="00A834F3"/>
    <w:rsid w:val="00A864DA"/>
    <w:rsid w:val="00AA053D"/>
    <w:rsid w:val="00AD5A3F"/>
    <w:rsid w:val="00AF724F"/>
    <w:rsid w:val="00AF7799"/>
    <w:rsid w:val="00B11B4A"/>
    <w:rsid w:val="00B25F28"/>
    <w:rsid w:val="00B44F52"/>
    <w:rsid w:val="00B87BE6"/>
    <w:rsid w:val="00B93ED0"/>
    <w:rsid w:val="00BA0C40"/>
    <w:rsid w:val="00BC379F"/>
    <w:rsid w:val="00C07A64"/>
    <w:rsid w:val="00C11B17"/>
    <w:rsid w:val="00C21B34"/>
    <w:rsid w:val="00C60DCA"/>
    <w:rsid w:val="00C86346"/>
    <w:rsid w:val="00CC52DD"/>
    <w:rsid w:val="00D00CAC"/>
    <w:rsid w:val="00D0394F"/>
    <w:rsid w:val="00D17683"/>
    <w:rsid w:val="00D80A4B"/>
    <w:rsid w:val="00DC7529"/>
    <w:rsid w:val="00E00589"/>
    <w:rsid w:val="00E1059F"/>
    <w:rsid w:val="00E277B7"/>
    <w:rsid w:val="00E43404"/>
    <w:rsid w:val="00E47EAE"/>
    <w:rsid w:val="00E64EE1"/>
    <w:rsid w:val="00E77C5F"/>
    <w:rsid w:val="00E910F8"/>
    <w:rsid w:val="00E95306"/>
    <w:rsid w:val="00EB1B2C"/>
    <w:rsid w:val="00EB1F2A"/>
    <w:rsid w:val="00EC11B0"/>
    <w:rsid w:val="00ED023B"/>
    <w:rsid w:val="00F074E7"/>
    <w:rsid w:val="00F57A88"/>
    <w:rsid w:val="00F65DA0"/>
    <w:rsid w:val="00F75568"/>
    <w:rsid w:val="00F90F96"/>
    <w:rsid w:val="00FC017A"/>
    <w:rsid w:val="00FE301C"/>
    <w:rsid w:val="00FF0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A0F2C5"/>
  <w15:chartTrackingRefBased/>
  <w15:docId w15:val="{C8A5EC56-A0FA-4602-90DA-42D7B2A5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A0"/>
    <w:pPr>
      <w:spacing w:after="240" w:line="240" w:lineRule="auto"/>
      <w:jc w:val="both"/>
    </w:pPr>
    <w:rPr>
      <w:rFonts w:ascii="Courier New" w:eastAsia="Times New Roman" w:hAnsi="Courier New"/>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42A0"/>
    <w:pPr>
      <w:spacing w:after="0"/>
      <w:ind w:right="-567"/>
      <w:jc w:val="left"/>
    </w:pPr>
    <w:rPr>
      <w:rFonts w:ascii="Arial" w:hAnsi="Arial"/>
      <w:sz w:val="16"/>
    </w:rPr>
  </w:style>
  <w:style w:type="character" w:customStyle="1" w:styleId="FooterChar">
    <w:name w:val="Footer Char"/>
    <w:basedOn w:val="DefaultParagraphFont"/>
    <w:link w:val="Footer"/>
    <w:rsid w:val="001342A0"/>
    <w:rPr>
      <w:rFonts w:ascii="Arial" w:eastAsia="Times New Roman" w:hAnsi="Arial"/>
      <w:sz w:val="16"/>
      <w:szCs w:val="20"/>
      <w:lang w:eastAsia="en-GB"/>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rsid w:val="001342A0"/>
    <w:pPr>
      <w:ind w:left="357" w:hanging="357"/>
    </w:pPr>
    <w:rPr>
      <w:sz w:val="20"/>
    </w:rPr>
  </w:style>
  <w:style w:type="character" w:customStyle="1" w:styleId="FootnoteTextChar">
    <w:name w:val="Footnote Text Char"/>
    <w:basedOn w:val="DefaultParagraphFont"/>
    <w:uiPriority w:val="99"/>
    <w:semiHidden/>
    <w:rsid w:val="001342A0"/>
    <w:rPr>
      <w:rFonts w:ascii="Courier New" w:eastAsia="Times New Roman" w:hAnsi="Courier New"/>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342A0"/>
    <w:rPr>
      <w:vertAlign w:val="superscript"/>
    </w:rPr>
  </w:style>
  <w:style w:type="character" w:styleId="Hyperlink">
    <w:name w:val="Hyperlink"/>
    <w:aliases w:val="Char1"/>
    <w:rsid w:val="001342A0"/>
    <w:rPr>
      <w:color w:val="0000FF"/>
      <w:u w:val="single"/>
    </w:rPr>
  </w:style>
  <w:style w:type="character" w:styleId="CommentReference">
    <w:name w:val="annotation reference"/>
    <w:rsid w:val="001342A0"/>
    <w:rPr>
      <w:sz w:val="16"/>
    </w:rPr>
  </w:style>
  <w:style w:type="character" w:styleId="PageNumber">
    <w:name w:val="page number"/>
    <w:basedOn w:val="DefaultParagraphFont"/>
    <w:rsid w:val="001342A0"/>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1342A0"/>
    <w:rPr>
      <w:rFonts w:ascii="Courier New" w:eastAsia="Times New Roman" w:hAnsi="Courier New"/>
      <w:sz w:val="20"/>
      <w:szCs w:val="20"/>
      <w:lang w:eastAsia="en-GB"/>
    </w:rPr>
  </w:style>
  <w:style w:type="paragraph" w:customStyle="1" w:styleId="Default">
    <w:name w:val="Default"/>
    <w:rsid w:val="001342A0"/>
    <w:pPr>
      <w:autoSpaceDE w:val="0"/>
      <w:autoSpaceDN w:val="0"/>
      <w:adjustRightInd w:val="0"/>
      <w:spacing w:line="240" w:lineRule="auto"/>
    </w:pPr>
    <w:rPr>
      <w:rFonts w:eastAsia="Times New Roman"/>
      <w:color w:val="000000"/>
      <w:lang w:eastAsia="fr-FR"/>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1342A0"/>
    <w:pPr>
      <w:spacing w:after="160" w:line="240" w:lineRule="exact"/>
      <w:jc w:val="left"/>
    </w:pPr>
    <w:rPr>
      <w:rFonts w:ascii="Times New Roman" w:eastAsia="Calibri" w:hAnsi="Times New Roman"/>
      <w:szCs w:val="24"/>
      <w:vertAlign w:val="superscript"/>
      <w:lang w:eastAsia="en-US"/>
    </w:rPr>
  </w:style>
  <w:style w:type="paragraph" w:customStyle="1" w:styleId="ZnakZnak">
    <w:name w:val="Znak Znak"/>
    <w:basedOn w:val="Normal"/>
    <w:rsid w:val="001342A0"/>
    <w:pPr>
      <w:spacing w:after="0" w:line="360" w:lineRule="auto"/>
    </w:pPr>
    <w:rPr>
      <w:rFonts w:ascii="Verdana" w:hAnsi="Verdana"/>
      <w:sz w:val="20"/>
      <w:lang w:eastAsia="pl-PL"/>
    </w:rPr>
  </w:style>
  <w:style w:type="paragraph" w:styleId="BalloonText">
    <w:name w:val="Balloon Text"/>
    <w:basedOn w:val="Normal"/>
    <w:link w:val="BalloonTextChar"/>
    <w:uiPriority w:val="99"/>
    <w:semiHidden/>
    <w:unhideWhenUsed/>
    <w:rsid w:val="00134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2A0"/>
    <w:rPr>
      <w:rFonts w:ascii="Segoe UI" w:eastAsia="Times New Roman" w:hAnsi="Segoe UI" w:cs="Segoe UI"/>
      <w:sz w:val="18"/>
      <w:szCs w:val="18"/>
      <w:lang w:eastAsia="en-G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sz w:val="20"/>
      <w:szCs w:val="20"/>
      <w:lang w:eastAsia="en-GB"/>
    </w:rPr>
  </w:style>
  <w:style w:type="paragraph" w:styleId="CommentSubject">
    <w:name w:val="annotation subject"/>
    <w:basedOn w:val="CommentText"/>
    <w:next w:val="CommentText"/>
    <w:link w:val="CommentSubjectChar"/>
    <w:uiPriority w:val="99"/>
    <w:semiHidden/>
    <w:unhideWhenUsed/>
    <w:rsid w:val="00281333"/>
    <w:rPr>
      <w:b/>
      <w:bCs/>
    </w:rPr>
  </w:style>
  <w:style w:type="character" w:customStyle="1" w:styleId="CommentSubjectChar">
    <w:name w:val="Comment Subject Char"/>
    <w:basedOn w:val="CommentTextChar"/>
    <w:link w:val="CommentSubject"/>
    <w:uiPriority w:val="99"/>
    <w:semiHidden/>
    <w:rsid w:val="00281333"/>
    <w:rPr>
      <w:rFonts w:ascii="Courier New" w:eastAsia="Times New Roman" w:hAnsi="Courier New"/>
      <w:b/>
      <w:bCs/>
      <w:sz w:val="20"/>
      <w:szCs w:val="20"/>
      <w:lang w:eastAsia="en-GB"/>
    </w:rPr>
  </w:style>
  <w:style w:type="paragraph" w:styleId="Header">
    <w:name w:val="header"/>
    <w:basedOn w:val="Normal"/>
    <w:link w:val="HeaderChar"/>
    <w:uiPriority w:val="99"/>
    <w:unhideWhenUsed/>
    <w:rsid w:val="00914C60"/>
    <w:pPr>
      <w:tabs>
        <w:tab w:val="center" w:pos="4513"/>
        <w:tab w:val="right" w:pos="9026"/>
      </w:tabs>
      <w:spacing w:after="0"/>
    </w:pPr>
  </w:style>
  <w:style w:type="character" w:customStyle="1" w:styleId="HeaderChar">
    <w:name w:val="Header Char"/>
    <w:basedOn w:val="DefaultParagraphFont"/>
    <w:link w:val="Header"/>
    <w:uiPriority w:val="99"/>
    <w:rsid w:val="00914C60"/>
    <w:rPr>
      <w:rFonts w:ascii="Courier New" w:eastAsia="Times New Roman" w:hAnsi="Courier New"/>
      <w:szCs w:val="20"/>
      <w:lang w:eastAsia="en-GB"/>
    </w:rPr>
  </w:style>
  <w:style w:type="paragraph" w:styleId="Revision">
    <w:name w:val="Revision"/>
    <w:hidden/>
    <w:uiPriority w:val="99"/>
    <w:semiHidden/>
    <w:rsid w:val="00752574"/>
    <w:pPr>
      <w:spacing w:line="240" w:lineRule="auto"/>
    </w:pPr>
    <w:rPr>
      <w:rFonts w:ascii="Courier New" w:eastAsia="Times New Roman" w:hAnsi="Courier New"/>
      <w:szCs w:val="20"/>
      <w:lang w:eastAsia="en-GB"/>
    </w:rPr>
  </w:style>
  <w:style w:type="character" w:styleId="Emphasis">
    <w:name w:val="Emphasis"/>
    <w:basedOn w:val="DefaultParagraphFont"/>
    <w:uiPriority w:val="20"/>
    <w:qFormat/>
    <w:rsid w:val="00A834F3"/>
    <w:rPr>
      <w:i/>
      <w:iCs/>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sid w:val="00B25F28"/>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No Spacing1,EC,List_Paragraph"/>
    <w:basedOn w:val="Normal"/>
    <w:link w:val="ListParagraphChar"/>
    <w:uiPriority w:val="34"/>
    <w:qFormat/>
    <w:rsid w:val="00B25F28"/>
    <w:pPr>
      <w:spacing w:after="200" w:line="276" w:lineRule="auto"/>
      <w:ind w:left="720"/>
      <w:contextualSpacing/>
      <w:jc w:val="left"/>
    </w:pPr>
    <w:rPr>
      <w:rFonts w:ascii="Times New Roman" w:eastAsia="Calibri" w:hAnsi="Times New Roman"/>
      <w:szCs w:val="24"/>
      <w:lang w:eastAsia="en-US"/>
    </w:rPr>
  </w:style>
  <w:style w:type="paragraph" w:customStyle="1" w:styleId="Style">
    <w:name w:val="Style"/>
    <w:link w:val="StyleChar"/>
    <w:rsid w:val="00546957"/>
    <w:pPr>
      <w:widowControl w:val="0"/>
      <w:autoSpaceDE w:val="0"/>
      <w:autoSpaceDN w:val="0"/>
      <w:adjustRightInd w:val="0"/>
      <w:spacing w:line="240" w:lineRule="auto"/>
    </w:pPr>
    <w:rPr>
      <w:rFonts w:eastAsia="Times New Roman"/>
      <w:lang w:eastAsia="en-GB"/>
    </w:rPr>
  </w:style>
  <w:style w:type="character" w:customStyle="1" w:styleId="StyleChar">
    <w:name w:val="Style Char"/>
    <w:basedOn w:val="DefaultParagraphFont"/>
    <w:link w:val="Style"/>
    <w:rsid w:val="00546957"/>
    <w:rPr>
      <w:rFonts w:eastAsia="Times New Roman"/>
      <w:lang w:eastAsia="en-GB"/>
    </w:rPr>
  </w:style>
  <w:style w:type="paragraph" w:customStyle="1" w:styleId="Contact">
    <w:name w:val="Contact"/>
    <w:basedOn w:val="Normal"/>
    <w:uiPriority w:val="99"/>
    <w:rsid w:val="00546957"/>
    <w:pPr>
      <w:spacing w:before="480" w:after="0"/>
      <w:ind w:left="567" w:hanging="567"/>
      <w:jc w:val="left"/>
    </w:pPr>
    <w:rPr>
      <w:rFonts w:ascii="Times New Roman" w:hAnsi="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508">
      <w:bodyDiv w:val="1"/>
      <w:marLeft w:val="0"/>
      <w:marRight w:val="0"/>
      <w:marTop w:val="0"/>
      <w:marBottom w:val="0"/>
      <w:divBdr>
        <w:top w:val="none" w:sz="0" w:space="0" w:color="auto"/>
        <w:left w:val="none" w:sz="0" w:space="0" w:color="auto"/>
        <w:bottom w:val="none" w:sz="0" w:space="0" w:color="auto"/>
        <w:right w:val="none" w:sz="0" w:space="0" w:color="auto"/>
      </w:divBdr>
    </w:div>
    <w:div w:id="325062473">
      <w:bodyDiv w:val="1"/>
      <w:marLeft w:val="0"/>
      <w:marRight w:val="0"/>
      <w:marTop w:val="0"/>
      <w:marBottom w:val="0"/>
      <w:divBdr>
        <w:top w:val="none" w:sz="0" w:space="0" w:color="auto"/>
        <w:left w:val="none" w:sz="0" w:space="0" w:color="auto"/>
        <w:bottom w:val="none" w:sz="0" w:space="0" w:color="auto"/>
        <w:right w:val="none" w:sz="0" w:space="0" w:color="auto"/>
      </w:divBdr>
    </w:div>
    <w:div w:id="462239737">
      <w:bodyDiv w:val="1"/>
      <w:marLeft w:val="0"/>
      <w:marRight w:val="0"/>
      <w:marTop w:val="0"/>
      <w:marBottom w:val="0"/>
      <w:divBdr>
        <w:top w:val="none" w:sz="0" w:space="0" w:color="auto"/>
        <w:left w:val="none" w:sz="0" w:space="0" w:color="auto"/>
        <w:bottom w:val="none" w:sz="0" w:space="0" w:color="auto"/>
        <w:right w:val="none" w:sz="0" w:space="0" w:color="auto"/>
      </w:divBdr>
    </w:div>
    <w:div w:id="714087816">
      <w:bodyDiv w:val="1"/>
      <w:marLeft w:val="0"/>
      <w:marRight w:val="0"/>
      <w:marTop w:val="0"/>
      <w:marBottom w:val="0"/>
      <w:divBdr>
        <w:top w:val="none" w:sz="0" w:space="0" w:color="auto"/>
        <w:left w:val="none" w:sz="0" w:space="0" w:color="auto"/>
        <w:bottom w:val="none" w:sz="0" w:space="0" w:color="auto"/>
        <w:right w:val="none" w:sz="0" w:space="0" w:color="auto"/>
      </w:divBdr>
    </w:div>
    <w:div w:id="748893587">
      <w:bodyDiv w:val="1"/>
      <w:marLeft w:val="0"/>
      <w:marRight w:val="0"/>
      <w:marTop w:val="0"/>
      <w:marBottom w:val="0"/>
      <w:divBdr>
        <w:top w:val="none" w:sz="0" w:space="0" w:color="auto"/>
        <w:left w:val="none" w:sz="0" w:space="0" w:color="auto"/>
        <w:bottom w:val="none" w:sz="0" w:space="0" w:color="auto"/>
        <w:right w:val="none" w:sz="0" w:space="0" w:color="auto"/>
      </w:divBdr>
    </w:div>
    <w:div w:id="1220554881">
      <w:bodyDiv w:val="1"/>
      <w:marLeft w:val="0"/>
      <w:marRight w:val="0"/>
      <w:marTop w:val="0"/>
      <w:marBottom w:val="0"/>
      <w:divBdr>
        <w:top w:val="none" w:sz="0" w:space="0" w:color="auto"/>
        <w:left w:val="none" w:sz="0" w:space="0" w:color="auto"/>
        <w:bottom w:val="none" w:sz="0" w:space="0" w:color="auto"/>
        <w:right w:val="none" w:sz="0" w:space="0" w:color="auto"/>
      </w:divBdr>
    </w:div>
    <w:div w:id="19410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12" ma:contentTypeDescription="Create a new document." ma:contentTypeScope="" ma:versionID="7ae8b5f1bab2c7e34344b1c811ac8cc0">
  <xsd:schema xmlns:xsd="http://www.w3.org/2001/XMLSchema" xmlns:xs="http://www.w3.org/2001/XMLSchema" xmlns:p="http://schemas.microsoft.com/office/2006/metadata/properties" xmlns:ns3="c234a23a-ceaa-4b82-b3d3-04c5462056e7" xmlns:ns4="b66554a6-1938-45ea-81de-0948c8d875b5" targetNamespace="http://schemas.microsoft.com/office/2006/metadata/properties" ma:root="true" ma:fieldsID="db9518f1fd02a36a97f3c663a1464f87" ns3:_="" ns4:_="">
    <xsd:import namespace="c234a23a-ceaa-4b82-b3d3-04c5462056e7"/>
    <xsd:import namespace="b66554a6-1938-45ea-81de-0948c8d875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6554a6-1938-45ea-81de-0948c8d875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12" ma:contentTypeDescription="Create a new document." ma:contentTypeScope="" ma:versionID="7ae8b5f1bab2c7e34344b1c811ac8cc0">
  <xsd:schema xmlns:xsd="http://www.w3.org/2001/XMLSchema" xmlns:xs="http://www.w3.org/2001/XMLSchema" xmlns:p="http://schemas.microsoft.com/office/2006/metadata/properties" xmlns:ns3="c234a23a-ceaa-4b82-b3d3-04c5462056e7" xmlns:ns4="b66554a6-1938-45ea-81de-0948c8d875b5" targetNamespace="http://schemas.microsoft.com/office/2006/metadata/properties" ma:root="true" ma:fieldsID="db9518f1fd02a36a97f3c663a1464f87" ns3:_="" ns4:_="">
    <xsd:import namespace="c234a23a-ceaa-4b82-b3d3-04c5462056e7"/>
    <xsd:import namespace="b66554a6-1938-45ea-81de-0948c8d875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6554a6-1938-45ea-81de-0948c8d875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12" ma:contentTypeDescription="Create a new document." ma:contentTypeScope="" ma:versionID="7ae8b5f1bab2c7e34344b1c811ac8cc0">
  <xsd:schema xmlns:xsd="http://www.w3.org/2001/XMLSchema" xmlns:xs="http://www.w3.org/2001/XMLSchema" xmlns:p="http://schemas.microsoft.com/office/2006/metadata/properties" xmlns:ns3="c234a23a-ceaa-4b82-b3d3-04c5462056e7" xmlns:ns4="b66554a6-1938-45ea-81de-0948c8d875b5" targetNamespace="http://schemas.microsoft.com/office/2006/metadata/properties" ma:root="true" ma:fieldsID="db9518f1fd02a36a97f3c663a1464f87" ns3:_="" ns4:_="">
    <xsd:import namespace="c234a23a-ceaa-4b82-b3d3-04c5462056e7"/>
    <xsd:import namespace="b66554a6-1938-45ea-81de-0948c8d875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6554a6-1938-45ea-81de-0948c8d875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12" ma:contentTypeDescription="Create a new document." ma:contentTypeScope="" ma:versionID="7ae8b5f1bab2c7e34344b1c811ac8cc0">
  <xsd:schema xmlns:xsd="http://www.w3.org/2001/XMLSchema" xmlns:xs="http://www.w3.org/2001/XMLSchema" xmlns:p="http://schemas.microsoft.com/office/2006/metadata/properties" xmlns:ns3="c234a23a-ceaa-4b82-b3d3-04c5462056e7" xmlns:ns4="b66554a6-1938-45ea-81de-0948c8d875b5" targetNamespace="http://schemas.microsoft.com/office/2006/metadata/properties" ma:root="true" ma:fieldsID="db9518f1fd02a36a97f3c663a1464f87" ns3:_="" ns4:_="">
    <xsd:import namespace="c234a23a-ceaa-4b82-b3d3-04c5462056e7"/>
    <xsd:import namespace="b66554a6-1938-45ea-81de-0948c8d875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6554a6-1938-45ea-81de-0948c8d875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93689-D47A-4DF3-B43E-255CD2D1D139}">
  <ds:schemaRefs>
    <ds:schemaRef ds:uri="http://schemas.openxmlformats.org/officeDocument/2006/bibliography"/>
  </ds:schemaRefs>
</ds:datastoreItem>
</file>

<file path=customXml/itemProps10.xml><?xml version="1.0" encoding="utf-8"?>
<ds:datastoreItem xmlns:ds="http://schemas.openxmlformats.org/officeDocument/2006/customXml" ds:itemID="{AE4CD3C6-497D-4527-9250-CBB1A9C27B8D}">
  <ds:schemaRefs>
    <ds:schemaRef ds:uri="http://schemas.microsoft.com/sharepoint/v3/contenttype/forms"/>
  </ds:schemaRefs>
</ds:datastoreItem>
</file>

<file path=customXml/itemProps11.xml><?xml version="1.0" encoding="utf-8"?>
<ds:datastoreItem xmlns:ds="http://schemas.openxmlformats.org/officeDocument/2006/customXml" ds:itemID="{E104C2BB-B98C-4C52-B75C-E8F0143EBCE3}">
  <ds:schemaRefs>
    <ds:schemaRef ds:uri="http://schemas.microsoft.com/sharepoint/v3/contenttype/forms"/>
  </ds:schemaRefs>
</ds:datastoreItem>
</file>

<file path=customXml/itemProps12.xml><?xml version="1.0" encoding="utf-8"?>
<ds:datastoreItem xmlns:ds="http://schemas.openxmlformats.org/officeDocument/2006/customXml" ds:itemID="{2DB31417-7AF7-4DF5-B659-0A6E8146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a23a-ceaa-4b82-b3d3-04c5462056e7"/>
    <ds:schemaRef ds:uri="b66554a6-1938-45ea-81de-0948c8d87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F1F7C64C-472C-499E-9283-6984BF46B82C}">
  <ds:schemaRefs>
    <ds:schemaRef ds:uri="http://schemas.microsoft.com/sharepoint/v3/contenttype/forms"/>
  </ds:schemaRefs>
</ds:datastoreItem>
</file>

<file path=customXml/itemProps2.xml><?xml version="1.0" encoding="utf-8"?>
<ds:datastoreItem xmlns:ds="http://schemas.openxmlformats.org/officeDocument/2006/customXml" ds:itemID="{CB531CA4-1A7E-48B9-BE76-DF93F7FC3BC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66554a6-1938-45ea-81de-0948c8d875b5"/>
    <ds:schemaRef ds:uri="c234a23a-ceaa-4b82-b3d3-04c5462056e7"/>
    <ds:schemaRef ds:uri="http://www.w3.org/XML/1998/namespace"/>
    <ds:schemaRef ds:uri="http://purl.org/dc/dcmitype/"/>
  </ds:schemaRefs>
</ds:datastoreItem>
</file>

<file path=customXml/itemProps3.xml><?xml version="1.0" encoding="utf-8"?>
<ds:datastoreItem xmlns:ds="http://schemas.openxmlformats.org/officeDocument/2006/customXml" ds:itemID="{456D3A39-B0B7-4984-8F52-8C0472C09B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1D5D4D-9221-4C66-932B-A91792F59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a23a-ceaa-4b82-b3d3-04c5462056e7"/>
    <ds:schemaRef ds:uri="b66554a6-1938-45ea-81de-0948c8d87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BB2938-6188-412D-8587-85B1C7F46AA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66EF892-1957-4E08-90FE-9D179D702B7B}">
  <ds:schemaRefs>
    <ds:schemaRef ds:uri="http://schemas.microsoft.com/sharepoint/v3/contenttype/forms"/>
  </ds:schemaRefs>
</ds:datastoreItem>
</file>

<file path=customXml/itemProps7.xml><?xml version="1.0" encoding="utf-8"?>
<ds:datastoreItem xmlns:ds="http://schemas.openxmlformats.org/officeDocument/2006/customXml" ds:itemID="{13981284-92AE-4825-BE23-0A59777B9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a23a-ceaa-4b82-b3d3-04c5462056e7"/>
    <ds:schemaRef ds:uri="b66554a6-1938-45ea-81de-0948c8d87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AF8F002-2575-4D92-BA88-8A302FFC2D74}">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5CA69D7F-25A3-4983-90E6-5681F93F5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a23a-ceaa-4b82-b3d3-04c5462056e7"/>
    <ds:schemaRef ds:uri="b66554a6-1938-45ea-81de-0948c8d87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3218</Words>
  <Characters>17828</Characters>
  <Application>Microsoft Office Word</Application>
  <DocSecurity>0</DocSecurity>
  <Lines>266</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LEFEVRE Pascal (SG)</dc:creator>
  <cp:keywords/>
  <dc:description/>
  <cp:lastModifiedBy>DELBAER Gerda (SG)</cp:lastModifiedBy>
  <cp:revision>2</cp:revision>
  <dcterms:created xsi:type="dcterms:W3CDTF">2023-06-01T09:55:00Z</dcterms:created>
  <dcterms:modified xsi:type="dcterms:W3CDTF">2023-06-01T09:55:00Z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0x010100B981CBB7EFD24B438F9B09B37A44C076</vt:lpwstr>
  </property>
  <property fmtid="{D5CDD505-2E9C-101B-9397-08002B2CF9AE}" pid="3" name="MSIP_Label_6bd9ddd1-4d20-43f6-abfa-fc3c07406f94_Enabled">
    <vt:lpwstr>true</vt:lpwstr>
  </property>
  <property fmtid="{D5CDD505-2E9C-101B-9397-08002B2CF9AE}" pid="4" name="MSIP_Label_6bd9ddd1-4d20-43f6-abfa-fc3c07406f94_SetDate">
    <vt:lpwstr>2022-04-08T08:01:38Z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795a85a9-8f41-4f15-97e5-ae92b35a2c5f</vt:lpwstr>
  </property>
  <property fmtid="{D5CDD505-2E9C-101B-9397-08002B2CF9AE}" pid="9" name="MSIP_Label_6bd9ddd1-4d20-43f6-abfa-fc3c07406f94_ContentBits">
    <vt:lpwstr>0</vt:lpwstr>
  </property>
</Properties>
</file>