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45E" w:rsidRPr="007F045E" w:rsidRDefault="007F045E" w:rsidP="007F045E">
      <w:pPr>
        <w:spacing w:after="240"/>
        <w:jc w:val="center"/>
        <w:rPr>
          <w:rFonts w:eastAsia="Times New Roman"/>
          <w:szCs w:val="20"/>
          <w:lang w:eastAsia="en-GB"/>
        </w:rPr>
      </w:pPr>
      <w:bookmarkStart w:id="0" w:name="_GoBack"/>
      <w:bookmarkEnd w:id="0"/>
      <w:r w:rsidRPr="007F045E">
        <w:rPr>
          <w:rFonts w:eastAsia="Times New Roman"/>
          <w:b/>
          <w:szCs w:val="20"/>
          <w:lang w:eastAsia="en-GB"/>
        </w:rPr>
        <w:t xml:space="preserve">ORDINARY LEGISLATIVE </w:t>
      </w:r>
      <w:r w:rsidRPr="007F045E">
        <w:rPr>
          <w:rFonts w:eastAsia="Times New Roman"/>
          <w:b/>
          <w:caps/>
          <w:szCs w:val="20"/>
          <w:lang w:eastAsia="en-GB"/>
        </w:rPr>
        <w:t>procedure</w:t>
      </w:r>
      <w:r w:rsidRPr="007F045E">
        <w:rPr>
          <w:rFonts w:eastAsia="Times New Roman"/>
          <w:b/>
          <w:szCs w:val="20"/>
          <w:lang w:eastAsia="en-GB"/>
        </w:rPr>
        <w:t xml:space="preserve"> – First reading</w:t>
      </w:r>
    </w:p>
    <w:p w:rsidR="007F045E" w:rsidRPr="007F045E" w:rsidRDefault="007F045E" w:rsidP="007F045E">
      <w:pPr>
        <w:spacing w:after="600"/>
        <w:jc w:val="center"/>
        <w:rPr>
          <w:rFonts w:eastAsia="Times New Roman"/>
          <w:b/>
          <w:bCs/>
          <w:shd w:val="clear" w:color="auto" w:fill="FFFFFF"/>
          <w:lang w:val="en-IE" w:eastAsia="en-GB"/>
        </w:rPr>
      </w:pPr>
      <w:bookmarkStart w:id="1" w:name="CBAM"/>
      <w:r w:rsidRPr="007F045E">
        <w:rPr>
          <w:rFonts w:eastAsia="Times New Roman"/>
          <w:b/>
          <w:bCs/>
          <w:lang w:eastAsia="en-GB"/>
        </w:rPr>
        <w:t xml:space="preserve">Follow up to the </w:t>
      </w:r>
      <w:r w:rsidRPr="007F045E">
        <w:rPr>
          <w:rFonts w:eastAsia="Times New Roman"/>
          <w:b/>
          <w:szCs w:val="20"/>
          <w:lang w:eastAsia="en-GB"/>
        </w:rPr>
        <w:t>European Parliament legislative resolution</w:t>
      </w:r>
      <w:r w:rsidRPr="007F045E">
        <w:rPr>
          <w:rFonts w:eastAsia="Times New Roman"/>
          <w:b/>
          <w:bCs/>
          <w:szCs w:val="20"/>
          <w:lang w:eastAsia="en-GB"/>
        </w:rPr>
        <w:t xml:space="preserve"> </w:t>
      </w:r>
      <w:r w:rsidRPr="007F045E">
        <w:rPr>
          <w:rFonts w:eastAsia="Times New Roman"/>
          <w:b/>
          <w:bCs/>
          <w:szCs w:val="20"/>
          <w:lang w:val="en-IE" w:eastAsia="en-GB"/>
        </w:rPr>
        <w:t>on the proposal for a regulation of the European Parliament and of the Council establishing a carbon border adjustment mechanism</w:t>
      </w:r>
    </w:p>
    <w:bookmarkEnd w:id="1"/>
    <w:p w:rsidR="007F045E" w:rsidRPr="007F045E" w:rsidRDefault="007F045E" w:rsidP="007F045E">
      <w:pPr>
        <w:spacing w:after="240" w:line="240" w:lineRule="atLeast"/>
        <w:ind w:left="567" w:hanging="567"/>
        <w:jc w:val="left"/>
        <w:rPr>
          <w:rFonts w:eastAsia="Times New Roman"/>
          <w:szCs w:val="20"/>
          <w:lang w:val="en-IE" w:eastAsia="en-GB"/>
        </w:rPr>
      </w:pPr>
      <w:r w:rsidRPr="007F045E">
        <w:rPr>
          <w:rFonts w:eastAsia="Times New Roman"/>
          <w:b/>
          <w:szCs w:val="20"/>
          <w:lang w:val="en-IE" w:eastAsia="en-GB"/>
        </w:rPr>
        <w:t>1.</w:t>
      </w:r>
      <w:r w:rsidRPr="007F045E">
        <w:rPr>
          <w:rFonts w:eastAsia="Times New Roman"/>
          <w:b/>
          <w:szCs w:val="20"/>
          <w:lang w:val="en-IE" w:eastAsia="en-GB"/>
        </w:rPr>
        <w:tab/>
        <w:t xml:space="preserve">Rapporteur: </w:t>
      </w:r>
      <w:r w:rsidRPr="007F045E">
        <w:rPr>
          <w:rFonts w:eastAsia="Times New Roman"/>
          <w:noProof/>
          <w:lang w:val="en-IE" w:eastAsia="en-GB"/>
        </w:rPr>
        <w:t xml:space="preserve">Mohammed CHAHIM </w:t>
      </w:r>
      <w:r w:rsidRPr="007F045E">
        <w:rPr>
          <w:rFonts w:eastAsia="Times New Roman"/>
          <w:szCs w:val="20"/>
          <w:lang w:val="en-IE" w:eastAsia="en-GB"/>
        </w:rPr>
        <w:t>(S&amp;D / NL)</w:t>
      </w:r>
    </w:p>
    <w:p w:rsidR="007F045E" w:rsidRPr="007F045E" w:rsidRDefault="007F045E" w:rsidP="007F045E">
      <w:pPr>
        <w:spacing w:after="240" w:line="240" w:lineRule="atLeast"/>
        <w:ind w:left="567" w:hanging="567"/>
        <w:rPr>
          <w:rFonts w:eastAsia="Times New Roman"/>
          <w:szCs w:val="20"/>
          <w:lang w:eastAsia="en-GB"/>
        </w:rPr>
      </w:pPr>
      <w:r w:rsidRPr="007F045E">
        <w:rPr>
          <w:rFonts w:eastAsia="Times New Roman"/>
          <w:b/>
          <w:szCs w:val="20"/>
          <w:lang w:eastAsia="en-GB"/>
        </w:rPr>
        <w:t>2.</w:t>
      </w:r>
      <w:r w:rsidRPr="007F045E">
        <w:rPr>
          <w:rFonts w:eastAsia="Times New Roman"/>
          <w:b/>
          <w:szCs w:val="20"/>
          <w:lang w:eastAsia="en-GB"/>
        </w:rPr>
        <w:tab/>
        <w:t>Reference numbers:</w:t>
      </w:r>
      <w:r w:rsidRPr="007F045E">
        <w:rPr>
          <w:rFonts w:eastAsia="Times New Roman"/>
          <w:szCs w:val="20"/>
          <w:lang w:eastAsia="en-GB"/>
        </w:rPr>
        <w:t xml:space="preserve"> 2021/0214 (COD) / </w:t>
      </w:r>
      <w:r w:rsidRPr="007F045E">
        <w:rPr>
          <w:rFonts w:eastAsia="Times New Roman"/>
          <w:noProof/>
          <w:lang w:eastAsia="en-GB"/>
        </w:rPr>
        <w:t xml:space="preserve">A9-0160/2022 / </w:t>
      </w:r>
      <w:r w:rsidRPr="007F045E">
        <w:rPr>
          <w:rFonts w:eastAsia="Times New Roman"/>
          <w:szCs w:val="20"/>
          <w:lang w:eastAsia="en-GB"/>
        </w:rPr>
        <w:t>P9_TA(2023)0100</w:t>
      </w:r>
    </w:p>
    <w:p w:rsidR="007F045E" w:rsidRPr="007F045E" w:rsidRDefault="007F045E" w:rsidP="007F045E">
      <w:pPr>
        <w:spacing w:after="240" w:line="240" w:lineRule="atLeast"/>
        <w:ind w:left="567" w:hanging="567"/>
        <w:jc w:val="left"/>
        <w:rPr>
          <w:rFonts w:eastAsia="Times New Roman"/>
          <w:szCs w:val="20"/>
          <w:lang w:eastAsia="en-GB"/>
        </w:rPr>
      </w:pPr>
      <w:r w:rsidRPr="007F045E">
        <w:rPr>
          <w:rFonts w:eastAsia="Times New Roman"/>
          <w:b/>
          <w:szCs w:val="20"/>
          <w:lang w:eastAsia="en-GB"/>
        </w:rPr>
        <w:t>3.</w:t>
      </w:r>
      <w:r w:rsidRPr="007F045E">
        <w:rPr>
          <w:rFonts w:eastAsia="Times New Roman"/>
          <w:b/>
          <w:szCs w:val="20"/>
          <w:lang w:eastAsia="en-GB"/>
        </w:rPr>
        <w:tab/>
        <w:t xml:space="preserve">Date of adoption of the resolution: </w:t>
      </w:r>
      <w:r w:rsidRPr="007F045E">
        <w:rPr>
          <w:rFonts w:eastAsia="Times New Roman"/>
          <w:bCs/>
          <w:szCs w:val="20"/>
          <w:lang w:eastAsia="en-GB"/>
        </w:rPr>
        <w:t>18 April</w:t>
      </w:r>
      <w:r w:rsidRPr="007F045E">
        <w:rPr>
          <w:rFonts w:eastAsia="Times New Roman"/>
          <w:szCs w:val="20"/>
          <w:lang w:eastAsia="en-GB"/>
        </w:rPr>
        <w:t xml:space="preserve"> 2023</w:t>
      </w:r>
    </w:p>
    <w:p w:rsidR="007F045E" w:rsidRPr="007F045E" w:rsidRDefault="007F045E" w:rsidP="007F045E">
      <w:pPr>
        <w:spacing w:after="240" w:line="240" w:lineRule="atLeast"/>
        <w:ind w:left="567" w:hanging="567"/>
        <w:rPr>
          <w:rFonts w:eastAsia="Times New Roman"/>
          <w:szCs w:val="20"/>
          <w:lang w:eastAsia="en-GB"/>
        </w:rPr>
      </w:pPr>
      <w:r w:rsidRPr="007F045E">
        <w:rPr>
          <w:rFonts w:eastAsia="Times New Roman"/>
          <w:b/>
          <w:szCs w:val="20"/>
          <w:lang w:eastAsia="en-GB"/>
        </w:rPr>
        <w:t>4.</w:t>
      </w:r>
      <w:r w:rsidRPr="007F045E">
        <w:rPr>
          <w:rFonts w:eastAsia="Times New Roman"/>
          <w:b/>
          <w:szCs w:val="20"/>
          <w:lang w:eastAsia="en-GB"/>
        </w:rPr>
        <w:tab/>
        <w:t xml:space="preserve">Legal basis: </w:t>
      </w:r>
      <w:r w:rsidRPr="007F045E">
        <w:rPr>
          <w:rFonts w:eastAsia="Times New Roman"/>
          <w:szCs w:val="20"/>
          <w:lang w:val="en-IE" w:eastAsia="en-GB"/>
        </w:rPr>
        <w:t xml:space="preserve">Article 192(1) </w:t>
      </w:r>
      <w:r w:rsidRPr="007F045E">
        <w:rPr>
          <w:rFonts w:eastAsia="Times New Roman"/>
          <w:szCs w:val="20"/>
          <w:lang w:eastAsia="en-GB"/>
        </w:rPr>
        <w:t>of the Treaty on the Functioning of the European Union</w:t>
      </w:r>
    </w:p>
    <w:p w:rsidR="007F045E" w:rsidRPr="007F045E" w:rsidRDefault="007F045E" w:rsidP="007F045E">
      <w:pPr>
        <w:spacing w:after="240" w:line="240" w:lineRule="atLeast"/>
        <w:ind w:left="567" w:hanging="567"/>
        <w:rPr>
          <w:rFonts w:eastAsia="Times New Roman"/>
          <w:i/>
          <w:szCs w:val="20"/>
          <w:lang w:eastAsia="en-GB"/>
        </w:rPr>
      </w:pPr>
      <w:r w:rsidRPr="007F045E">
        <w:rPr>
          <w:rFonts w:eastAsia="Times New Roman"/>
          <w:b/>
          <w:szCs w:val="20"/>
          <w:lang w:eastAsia="en-GB"/>
        </w:rPr>
        <w:t>5.</w:t>
      </w:r>
      <w:r w:rsidRPr="007F045E">
        <w:rPr>
          <w:rFonts w:eastAsia="Times New Roman"/>
          <w:b/>
          <w:szCs w:val="20"/>
          <w:lang w:eastAsia="en-GB"/>
        </w:rPr>
        <w:tab/>
        <w:t xml:space="preserve">Competent Parliamentary Committee: </w:t>
      </w:r>
      <w:r w:rsidRPr="007F045E">
        <w:rPr>
          <w:rFonts w:eastAsia="Times New Roman"/>
          <w:lang w:eastAsia="en-GB"/>
        </w:rPr>
        <w:t>Committee on Environment, Public Health and Food Safety (ENVI)</w:t>
      </w:r>
    </w:p>
    <w:p w:rsidR="007F045E" w:rsidRPr="007F045E" w:rsidRDefault="007F045E" w:rsidP="007F045E">
      <w:pPr>
        <w:spacing w:after="120"/>
        <w:rPr>
          <w:rFonts w:eastAsia="Times New Roman"/>
          <w:color w:val="000000"/>
          <w:lang w:eastAsia="en-GB"/>
        </w:rPr>
      </w:pPr>
      <w:r w:rsidRPr="007F045E">
        <w:rPr>
          <w:rFonts w:eastAsia="Times New Roman"/>
          <w:b/>
          <w:szCs w:val="20"/>
          <w:lang w:eastAsia="en-GB"/>
        </w:rPr>
        <w:t>6.</w:t>
      </w:r>
      <w:r w:rsidRPr="007F045E">
        <w:rPr>
          <w:rFonts w:eastAsia="Times New Roman"/>
          <w:b/>
          <w:szCs w:val="20"/>
          <w:lang w:eastAsia="en-GB"/>
        </w:rPr>
        <w:tab/>
        <w:t>Commission's position:</w:t>
      </w:r>
      <w:r w:rsidRPr="007F045E">
        <w:rPr>
          <w:rFonts w:eastAsia="Times New Roman"/>
          <w:color w:val="000000"/>
          <w:sz w:val="22"/>
          <w:szCs w:val="22"/>
          <w:lang w:eastAsia="en-GB"/>
        </w:rPr>
        <w:t xml:space="preserve"> </w:t>
      </w:r>
      <w:r w:rsidRPr="007F045E">
        <w:rPr>
          <w:rFonts w:eastAsia="Times New Roman"/>
          <w:color w:val="000000"/>
          <w:lang w:eastAsia="en-GB"/>
        </w:rPr>
        <w:t>accepts all amendments. The Commission presented the following statement:</w:t>
      </w:r>
    </w:p>
    <w:p w:rsidR="007F045E" w:rsidRPr="007F045E" w:rsidRDefault="007F045E" w:rsidP="007F045E">
      <w:pPr>
        <w:spacing w:after="120"/>
        <w:rPr>
          <w:rFonts w:eastAsia="Times New Roman"/>
          <w:color w:val="000000"/>
          <w:lang w:eastAsia="en-GB"/>
        </w:rPr>
      </w:pPr>
      <w:r w:rsidRPr="007F045E">
        <w:rPr>
          <w:rFonts w:eastAsia="Times New Roman"/>
          <w:color w:val="000000"/>
          <w:lang w:val="en-IE" w:eastAsia="en-GB"/>
        </w:rPr>
        <w:t>“</w:t>
      </w:r>
      <w:r w:rsidRPr="007F045E">
        <w:rPr>
          <w:rFonts w:eastAsia="Times New Roman"/>
          <w:color w:val="000000"/>
          <w:lang w:eastAsia="en-GB"/>
        </w:rPr>
        <w:t>The Commission recalls that the final agreement reached by the co-legislators on the establishment of the carbon border adjustment mechanism (CBAM) has evolved significantly in terms of the human resources required for its implementation within the Commission, compared to the legislative financial statement which accompanied the original proposal (COM(2021) 564 final of 14.07.2021), which was based on a decentralised model of implementation.</w:t>
      </w:r>
    </w:p>
    <w:p w:rsidR="007F045E" w:rsidRPr="007F045E" w:rsidRDefault="007F045E" w:rsidP="007F045E">
      <w:pPr>
        <w:spacing w:after="120"/>
        <w:rPr>
          <w:rFonts w:eastAsia="Times New Roman"/>
          <w:color w:val="000000"/>
          <w:lang w:eastAsia="en-GB"/>
        </w:rPr>
      </w:pPr>
      <w:bookmarkStart w:id="2" w:name="_Hlk121153223"/>
      <w:r w:rsidRPr="007F045E">
        <w:rPr>
          <w:rFonts w:eastAsia="Times New Roman"/>
          <w:color w:val="000000"/>
          <w:lang w:eastAsia="en-GB"/>
        </w:rPr>
        <w:t xml:space="preserve">The additional Commission human resources required by the final agreement endorsed by the co-legislators will not allow the Commission to respect the principle of stable staffing and will require additional resources, to be authorised by the European Parliament and the Council during the annual budget procedure along with the related budgetary appropriations. </w:t>
      </w:r>
      <w:bookmarkEnd w:id="2"/>
    </w:p>
    <w:p w:rsidR="007F045E" w:rsidRPr="007F045E" w:rsidRDefault="007F045E" w:rsidP="007F045E">
      <w:pPr>
        <w:spacing w:after="120"/>
        <w:rPr>
          <w:rFonts w:eastAsia="Times New Roman"/>
          <w:color w:val="000000"/>
          <w:lang w:eastAsia="en-GB"/>
        </w:rPr>
      </w:pPr>
      <w:r w:rsidRPr="007F045E">
        <w:rPr>
          <w:rFonts w:eastAsia="Times New Roman"/>
          <w:color w:val="000000"/>
          <w:lang w:eastAsia="en-GB"/>
        </w:rPr>
        <w:t xml:space="preserve">Without any additional means, such as the external assigned revenue accruing from the ETS, the options to finance the necessary administrative costs (staff and IT) of CBAM cannot be easily found. Heading 7 European Public Administration of the multiannual financial framework 2021-2027 was built on the principle of stable staffing, and there is no margin to finance additional officials. </w:t>
      </w:r>
    </w:p>
    <w:p w:rsidR="008765BE" w:rsidRDefault="007F045E" w:rsidP="007F045E">
      <w:r w:rsidRPr="007F045E">
        <w:rPr>
          <w:rFonts w:eastAsia="Times New Roman"/>
          <w:color w:val="000000"/>
          <w:lang w:eastAsia="en-GB"/>
        </w:rPr>
        <w:t>The margin in Heading 3 Natural resources and Environment may in principle accommodate IT-related expenditure, subject to its limits. The reduced availabilities under the heading will limit the capacity of the EU budget to finance new political priorities.”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5E"/>
    <w:rsid w:val="005762E3"/>
    <w:rsid w:val="007F045E"/>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CAE37-A091-49D2-8DFD-663C1DDF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Company>European Parliament</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2023-07-05T13:18:00Z</dcterms:created>
  <dcterms:modified xsi:type="dcterms:W3CDTF">2023-07-05T13:18:00Z</dcterms:modified>
</cp:coreProperties>
</file>