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E5A" w:rsidRPr="00294E5A" w:rsidRDefault="00294E5A" w:rsidP="00294E5A">
      <w:pPr>
        <w:spacing w:after="240"/>
        <w:jc w:val="center"/>
        <w:rPr>
          <w:rFonts w:eastAsia="Times New Roman"/>
          <w:szCs w:val="20"/>
          <w:lang w:val="fr-FR" w:eastAsia="en-GB"/>
        </w:rPr>
      </w:pPr>
      <w:bookmarkStart w:id="0" w:name="_Hlk129094995"/>
      <w:bookmarkStart w:id="1" w:name="_GoBack"/>
      <w:bookmarkEnd w:id="1"/>
      <w:r w:rsidRPr="00294E5A">
        <w:rPr>
          <w:rFonts w:eastAsia="Times New Roman"/>
          <w:b/>
          <w:caps/>
          <w:szCs w:val="20"/>
          <w:lang w:val="fr-FR" w:eastAsia="en-GB"/>
        </w:rPr>
        <w:t>Procédure</w:t>
      </w:r>
      <w:r w:rsidRPr="00294E5A">
        <w:rPr>
          <w:rFonts w:eastAsia="Times New Roman"/>
          <w:b/>
          <w:szCs w:val="20"/>
          <w:lang w:val="fr-FR" w:eastAsia="en-GB"/>
        </w:rPr>
        <w:t xml:space="preserve"> LÉGISLATIVE SPÉCIALE – Première lecture</w:t>
      </w:r>
    </w:p>
    <w:p w:rsidR="00294E5A" w:rsidRPr="00294E5A" w:rsidRDefault="00294E5A" w:rsidP="00294E5A">
      <w:pPr>
        <w:spacing w:after="600" w:line="240" w:lineRule="atLeast"/>
        <w:jc w:val="center"/>
        <w:rPr>
          <w:rFonts w:eastAsia="Times New Roman"/>
          <w:b/>
          <w:bCs/>
          <w:lang w:val="fr-FR" w:eastAsia="en-GB"/>
        </w:rPr>
      </w:pPr>
      <w:bookmarkStart w:id="2" w:name="Carvalho"/>
      <w:bookmarkStart w:id="3" w:name="CHIPS"/>
      <w:r w:rsidRPr="00294E5A">
        <w:rPr>
          <w:rFonts w:eastAsia="Times New Roman"/>
          <w:b/>
          <w:szCs w:val="20"/>
          <w:lang w:val="fr-FR" w:eastAsia="en-GB"/>
        </w:rPr>
        <w:t xml:space="preserve">Suite donnée à la résolution législative du Parlement européen </w:t>
      </w:r>
      <w:r w:rsidRPr="00294E5A">
        <w:rPr>
          <w:rFonts w:eastAsia="Times New Roman"/>
          <w:b/>
          <w:szCs w:val="20"/>
          <w:shd w:val="clear" w:color="auto" w:fill="FFFFFF"/>
          <w:lang w:val="fr-FR" w:eastAsia="en-GB"/>
        </w:rPr>
        <w:t xml:space="preserve">sur </w:t>
      </w:r>
      <w:bookmarkEnd w:id="2"/>
      <w:r w:rsidRPr="00294E5A">
        <w:rPr>
          <w:rFonts w:eastAsia="Times New Roman"/>
          <w:b/>
          <w:szCs w:val="20"/>
          <w:shd w:val="clear" w:color="auto" w:fill="FFFFFF"/>
          <w:lang w:val="fr-FR" w:eastAsia="en-GB"/>
        </w:rPr>
        <w:t>la proposition de règlement du Conseil modifiant le règlement (UE) 2021/2085 établissant les entreprises communes dans le cadre d’Horizon Europe en ce qui concerne l’entreprise commune «Semi-conducteurs»</w:t>
      </w:r>
    </w:p>
    <w:bookmarkEnd w:id="3"/>
    <w:p w:rsidR="00294E5A" w:rsidRPr="00294E5A" w:rsidRDefault="00294E5A" w:rsidP="00294E5A">
      <w:pPr>
        <w:spacing w:after="240" w:line="240" w:lineRule="atLeast"/>
        <w:ind w:left="567" w:hanging="567"/>
        <w:rPr>
          <w:rFonts w:eastAsia="Times New Roman"/>
          <w:lang w:val="fr-FR" w:eastAsia="en-GB"/>
        </w:rPr>
      </w:pPr>
      <w:r w:rsidRPr="00294E5A">
        <w:rPr>
          <w:rFonts w:eastAsia="Times New Roman"/>
          <w:b/>
          <w:szCs w:val="20"/>
          <w:lang w:val="fr-FR" w:eastAsia="en-GB"/>
        </w:rPr>
        <w:t>1.</w:t>
      </w:r>
      <w:r w:rsidRPr="00294E5A">
        <w:rPr>
          <w:rFonts w:eastAsia="Times New Roman"/>
          <w:szCs w:val="20"/>
          <w:lang w:val="fr-FR" w:eastAsia="en-GB"/>
        </w:rPr>
        <w:tab/>
      </w:r>
      <w:r w:rsidRPr="00294E5A">
        <w:rPr>
          <w:rFonts w:eastAsia="Times New Roman"/>
          <w:b/>
          <w:szCs w:val="20"/>
          <w:lang w:val="fr-FR" w:eastAsia="en-GB"/>
        </w:rPr>
        <w:t xml:space="preserve">Rapporteure: </w:t>
      </w:r>
      <w:r w:rsidRPr="00294E5A">
        <w:rPr>
          <w:rFonts w:eastAsia="Times New Roman"/>
          <w:color w:val="1E1E1F"/>
          <w:szCs w:val="20"/>
          <w:lang w:val="fr-FR" w:eastAsia="en-GB"/>
        </w:rPr>
        <w:t>Eva MAYDELL (PPE/BG)</w:t>
      </w:r>
    </w:p>
    <w:p w:rsidR="00294E5A" w:rsidRPr="00294E5A" w:rsidRDefault="00294E5A" w:rsidP="00294E5A">
      <w:pPr>
        <w:spacing w:after="240" w:line="240" w:lineRule="atLeast"/>
        <w:ind w:left="567" w:hanging="567"/>
        <w:rPr>
          <w:rFonts w:eastAsia="Times New Roman"/>
          <w:szCs w:val="20"/>
          <w:lang w:val="fr-FR" w:eastAsia="en-GB"/>
        </w:rPr>
      </w:pPr>
      <w:r w:rsidRPr="00294E5A">
        <w:rPr>
          <w:rFonts w:eastAsia="Times New Roman"/>
          <w:b/>
          <w:szCs w:val="20"/>
          <w:lang w:val="fr-FR" w:eastAsia="en-GB"/>
        </w:rPr>
        <w:t>2.</w:t>
      </w:r>
      <w:r w:rsidRPr="00294E5A">
        <w:rPr>
          <w:rFonts w:eastAsia="Times New Roman"/>
          <w:szCs w:val="20"/>
          <w:lang w:val="fr-FR" w:eastAsia="en-GB"/>
        </w:rPr>
        <w:tab/>
      </w:r>
      <w:r w:rsidRPr="00294E5A">
        <w:rPr>
          <w:rFonts w:eastAsia="Times New Roman"/>
          <w:b/>
          <w:szCs w:val="20"/>
          <w:lang w:val="fr-FR" w:eastAsia="en-GB"/>
        </w:rPr>
        <w:t>Numéros de référence:</w:t>
      </w:r>
      <w:r w:rsidRPr="00294E5A">
        <w:rPr>
          <w:rFonts w:eastAsia="Times New Roman"/>
          <w:szCs w:val="20"/>
          <w:lang w:val="fr-FR" w:eastAsia="en-GB"/>
        </w:rPr>
        <w:t xml:space="preserve"> 2022/0033 (NLE) / A9-0012/2023 / P9_TA(2023)0044</w:t>
      </w:r>
    </w:p>
    <w:p w:rsidR="00294E5A" w:rsidRPr="00294E5A" w:rsidRDefault="00294E5A" w:rsidP="00294E5A">
      <w:pPr>
        <w:spacing w:after="240" w:line="240" w:lineRule="atLeast"/>
        <w:ind w:left="567" w:hanging="567"/>
        <w:jc w:val="left"/>
        <w:rPr>
          <w:rFonts w:eastAsia="Times New Roman"/>
          <w:szCs w:val="20"/>
          <w:lang w:val="fr-FR" w:eastAsia="en-GB"/>
        </w:rPr>
      </w:pPr>
      <w:r w:rsidRPr="00294E5A">
        <w:rPr>
          <w:rFonts w:eastAsia="Times New Roman"/>
          <w:b/>
          <w:szCs w:val="20"/>
          <w:lang w:val="fr-FR" w:eastAsia="en-GB"/>
        </w:rPr>
        <w:t>3.</w:t>
      </w:r>
      <w:r w:rsidRPr="00294E5A">
        <w:rPr>
          <w:rFonts w:eastAsia="Times New Roman"/>
          <w:szCs w:val="20"/>
          <w:lang w:val="fr-FR" w:eastAsia="en-GB"/>
        </w:rPr>
        <w:tab/>
      </w:r>
      <w:r w:rsidRPr="00294E5A">
        <w:rPr>
          <w:rFonts w:eastAsia="Times New Roman"/>
          <w:b/>
          <w:szCs w:val="20"/>
          <w:lang w:val="fr-FR" w:eastAsia="en-GB"/>
        </w:rPr>
        <w:t xml:space="preserve">Date d’adoption de la résolution: </w:t>
      </w:r>
      <w:r w:rsidRPr="00294E5A">
        <w:rPr>
          <w:rFonts w:eastAsia="Times New Roman"/>
          <w:szCs w:val="20"/>
          <w:lang w:val="fr-FR" w:eastAsia="en-GB"/>
        </w:rPr>
        <w:t>14 février 2023</w:t>
      </w:r>
    </w:p>
    <w:p w:rsidR="00294E5A" w:rsidRPr="00294E5A" w:rsidRDefault="00294E5A" w:rsidP="00294E5A">
      <w:pPr>
        <w:spacing w:after="240" w:line="240" w:lineRule="atLeast"/>
        <w:ind w:left="567" w:hanging="567"/>
        <w:rPr>
          <w:rFonts w:eastAsia="Times New Roman"/>
          <w:szCs w:val="20"/>
          <w:lang w:val="fr-FR" w:eastAsia="en-GB"/>
        </w:rPr>
      </w:pPr>
      <w:r w:rsidRPr="00294E5A">
        <w:rPr>
          <w:rFonts w:eastAsia="Times New Roman"/>
          <w:b/>
          <w:szCs w:val="20"/>
          <w:lang w:val="fr-FR" w:eastAsia="en-GB"/>
        </w:rPr>
        <w:t>4.</w:t>
      </w:r>
      <w:r w:rsidRPr="00294E5A">
        <w:rPr>
          <w:rFonts w:eastAsia="Times New Roman"/>
          <w:szCs w:val="20"/>
          <w:lang w:val="fr-FR" w:eastAsia="en-GB"/>
        </w:rPr>
        <w:tab/>
      </w:r>
      <w:r w:rsidRPr="00294E5A">
        <w:rPr>
          <w:rFonts w:eastAsia="Times New Roman"/>
          <w:b/>
          <w:szCs w:val="20"/>
          <w:lang w:val="fr-FR" w:eastAsia="en-GB"/>
        </w:rPr>
        <w:t xml:space="preserve">Base juridique: </w:t>
      </w:r>
      <w:r w:rsidRPr="00294E5A">
        <w:rPr>
          <w:rFonts w:eastAsia="Times New Roman"/>
          <w:szCs w:val="20"/>
          <w:lang w:val="fr-FR" w:eastAsia="en-GB"/>
        </w:rPr>
        <w:t>articles 187 et 188 du traité sur le fonctionnement de l’Union européenne</w:t>
      </w:r>
    </w:p>
    <w:p w:rsidR="00294E5A" w:rsidRPr="00294E5A" w:rsidRDefault="00294E5A" w:rsidP="00294E5A">
      <w:pPr>
        <w:shd w:val="clear" w:color="auto" w:fill="FFFFFF"/>
        <w:spacing w:after="240" w:line="288" w:lineRule="atLeast"/>
        <w:ind w:left="567" w:hanging="567"/>
        <w:textAlignment w:val="center"/>
        <w:rPr>
          <w:rFonts w:eastAsia="Times New Roman"/>
          <w:i/>
          <w:szCs w:val="20"/>
          <w:lang w:val="fr-FR" w:eastAsia="en-GB"/>
        </w:rPr>
      </w:pPr>
      <w:r w:rsidRPr="00294E5A">
        <w:rPr>
          <w:rFonts w:eastAsia="Times New Roman"/>
          <w:b/>
          <w:szCs w:val="20"/>
          <w:lang w:val="fr-FR" w:eastAsia="en-GB"/>
        </w:rPr>
        <w:t>5.</w:t>
      </w:r>
      <w:r w:rsidRPr="00294E5A">
        <w:rPr>
          <w:rFonts w:eastAsia="Times New Roman"/>
          <w:szCs w:val="20"/>
          <w:lang w:val="fr-FR" w:eastAsia="en-GB"/>
        </w:rPr>
        <w:tab/>
      </w:r>
      <w:r w:rsidRPr="00294E5A">
        <w:rPr>
          <w:rFonts w:eastAsia="Times New Roman"/>
          <w:b/>
          <w:szCs w:val="20"/>
          <w:lang w:val="fr-FR" w:eastAsia="en-GB"/>
        </w:rPr>
        <w:t xml:space="preserve">Commission parlementaire compétente: </w:t>
      </w:r>
      <w:r w:rsidRPr="00294E5A">
        <w:rPr>
          <w:rFonts w:eastAsia="Times New Roman"/>
          <w:szCs w:val="20"/>
          <w:lang w:val="fr-FR" w:eastAsia="en-GB"/>
        </w:rPr>
        <w:t>commission de l’industrie, de la recherche et de l’énergie (ITRE)</w:t>
      </w:r>
    </w:p>
    <w:p w:rsidR="00294E5A" w:rsidRPr="00294E5A" w:rsidRDefault="00294E5A" w:rsidP="00294E5A">
      <w:pPr>
        <w:spacing w:after="240" w:line="240" w:lineRule="atLeast"/>
        <w:ind w:left="567" w:hanging="567"/>
        <w:rPr>
          <w:rFonts w:eastAsia="Times New Roman"/>
          <w:bCs/>
          <w:szCs w:val="20"/>
          <w:lang w:val="fr-FR" w:eastAsia="en-GB"/>
        </w:rPr>
      </w:pPr>
      <w:r w:rsidRPr="00294E5A">
        <w:rPr>
          <w:rFonts w:eastAsia="Times New Roman"/>
          <w:b/>
          <w:szCs w:val="20"/>
          <w:lang w:val="fr-FR" w:eastAsia="en-GB"/>
        </w:rPr>
        <w:t>6.</w:t>
      </w:r>
      <w:r w:rsidRPr="00294E5A">
        <w:rPr>
          <w:rFonts w:eastAsia="Times New Roman"/>
          <w:szCs w:val="20"/>
          <w:lang w:val="fr-FR" w:eastAsia="en-GB"/>
        </w:rPr>
        <w:tab/>
      </w:r>
      <w:r w:rsidRPr="00294E5A">
        <w:rPr>
          <w:rFonts w:eastAsia="Times New Roman"/>
          <w:b/>
          <w:szCs w:val="20"/>
          <w:lang w:val="fr-FR" w:eastAsia="en-GB"/>
        </w:rPr>
        <w:t xml:space="preserve">Position de la Commission: </w:t>
      </w:r>
      <w:r w:rsidRPr="00294E5A">
        <w:rPr>
          <w:rFonts w:eastAsia="Times New Roman"/>
          <w:szCs w:val="20"/>
          <w:lang w:val="fr-FR" w:eastAsia="en-GB"/>
        </w:rPr>
        <w:t>la Commission accepte certains amendements.</w:t>
      </w:r>
    </w:p>
    <w:p w:rsidR="00294E5A" w:rsidRPr="00294E5A" w:rsidRDefault="00294E5A" w:rsidP="00294E5A">
      <w:pPr>
        <w:spacing w:after="120"/>
        <w:rPr>
          <w:rFonts w:eastAsia="Times New Roman"/>
          <w:lang w:val="fr-FR"/>
        </w:rPr>
      </w:pPr>
      <w:r w:rsidRPr="00294E5A">
        <w:rPr>
          <w:rFonts w:eastAsia="Times New Roman"/>
          <w:szCs w:val="20"/>
          <w:lang w:val="fr-FR"/>
        </w:rPr>
        <w:t xml:space="preserve">Le Parlement soumet plusieurs amendements à la proposition de règlement. Plusieurs d’entre eux peuvent être soutenus par la Commission. </w:t>
      </w:r>
    </w:p>
    <w:p w:rsidR="00294E5A" w:rsidRPr="00294E5A" w:rsidRDefault="00294E5A" w:rsidP="00294E5A">
      <w:pPr>
        <w:spacing w:after="120"/>
        <w:rPr>
          <w:rFonts w:eastAsia="Times New Roman"/>
          <w:b/>
          <w:lang w:val="fr-FR"/>
        </w:rPr>
      </w:pPr>
      <w:r w:rsidRPr="00294E5A">
        <w:rPr>
          <w:rFonts w:eastAsia="Times New Roman"/>
          <w:szCs w:val="20"/>
          <w:lang w:val="fr-FR"/>
        </w:rPr>
        <w:t>Sur les amendements proposés par le Parlement qui ne peuvent être soutenus:</w:t>
      </w:r>
    </w:p>
    <w:p w:rsidR="00294E5A" w:rsidRPr="00294E5A" w:rsidRDefault="00294E5A" w:rsidP="00294E5A">
      <w:pPr>
        <w:tabs>
          <w:tab w:val="left" w:pos="720"/>
        </w:tabs>
        <w:spacing w:after="120"/>
        <w:jc w:val="left"/>
        <w:outlineLvl w:val="2"/>
        <w:rPr>
          <w:rFonts w:eastAsia="Times New Roman"/>
          <w:b/>
          <w:bCs/>
          <w:i/>
          <w:lang w:val="fr-FR" w:eastAsia="en-GB"/>
        </w:rPr>
      </w:pPr>
      <w:r w:rsidRPr="00294E5A">
        <w:rPr>
          <w:rFonts w:eastAsia="Times New Roman"/>
          <w:b/>
          <w:bCs/>
          <w:i/>
          <w:szCs w:val="27"/>
          <w:lang w:val="fr-FR" w:eastAsia="en-GB"/>
        </w:rPr>
        <w:t>Considérant 3 ter sur la relation entre l’entreprise commune «Semi-conducteurs» et les objectifs du Fonds «Semi-conducteurs»</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Le Parlement propose d’introduire un nouveau considérant confiant à l’entreprise commune la mission de s’inscrire dans la même dynamique que celle qui préside aux objectifs du Fonds «Semi-conducteurs» en offrant des possibilités d’accès accru aux fonds pour soutenir la croissance des jeunes entreprises et des petites et moyennes entreprises (PME) et stimuler les investissements tout au long de la chaîne de valeur et dans toute l’Union. Le Parlement attend également des entreprises communes qu’elles offrent soutien et conseil aux jeunes entreprises et aux PME, afin de leur faciliter l’accès aux investissements publics et privés.</w:t>
      </w:r>
    </w:p>
    <w:p w:rsidR="00294E5A" w:rsidRPr="00294E5A" w:rsidRDefault="00294E5A" w:rsidP="00294E5A">
      <w:pPr>
        <w:spacing w:after="120"/>
        <w:rPr>
          <w:rFonts w:eastAsia="Times New Roman"/>
          <w:i/>
          <w:iCs/>
          <w:lang w:val="fr-FR" w:eastAsia="en-GB"/>
        </w:rPr>
      </w:pPr>
      <w:r w:rsidRPr="00294E5A">
        <w:rPr>
          <w:rFonts w:eastAsia="Times New Roman"/>
          <w:szCs w:val="20"/>
          <w:lang w:val="fr-FR" w:eastAsia="en-GB"/>
        </w:rPr>
        <w:t>Toutefois, il est possible d’aborder différemment l’amendement proposé, dans la mesure où l’entreprise commune n’a pas pour rôle de conseiller les PME et les jeunes entreprises. De tels conseils devront être fournis dans le cadre d’InvestEU et, éventuellement, du Conseil européen de l’innovation (CEI). L’article 126, paragraphe 1, point b), du dernier texte de compromis du Conseil prévoit déjà que les PME participent aux activités de recherche et d’innovation lancées dans le cadre de l’Initiative et qu’elles reçoivent notamment au moins 20 % du financement public.</w:t>
      </w:r>
      <w:r w:rsidRPr="00294E5A">
        <w:rPr>
          <w:rFonts w:eastAsia="Times New Roman"/>
          <w:i/>
          <w:szCs w:val="20"/>
          <w:lang w:val="fr-FR" w:eastAsia="en-GB"/>
        </w:rPr>
        <w:t xml:space="preserve"> </w:t>
      </w:r>
      <w:r w:rsidRPr="00294E5A">
        <w:rPr>
          <w:rFonts w:eastAsia="Times New Roman"/>
          <w:szCs w:val="20"/>
          <w:bdr w:val="nil"/>
          <w:lang w:val="fr-FR" w:eastAsia="en-GB"/>
        </w:rPr>
        <w:t>En outre, en ce qui concerne le soutien aux PME et aux jeunes entreprises, les entreprises communes ont, entre autres missions, celles d’encourager les activités de recherche et d’innovation dans les PME, et de contribuer à la création et l’expansion d’entreprises innovantes, «en particulier de start-ups, de PME et, dans des cas exceptionnels, de petites entreprises à moyenne capitalisation». Par ailleurs, les entreprises communes doivent «promouvoir la participation des PME et des start-ups à leurs activités».</w:t>
      </w:r>
    </w:p>
    <w:p w:rsidR="00294E5A" w:rsidRPr="00294E5A" w:rsidRDefault="00294E5A" w:rsidP="00294E5A">
      <w:pPr>
        <w:tabs>
          <w:tab w:val="left" w:pos="720"/>
        </w:tabs>
        <w:spacing w:after="120"/>
        <w:outlineLvl w:val="2"/>
        <w:rPr>
          <w:rFonts w:eastAsia="Times New Roman"/>
          <w:b/>
          <w:bCs/>
          <w:i/>
          <w:lang w:val="fr-FR" w:eastAsia="en-GB"/>
        </w:rPr>
      </w:pPr>
      <w:r w:rsidRPr="00294E5A">
        <w:rPr>
          <w:rFonts w:eastAsia="Times New Roman"/>
          <w:b/>
          <w:bCs/>
          <w:i/>
          <w:szCs w:val="27"/>
          <w:lang w:val="fr-FR" w:eastAsia="en-GB"/>
        </w:rPr>
        <w:t>Considérants 3 quater et 5 ter sur le Fonds «Semi-conducteurs» et considérant 3 quinquies sur le conseil des semi-conducteurs</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lastRenderedPageBreak/>
        <w:t>Le Parlement propose d’ajouter un considérant 3 quater, qui compléterait de fait les missions du Fonds «Semi-conducteurs». Ce considérant précise que le Fonds «Semi-conducteurs» devrait permettre d’accroître la disponibilité des fonds pour soutenir la croissance des jeunes entreprises et des PME et stimuler les investissements tout au long de la chaîne de valeur. Il propose également la mise en place d’une stratégie pour faire face à des crises de financement exceptionnelles, dues par exemple à une forte inflation. Le considérant 5 ter prévoit également que l’entreprise commune «Semi-conducteurs» et le Fonds «Semi-conducteurs» créent ensemble des partenariats public/privé. De même, le considérant 3 quinquies proposé suggère d’amplifier les missions du conseil européen des semi-conducteurs institué en vertu du règlement sur les semi-conducteurs.</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Bien que la Commission soutienne de manière générale les objectifs du Parlement, les activités du Fonds «Semi-conducteurs» et le conseil européen des semi-conducteurs ne relèvent pas du champ d’application de la modification de l’acte de base unique [à savoir le règlement (UE) 2021/2085] et devraient uniquement être régis par le règlement sur les semi-conducteurs.</w:t>
      </w:r>
    </w:p>
    <w:p w:rsidR="00294E5A" w:rsidRPr="00294E5A" w:rsidRDefault="00294E5A" w:rsidP="00294E5A">
      <w:pPr>
        <w:tabs>
          <w:tab w:val="left" w:pos="720"/>
        </w:tabs>
        <w:spacing w:after="120"/>
        <w:jc w:val="left"/>
        <w:outlineLvl w:val="2"/>
        <w:rPr>
          <w:rFonts w:eastAsia="Times New Roman"/>
          <w:b/>
          <w:bCs/>
          <w:i/>
          <w:lang w:val="fr-FR" w:eastAsia="en-GB"/>
        </w:rPr>
      </w:pPr>
      <w:r w:rsidRPr="00294E5A">
        <w:rPr>
          <w:rFonts w:eastAsia="Times New Roman"/>
          <w:b/>
          <w:bCs/>
          <w:i/>
          <w:szCs w:val="27"/>
          <w:lang w:val="fr-FR" w:eastAsia="en-GB"/>
        </w:rPr>
        <w:t>Considérant 3 octies et amendement au considérant 4</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 xml:space="preserve">Le Parlement propose d’ajouter un considérant relatif au budget de l’Initiative «Semi-conducteurs pour l’Europe», signalant notamment que de nouveaux moyens budgétaires sont nécessaires à son financement. Dans ce considérant, le Parlement demande que la poursuite des activités déjà envisagées dans le cadre d’Horizon Europe soit garantie et que toute réaffectation du budget au programme pour une Europe numérique pour contribuer à l’Initiative «Semi-conducteurs pour l’Europe» soit compensée par de nouvelles sources de financement. De même, le considérant 4 est modifié afin de préciser que l’augmentation de la contribution financière de l’Union à l’entreprise commune «Semi-conducteurs» ne devrait pas entraîner une réduction des fonds affectés aux programmes de l’Union ou à des projets existants et devrait par conséquent être établie conformément au règlement sur les semi-conducteurs, et prélevée en priorité sur les marges non allouées dans les limites des plafonds du CFP ou mobilisée par le biais des instruments spécifiques non thématiques du CFP. </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Les négociations sur le budget et, partant, sur les considérants qui traitent de ce sujet et font référence aux ressources financières des programmes «Horizon Europe» et «Europe numérique», devraient relever du règlement sur les semi-conducteurs et de l’autorité budgétaire dans le cadre de la procédure budgétaire annuelle. Le recours à des instruments spéciaux et à des marges, compte tenu du contexte budgétaire plus large, relève de la procédure budgétaire annuelle et il ne convient pas d’en préjuger.</w:t>
      </w:r>
    </w:p>
    <w:p w:rsidR="00294E5A" w:rsidRPr="00294E5A" w:rsidRDefault="00294E5A" w:rsidP="00294E5A">
      <w:pPr>
        <w:tabs>
          <w:tab w:val="left" w:pos="720"/>
        </w:tabs>
        <w:spacing w:after="120"/>
        <w:jc w:val="left"/>
        <w:outlineLvl w:val="2"/>
        <w:rPr>
          <w:rFonts w:eastAsia="Times New Roman"/>
          <w:b/>
          <w:bCs/>
          <w:i/>
          <w:lang w:val="fr-FR" w:eastAsia="en-GB"/>
        </w:rPr>
      </w:pPr>
      <w:r w:rsidRPr="00294E5A">
        <w:rPr>
          <w:rFonts w:eastAsia="Times New Roman"/>
          <w:b/>
          <w:bCs/>
          <w:i/>
          <w:szCs w:val="27"/>
          <w:lang w:val="fr-FR" w:eastAsia="en-GB"/>
        </w:rPr>
        <w:t>Considérant 5 quater sur les transferts de technologies et de connaissances</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Le Parlement propose, au considérant 5 quater, que les bénéficiaires de l’Initiative prennent des mesures pour empêcher les transferts non désirés de technologies et de connaissances en utilisant toute la gamme des instruments disponibles au niveau de l’Union et au niveau national.</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 xml:space="preserve">La Commission partage les objectifs stratégiques énoncés à ce considérant. Toutefois, celui-ci se réfère généralement à des instruments juridiques déjà existants («la gamme des instruments disponibles au niveau de l’Union et au niveau national»). Ce sujet est notamment </w:t>
      </w:r>
      <w:r w:rsidRPr="00294E5A">
        <w:rPr>
          <w:rFonts w:eastAsia="Times New Roman"/>
          <w:szCs w:val="20"/>
          <w:bdr w:val="nil"/>
          <w:lang w:val="fr-FR" w:eastAsia="en-GB"/>
        </w:rPr>
        <w:t xml:space="preserve">couvert au titre de l’article 38, paragraphe 2, du règlement Horizon Europe et </w:t>
      </w:r>
      <w:r w:rsidRPr="00294E5A">
        <w:rPr>
          <w:rFonts w:eastAsia="Times New Roman"/>
          <w:szCs w:val="20"/>
          <w:lang w:val="fr-FR" w:eastAsia="en-GB"/>
        </w:rPr>
        <w:t xml:space="preserve">par le modèle de convention de subvention applicable aux entreprises communes, qui contient déjà une clause contribuant à la prévention des transferts de technologies et de connaissances. En outre, contrairement à ce qui est proposé à ce considérant, c’est une mission qui relève de l’entreprise commune (qui comprend déjà la Commission et les États membres). L’autre proposition du considérant, qui concerne le risque de transfert de technologies vers des entités situées en dehors de l’Union résultant d’acquisitions étrangères, est déjà couverte par le cadre de l’UE pour le filtrage des </w:t>
      </w:r>
      <w:r w:rsidRPr="00294E5A">
        <w:rPr>
          <w:rFonts w:eastAsia="Times New Roman"/>
          <w:szCs w:val="20"/>
          <w:lang w:val="fr-FR" w:eastAsia="en-GB"/>
        </w:rPr>
        <w:lastRenderedPageBreak/>
        <w:t>investissements directs étrangers (IDE), pour autant que ces investissements comportent un risque potentiel pour la sécurité et l’ordre public de l’Union. Il en va de même pour le transfert de technologies vers des entités situées en dehors de l’Union, dans le cas où il s’agit de technologies à double usage, déjà couvert au titre du règlement de l’Union sur les biens à double usage.</w:t>
      </w:r>
    </w:p>
    <w:p w:rsidR="00294E5A" w:rsidRPr="00294E5A" w:rsidRDefault="00294E5A" w:rsidP="00294E5A">
      <w:pPr>
        <w:tabs>
          <w:tab w:val="left" w:pos="720"/>
        </w:tabs>
        <w:spacing w:after="120"/>
        <w:jc w:val="left"/>
        <w:outlineLvl w:val="2"/>
        <w:rPr>
          <w:rFonts w:eastAsia="Times New Roman"/>
          <w:b/>
          <w:bCs/>
          <w:i/>
          <w:lang w:val="fr-FR" w:eastAsia="en-GB"/>
        </w:rPr>
      </w:pPr>
      <w:r w:rsidRPr="00294E5A">
        <w:rPr>
          <w:rFonts w:eastAsia="Times New Roman"/>
          <w:b/>
          <w:bCs/>
          <w:i/>
          <w:szCs w:val="27"/>
          <w:lang w:val="fr-FR" w:eastAsia="en-GB"/>
        </w:rPr>
        <w:t>Considérant 5 quinquies sur l’enseignement des sciences, des technologies, de l’ingénierie et des mathématiques (STIM)</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Le Parlement propose d’ajouter un considérant qui mette en avant l’investissement dans les talents et les compétences au titre de l’Initiative, en accordant une attention particulière aux femmes dans l’enseignement des STIM. Il précise que l’entreprise commune devrait s’efforcer d’identifier les synergies avec d’autres programmes et possibilités de financement dans le domaine des compétences et de l’éducation dans le cadre des règles existantes d’Horizon Europe, notamment en renforçant la coopération internationale.</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Bien que le contenu de cet amendement soit conforme à la politique de la Commission visant à soutenir l’enseignement des STIM, et tout particulièrement l’augmentation de la participation des femmes, afin d’éviter toute confusion juridique et tout chevauchement inutile, l’Initiative, y compris les actions sur les compétences à mettre en œuvre au moyen d’un nouveau réseau de centres de compétences, ne devrait être réglementée que par la proposition de règlement sur les semi-conducteurs et non par la modification du règlement 2021/2085 du Conseil.</w:t>
      </w:r>
    </w:p>
    <w:p w:rsidR="00294E5A" w:rsidRPr="00294E5A" w:rsidRDefault="00294E5A" w:rsidP="00294E5A">
      <w:pPr>
        <w:tabs>
          <w:tab w:val="left" w:pos="720"/>
        </w:tabs>
        <w:spacing w:after="120"/>
        <w:jc w:val="left"/>
        <w:outlineLvl w:val="2"/>
        <w:rPr>
          <w:rFonts w:eastAsia="Times New Roman"/>
          <w:b/>
          <w:bCs/>
          <w:i/>
          <w:lang w:val="fr-FR" w:eastAsia="en-GB"/>
        </w:rPr>
      </w:pPr>
      <w:r w:rsidRPr="00294E5A">
        <w:rPr>
          <w:rFonts w:eastAsia="Times New Roman"/>
          <w:b/>
          <w:bCs/>
          <w:i/>
          <w:szCs w:val="27"/>
          <w:lang w:val="fr-FR" w:eastAsia="en-GB"/>
        </w:rPr>
        <w:t>Amendements au considérant 7 et à l’article 137 sur la gouvernance</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Le Parlement propose, au considérant 7 et à l’article 137, de préciser que les parties prenantes, dont les avis devraient être pris en compte dans l’élaboration du programme de travail, soient nommées «parties prenantes du secteur» plutôt que simplement «parties prenantes», comme indiqué dans le troisième texte de compromis du Conseil. Le Parlement suggère également qu’il soit tenu compte des avis des «experts», des «partenaires sociaux» et «des membres privés du comité» dans ce contexte.</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Le libellé actuel du considérant 7 ter («parties prenantes concernées») dans le dernier texte de compromis du Conseil englobe déjà toutes les parties prenantes ajoutées par le Parlement, à l’exception des parties prenantes «du secteur». Une telle qualification pourrait limiter l’éventail des parties prenantes concernées et exclure, par exemple, les universités ou les organismes de recherche et de technologie.</w:t>
      </w:r>
    </w:p>
    <w:p w:rsidR="00294E5A" w:rsidRPr="00294E5A" w:rsidRDefault="00294E5A" w:rsidP="00294E5A">
      <w:pPr>
        <w:tabs>
          <w:tab w:val="left" w:pos="720"/>
        </w:tabs>
        <w:spacing w:after="120"/>
        <w:jc w:val="left"/>
        <w:outlineLvl w:val="2"/>
        <w:rPr>
          <w:rFonts w:eastAsia="Times New Roman"/>
          <w:b/>
          <w:bCs/>
          <w:i/>
          <w:lang w:val="fr-FR" w:eastAsia="en-GB"/>
        </w:rPr>
      </w:pPr>
      <w:r w:rsidRPr="00294E5A">
        <w:rPr>
          <w:rFonts w:eastAsia="Times New Roman"/>
          <w:b/>
          <w:bCs/>
          <w:i/>
          <w:szCs w:val="27"/>
          <w:lang w:val="fr-FR" w:eastAsia="en-GB"/>
        </w:rPr>
        <w:t>Amendements aux considérants 9 et 11 sur l’équilibre géographique</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Le Parlement propose, au considérant 9, que le comité des autorités publiques de l’entreprise commune «Semi-conducteurs» aspire à améliorer l’équilibre hommes-femmes au sein de ses structures et de ses projets et s’efforce de garantir l’équilibre géographique des projets sélectionnés. Le Parlement ajoute, au considérant 11, une nouvelle condition pour atteindre l’équilibre géographique lorsqu’il fait référence à certaines propositions d’actions qui ne devraient pouvoir bénéficier d’un financement que si l’action est menée par des entités juridiques coopérant au sein d’un consortium d’au moins trois entités juridiques de trois États membres différents.</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Les dispositions du règlement 2021/2085 du Conseil doivent suivre les règles de sélection des projets définies dans les règlements «Horizon Europe» et «Europe numérique». Dans le cadre des programmes de travail d’Horizon Europe, la diversité géographique est notamment indiquée comme critère de classement dans le cas de propositions ayant obtenu une note égale. L’équilibre hommes-femmes au sein des structures du comité des autorités publiques devrait être garanti par le considérant 31 du règlement, qui indique déjà que «les organes consultatifs de l’entreprise commune devraient assurer une représentation équilibrée des experts, [...] y compris en ce qui concerne l’équilibre entre les genres». Enfin, dans le cadre d’Horizon Europe, les bénéficiaires doivent prendre toutes les mesures visant à promouvoir l’égalité des chances entre les hommes et les femmes dans la mise en œuvre des actions et, le cas échéant, conformément à leur plan en faveur de l’égalité entre les genres.</w:t>
      </w:r>
    </w:p>
    <w:p w:rsidR="00294E5A" w:rsidRPr="00294E5A" w:rsidRDefault="00294E5A" w:rsidP="00294E5A">
      <w:pPr>
        <w:tabs>
          <w:tab w:val="left" w:pos="720"/>
        </w:tabs>
        <w:spacing w:after="120"/>
        <w:jc w:val="left"/>
        <w:outlineLvl w:val="2"/>
        <w:rPr>
          <w:rFonts w:eastAsia="Times New Roman"/>
          <w:b/>
          <w:bCs/>
          <w:i/>
          <w:lang w:val="fr-FR" w:eastAsia="en-GB"/>
        </w:rPr>
      </w:pPr>
      <w:r w:rsidRPr="00294E5A">
        <w:rPr>
          <w:rFonts w:eastAsia="Times New Roman"/>
          <w:b/>
          <w:bCs/>
          <w:i/>
          <w:szCs w:val="27"/>
          <w:lang w:val="fr-FR" w:eastAsia="en-GB"/>
        </w:rPr>
        <w:t>Amendement au considérant 13 sur la coopération internationale</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Le Parlement propose quelques ajouts, recommandant notamment de faciliter la coopération avec des acteurs partageant les mêmes valeurs «afin de renforcer l’autonomie stratégique ouverte de l’Union et de protéger les droits de propriété intellectuelle».</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Le Conseil a supprimé le considérant 13 de son texte de compromis actuel car, d’après son service juridique, il serait nécessaire de rédiger un article correspondant, qui confierait formellement à l’entreprise commune la mission d’élaborer une stratégie de coopération internationale. Le Conseil a estimé qu’il s’agirait d’une mission trop lourde pour l’entreprise commune et a donc accepté de le supprimer. La proposition de suppression de cet amendement par le Conseil rend les ajouts proposés par le Parlement redondants.</w:t>
      </w:r>
    </w:p>
    <w:p w:rsidR="00294E5A" w:rsidRPr="00294E5A" w:rsidRDefault="00294E5A" w:rsidP="00294E5A">
      <w:pPr>
        <w:tabs>
          <w:tab w:val="left" w:pos="720"/>
        </w:tabs>
        <w:spacing w:after="120"/>
        <w:jc w:val="left"/>
        <w:outlineLvl w:val="2"/>
        <w:rPr>
          <w:rFonts w:eastAsia="Times New Roman"/>
          <w:b/>
          <w:bCs/>
          <w:i/>
          <w:lang w:val="fr-FR" w:eastAsia="en-GB"/>
        </w:rPr>
      </w:pPr>
      <w:r w:rsidRPr="00294E5A">
        <w:rPr>
          <w:rFonts w:eastAsia="Times New Roman"/>
          <w:b/>
          <w:bCs/>
          <w:i/>
          <w:szCs w:val="27"/>
          <w:lang w:val="fr-FR" w:eastAsia="en-GB"/>
        </w:rPr>
        <w:t>Amendement à l’article 126 sur les objectifs supplémentaires de l’entreprise commune «Semi-conducteurs»</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Le Parlement propose d’apporter quelques modifications à l’article 126, en particulier aux dispositions relatives aux nouveaux objectifs que l’entreprise commune «Semi-conducteurs» mettra en œuvre dans le cadre de l’Initiative «Semi-conducteurs pour l’Europe», telles que l’attention portée à la fabrication, aux équipements ou au conditionnement. Le Parlement suggère également l’ajout de nouveaux objectifs liés à la transition écologique et à la promotion de l’enseignement des STIM.</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Le Parlement a proposé des modifications similaires dans son rapport sur le règlement sur les semi-conducteurs, qui constitue l’instrument approprié à cette fin. La Commission souhaite rappeler que la rédaction finale de l’article 126 dépendra de la formulation approuvée par le Conseil et le Parlement dans le cadre du règlement sur les semi-conducteurs.</w:t>
      </w:r>
    </w:p>
    <w:p w:rsidR="00294E5A" w:rsidRPr="00294E5A" w:rsidRDefault="00294E5A" w:rsidP="00294E5A">
      <w:pPr>
        <w:tabs>
          <w:tab w:val="left" w:pos="720"/>
        </w:tabs>
        <w:spacing w:after="120"/>
        <w:outlineLvl w:val="2"/>
        <w:rPr>
          <w:rFonts w:eastAsia="Times New Roman"/>
          <w:b/>
          <w:bCs/>
          <w:i/>
          <w:lang w:val="fr-FR" w:eastAsia="en-GB"/>
        </w:rPr>
      </w:pPr>
      <w:r w:rsidRPr="00294E5A">
        <w:rPr>
          <w:rFonts w:eastAsia="Times New Roman"/>
          <w:b/>
          <w:bCs/>
          <w:i/>
          <w:szCs w:val="27"/>
          <w:lang w:val="fr-FR" w:eastAsia="en-GB"/>
        </w:rPr>
        <w:t>Amendements aux articles 128 et 129 sur la contribution de l’Union et des membres privés à l’entreprise commune «Semi-conducteurs»</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Le Parlement propose, à l’article 128, de changer la contribution de l’Union à l’entreprise commune «Semi-conducteurs», de 4 175 000 000 EUR «au maximum» à 4 175 000 000 EUR «au minimum». À l’article 129, relatif à la contribution des membres privés à l’entreprise commune, le Parlement propose que, si le champ d’action ou la composition de l’entreprise commune évoluent sensiblement, le montant inclus dans le règlement puisse être revu après consultation des membres privés du comité.</w:t>
      </w:r>
    </w:p>
    <w:p w:rsidR="00294E5A" w:rsidRPr="00294E5A" w:rsidRDefault="00294E5A" w:rsidP="00294E5A">
      <w:pPr>
        <w:spacing w:after="120"/>
        <w:rPr>
          <w:rFonts w:eastAsia="Times New Roman"/>
          <w:iCs/>
          <w:lang w:val="fr-FR" w:eastAsia="en-GB"/>
        </w:rPr>
      </w:pPr>
      <w:r w:rsidRPr="00294E5A">
        <w:rPr>
          <w:rFonts w:eastAsia="Times New Roman"/>
          <w:szCs w:val="20"/>
          <w:lang w:val="fr-FR" w:eastAsia="en-GB"/>
        </w:rPr>
        <w:t>En ce qui concerne l’article 128, pour des raisons de sécurité juridique et de planification budgétaire, le montant de la contribution de l’UE figurant dans le règlement ne peut être qu’un maximum, et non un minimum. Par exemple, si la contribution de l’Union visée à l’article 128 devait être 4 175 000 000 EUR «au minimum», cela signifierait que l’Union serait tenue d’apporter cette contribution, même si les autres partenaires (États participants et membres privés) n’apportaient aucune contribution à l’entreprise commune. En outre, une telle formulation autoriserait potentiellement l’Union à apporter une contribution bien supérieure aux 4 175 000 000 EUR réservés à l’entreprise commune «Semi-conducteurs» et entraînerait donc une incertitude en termes de planification budgétaire.</w:t>
      </w:r>
    </w:p>
    <w:p w:rsidR="00294E5A" w:rsidRPr="00294E5A" w:rsidRDefault="00294E5A" w:rsidP="00294E5A">
      <w:pPr>
        <w:spacing w:after="120"/>
        <w:rPr>
          <w:rFonts w:eastAsia="Times New Roman"/>
          <w:iCs/>
          <w:lang w:val="fr-FR" w:eastAsia="en-GB"/>
        </w:rPr>
      </w:pPr>
      <w:r w:rsidRPr="00294E5A">
        <w:rPr>
          <w:rFonts w:eastAsia="Times New Roman"/>
          <w:szCs w:val="20"/>
          <w:lang w:val="fr-FR" w:eastAsia="en-GB"/>
        </w:rPr>
        <w:t xml:space="preserve">Eu égard à l’article 129, les contributions de tous les membres de l’entreprise commune, y compris celles des membres privés, doivent être établies dans l’acte juridique, c’est-à-dire dans le règlement 2021/2085 du Conseil, et ne devraient pas faire l’objet d’un réexamen ultérieur. Par ailleurs, il convient de noter que, si le montant de la contribution des membres privés est fixé dans le règlement, il est indiqué, par opposition à la contribution de l’Union, comme montant minimal («au minimum»), en conformité avec le principe d’équivalence. La formulation actuelle prévoit ainsi la possibilité d’augmentations, sans énumérer les cas soumis aux limites de l’annexe III d’«Horizon Europe». Par conséquent, les contributions des membres autres que l’Union devraient être au moins égales à 50 % et pourraient représenter jusqu’à 75 % de l’ensemble des engagements budgétaires de l’entreprise commune. </w:t>
      </w:r>
    </w:p>
    <w:p w:rsidR="00294E5A" w:rsidRPr="00294E5A" w:rsidRDefault="00294E5A" w:rsidP="00294E5A">
      <w:pPr>
        <w:spacing w:after="120"/>
        <w:rPr>
          <w:rFonts w:eastAsia="Times New Roman"/>
          <w:i/>
          <w:iCs/>
          <w:lang w:val="fr-FR" w:eastAsia="en-GB"/>
        </w:rPr>
      </w:pPr>
      <w:r w:rsidRPr="00294E5A">
        <w:rPr>
          <w:rFonts w:eastAsia="Times New Roman"/>
          <w:szCs w:val="20"/>
          <w:lang w:val="fr-FR" w:eastAsia="en-GB"/>
        </w:rPr>
        <w:t>De plus, le montant actuel tient déjà compte des changements potentiels et est assez réaliste pour les membres privés. La Commission devrait mettre en garde contre de futurs amendements au règlement qui viseraient à modifier cet article compte tenu de la lourdeur d’une telle procédure (proposition de la Commission, négociations au Conseil, avis du Parlement), et dont le but serait de simplement modifier un article qui, comme indiqué ci-dessus, tient compte de la situation des membres privés et du champ d’activité de l’entreprise commune.</w:t>
      </w:r>
    </w:p>
    <w:p w:rsidR="00294E5A" w:rsidRPr="00294E5A" w:rsidRDefault="00294E5A" w:rsidP="00294E5A">
      <w:pPr>
        <w:tabs>
          <w:tab w:val="left" w:pos="720"/>
        </w:tabs>
        <w:spacing w:after="120"/>
        <w:jc w:val="left"/>
        <w:outlineLvl w:val="2"/>
        <w:rPr>
          <w:rFonts w:eastAsia="Times New Roman"/>
          <w:b/>
          <w:bCs/>
          <w:i/>
          <w:lang w:val="fr-FR" w:eastAsia="en-GB"/>
        </w:rPr>
      </w:pPr>
      <w:r w:rsidRPr="00294E5A">
        <w:rPr>
          <w:rFonts w:eastAsia="Times New Roman"/>
          <w:b/>
          <w:bCs/>
          <w:i/>
          <w:szCs w:val="27"/>
          <w:lang w:val="fr-FR" w:eastAsia="en-GB"/>
        </w:rPr>
        <w:t>Amendement à l’article 134 sur la protection de la propriété intellectuelle</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Le Parlement propose d’ajouter un paragraphe qui permettrait de maximiser l’impact positif du financement et des projets de l’Union, et de protéger contre les transferts non désirés de technologies et de connaissances. Ce paragraphe fait référence à un nouvel article 27 bis du règlement sur les semi-conducteurs, également proposé par le Parlement dans son rapport sur le règlement sur les semi-conducteurs. Cet article couvre la protection des droits de propriété intellectuelle (DPI), en prévoyant notamment que le transfert vers des pays tiers d’informations confidentielles ou l’accès dans des pays tiers à de telles informations, ainsi que les droits de propriété intellectuelle, ne serait possible que lorsqu’un accord bilatéral ou multilatéral sur la protection de ces informations confidentielles et le respect de ces droits de propriété intellectuelle est en vigueur et «effectivement respecté». En outre, les bénéficiaires d’une aide d’État devraient s’engager, au moyen d’un accord avec la Commission ou les États membres, à informer la Commission de tout transfert vers un pays tiers potentiellement dangereux en matière de protection des DPI. La Commission évalue et décide si le transfert est autorisé en vertu de l’accord. En cas de violation de l’accord, des mesures telles que la récupération des aides d’État, l’abrogation du statut de «pionnier» et l’imposition d’amendes sont prévues. Tout autre transfert, non couvert par ces deux types d’accords, ne serait autorisé que s’il a lieu au sein d’une seule entité, vers ses filiales ou partenaires commerciaux directs situés dans certains pays tiers. En outre, il incombe à la Commission et aux États membres de prendre toutes les mesures raisonnables pour empêcher le transfert d’informations qui risquent d’enfreindre le droit de l’Union ou le droit national. Enfin, la disposition interdit tout transfert ultérieur vers une entreprise d’un pays tiers qui a «enfreint le présent règlement [sur les semi-conducteurs]». La Commission, avec l’aide du conseil européen des semi-conducteurs, élaborera des lignes directrices pour le traitement des DPI.</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Bien que la Commission approuve de manière générale les objectifs du Parlement à cet égard, le champ d’application de l’article 27 bis proposé au règlement sur les semi-conducteurs (auquel l’article 134 fait référence) n’est pas défini de manière suffisamment claire et semble trop large. En particulier, les préoccupations préliminaires concernant cette disposition sont les suivantes:</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 xml:space="preserve">1.- La nouvelle restriction aux transferts de technologie semble incompatible avec les obligations de l’Union au titre de l’accord sur les aspects des droits de propriété intellectuelle qui touchent au commerce (ADPIC). En outre, la restriction a une portée peu claire et limite la liberté des entreprises de partager des informations sans qu’aucune justification ne soit fournie. De plus, la règle fait double emploi avec les règles existantes, notamment les règles du programme pour une Europe numérique et d’Horizon Europe en matière de propriété intellectuelle élaborées dans le cadre de l’Initiative; les préoccupations en matière de sécurité soulevées par les transferts de technologies sont également traitées dans le cadre des règlements de l’UE sur les biens à double usage et sur le filtrage des IDE. La disposition prévoit un recours aux restrictions à l’exportation possiblement non justifié et disproportionné. Enfin, au-delà des éventuels chevauchements, l’article 27 bis proposé pourrait entraîner des restrictions excessives liées aux investissements (entrants et sortants) et aux contrôles par des experts, notamment dans la mesure où elles ne seraient pas justifiées par des considérations de sécurité. </w:t>
      </w:r>
    </w:p>
    <w:p w:rsidR="00294E5A" w:rsidRPr="00294E5A" w:rsidRDefault="00294E5A" w:rsidP="00294E5A">
      <w:pPr>
        <w:spacing w:after="120"/>
        <w:rPr>
          <w:rFonts w:eastAsia="Times New Roman"/>
          <w:lang w:val="fr-FR" w:eastAsia="en-GB"/>
        </w:rPr>
      </w:pPr>
      <w:r w:rsidRPr="00294E5A">
        <w:rPr>
          <w:rFonts w:eastAsia="Times New Roman"/>
          <w:szCs w:val="20"/>
          <w:lang w:val="fr-FR" w:eastAsia="en-GB"/>
        </w:rPr>
        <w:t>2.- La nouvelle disposition limitant les transferts de bénéficiaires ne semble pas conforme au régime des aides d’État: il est de la compétence exclusive de la Commission de fixer les conditions applicables aux aides d’État et à leur récupération, ce qui ne peut être réglementé par le droit dérivé.</w:t>
      </w:r>
    </w:p>
    <w:p w:rsidR="008765BE" w:rsidRDefault="00294E5A" w:rsidP="00294E5A">
      <w:r w:rsidRPr="00294E5A">
        <w:rPr>
          <w:rFonts w:eastAsia="Times New Roman"/>
          <w:szCs w:val="20"/>
          <w:lang w:val="fr-FR" w:eastAsia="en-GB"/>
        </w:rPr>
        <w:t>Dans le cadre des négociations relatives au règlement sur les semi-conducteurs, les colégislateurs n’ont pas convenu d’ajouter un nouvel article 27 bis, mais se sont mis d’accord pour renforcer l’article 27 initial relatif au traitement des informations confidentielles, sans référence aux restrictions applicables aux transferts de technologie ni au régime des aides d’État. Par conséquent, toute référence à un tel mécanisme dans la modification du règlement 2021/2085 s’en trouve désormais redondante.</w:t>
      </w:r>
      <w:bookmarkEnd w:id="0"/>
    </w:p>
    <w:sectPr w:rsidR="008765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E5A"/>
    <w:rsid w:val="00294E5A"/>
    <w:rsid w:val="005762E3"/>
    <w:rsid w:val="008765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2BFA84-9B2C-4556-9379-5EEDAEF35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2E3"/>
    <w:pPr>
      <w:jc w:val="both"/>
    </w:pPr>
    <w:rPr>
      <w:rFonts w:ascii="Times New Roman" w:hAnsi="Times New Roman"/>
      <w:sz w:val="24"/>
      <w:szCs w:val="24"/>
    </w:rPr>
  </w:style>
  <w:style w:type="paragraph" w:styleId="Heading1">
    <w:name w:val="heading 1"/>
    <w:basedOn w:val="Normal"/>
    <w:next w:val="Normal"/>
    <w:link w:val="Heading1Char"/>
    <w:uiPriority w:val="9"/>
    <w:qFormat/>
    <w:rsid w:val="005762E3"/>
    <w:pPr>
      <w:keepNext/>
      <w:spacing w:before="240" w:after="60"/>
      <w:outlineLvl w:val="0"/>
    </w:pPr>
    <w:rPr>
      <w:rFonts w:ascii="Arial" w:eastAsiaTheme="majorEastAsia" w:hAnsi="Arial" w:cs="Arial"/>
      <w:b/>
      <w:bCs/>
      <w:kern w:val="32"/>
      <w:sz w:val="32"/>
      <w:szCs w:val="32"/>
    </w:rPr>
  </w:style>
  <w:style w:type="paragraph" w:styleId="Heading2">
    <w:name w:val="heading 2"/>
    <w:basedOn w:val="Normal"/>
    <w:next w:val="Normal"/>
    <w:link w:val="Heading2Char"/>
    <w:uiPriority w:val="9"/>
    <w:semiHidden/>
    <w:unhideWhenUsed/>
    <w:qFormat/>
    <w:rsid w:val="005762E3"/>
    <w:pPr>
      <w:keepNext/>
      <w:spacing w:before="240" w:after="60"/>
      <w:outlineLvl w:val="1"/>
    </w:pPr>
    <w:rPr>
      <w:rFonts w:ascii="Arial" w:eastAsiaTheme="majorEastAsia" w:hAnsi="Arial" w:cs="Arial"/>
      <w:b/>
      <w:bCs/>
      <w:i/>
      <w:iCs/>
      <w:sz w:val="28"/>
      <w:szCs w:val="28"/>
    </w:rPr>
  </w:style>
  <w:style w:type="paragraph" w:styleId="Heading3">
    <w:name w:val="heading 3"/>
    <w:basedOn w:val="Normal"/>
    <w:next w:val="Normal"/>
    <w:link w:val="Heading3Char"/>
    <w:uiPriority w:val="9"/>
    <w:semiHidden/>
    <w:unhideWhenUsed/>
    <w:qFormat/>
    <w:rsid w:val="005762E3"/>
    <w:pPr>
      <w:keepNext/>
      <w:spacing w:before="240" w:after="60"/>
      <w:outlineLvl w:val="2"/>
    </w:pPr>
    <w:rPr>
      <w:rFonts w:ascii="Arial" w:eastAsiaTheme="majorEastAsia" w:hAnsi="Arial" w:cs="Arial"/>
      <w:b/>
      <w:bCs/>
      <w:sz w:val="26"/>
      <w:szCs w:val="26"/>
    </w:rPr>
  </w:style>
  <w:style w:type="paragraph" w:styleId="Heading4">
    <w:name w:val="heading 4"/>
    <w:basedOn w:val="Normal"/>
    <w:next w:val="Normal"/>
    <w:link w:val="Heading4Char"/>
    <w:uiPriority w:val="9"/>
    <w:semiHidden/>
    <w:unhideWhenUsed/>
    <w:qFormat/>
    <w:rsid w:val="005762E3"/>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5762E3"/>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5762E3"/>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5762E3"/>
    <w:pPr>
      <w:spacing w:before="240" w:after="60"/>
      <w:outlineLvl w:val="6"/>
    </w:pPr>
  </w:style>
  <w:style w:type="paragraph" w:styleId="Heading8">
    <w:name w:val="heading 8"/>
    <w:basedOn w:val="Normal"/>
    <w:next w:val="Normal"/>
    <w:link w:val="Heading8Char"/>
    <w:uiPriority w:val="9"/>
    <w:semiHidden/>
    <w:unhideWhenUsed/>
    <w:qFormat/>
    <w:rsid w:val="005762E3"/>
    <w:pPr>
      <w:spacing w:before="240" w:after="60"/>
      <w:outlineLvl w:val="7"/>
    </w:pPr>
    <w:rPr>
      <w:i/>
      <w:iCs/>
    </w:rPr>
  </w:style>
  <w:style w:type="paragraph" w:styleId="Heading9">
    <w:name w:val="heading 9"/>
    <w:basedOn w:val="Normal"/>
    <w:next w:val="Normal"/>
    <w:link w:val="Heading9Char"/>
    <w:uiPriority w:val="9"/>
    <w:semiHidden/>
    <w:unhideWhenUsed/>
    <w:qFormat/>
    <w:rsid w:val="005762E3"/>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2E3"/>
    <w:rPr>
      <w:rFonts w:ascii="Arial" w:eastAsiaTheme="majorEastAsia" w:hAnsi="Arial" w:cs="Arial"/>
      <w:b/>
      <w:bCs/>
      <w:kern w:val="32"/>
      <w:sz w:val="32"/>
      <w:szCs w:val="32"/>
    </w:rPr>
  </w:style>
  <w:style w:type="character" w:customStyle="1" w:styleId="Heading2Char">
    <w:name w:val="Heading 2 Char"/>
    <w:basedOn w:val="DefaultParagraphFont"/>
    <w:link w:val="Heading2"/>
    <w:uiPriority w:val="9"/>
    <w:semiHidden/>
    <w:rsid w:val="005762E3"/>
    <w:rPr>
      <w:rFonts w:ascii="Arial" w:eastAsiaTheme="majorEastAsia" w:hAnsi="Arial" w:cs="Arial"/>
      <w:b/>
      <w:bCs/>
      <w:i/>
      <w:iCs/>
      <w:sz w:val="28"/>
      <w:szCs w:val="28"/>
    </w:rPr>
  </w:style>
  <w:style w:type="character" w:customStyle="1" w:styleId="Heading3Char">
    <w:name w:val="Heading 3 Char"/>
    <w:basedOn w:val="DefaultParagraphFont"/>
    <w:link w:val="Heading3"/>
    <w:uiPriority w:val="9"/>
    <w:semiHidden/>
    <w:rsid w:val="005762E3"/>
    <w:rPr>
      <w:rFonts w:ascii="Arial" w:eastAsiaTheme="majorEastAsia" w:hAnsi="Arial" w:cs="Arial"/>
      <w:b/>
      <w:bCs/>
      <w:sz w:val="26"/>
      <w:szCs w:val="26"/>
    </w:rPr>
  </w:style>
  <w:style w:type="character" w:customStyle="1" w:styleId="Heading4Char">
    <w:name w:val="Heading 4 Char"/>
    <w:basedOn w:val="DefaultParagraphFont"/>
    <w:link w:val="Heading4"/>
    <w:uiPriority w:val="9"/>
    <w:semiHidden/>
    <w:rsid w:val="005762E3"/>
    <w:rPr>
      <w:b/>
      <w:bCs/>
      <w:sz w:val="28"/>
      <w:szCs w:val="28"/>
    </w:rPr>
  </w:style>
  <w:style w:type="character" w:customStyle="1" w:styleId="Heading5Char">
    <w:name w:val="Heading 5 Char"/>
    <w:basedOn w:val="DefaultParagraphFont"/>
    <w:link w:val="Heading5"/>
    <w:uiPriority w:val="9"/>
    <w:semiHidden/>
    <w:rsid w:val="005762E3"/>
    <w:rPr>
      <w:b/>
      <w:bCs/>
      <w:i/>
      <w:iCs/>
      <w:sz w:val="26"/>
      <w:szCs w:val="26"/>
    </w:rPr>
  </w:style>
  <w:style w:type="character" w:customStyle="1" w:styleId="Heading6Char">
    <w:name w:val="Heading 6 Char"/>
    <w:basedOn w:val="DefaultParagraphFont"/>
    <w:link w:val="Heading6"/>
    <w:uiPriority w:val="9"/>
    <w:semiHidden/>
    <w:rsid w:val="005762E3"/>
    <w:rPr>
      <w:b/>
      <w:bCs/>
    </w:rPr>
  </w:style>
  <w:style w:type="character" w:customStyle="1" w:styleId="Heading7Char">
    <w:name w:val="Heading 7 Char"/>
    <w:basedOn w:val="DefaultParagraphFont"/>
    <w:link w:val="Heading7"/>
    <w:uiPriority w:val="9"/>
    <w:semiHidden/>
    <w:rsid w:val="005762E3"/>
    <w:rPr>
      <w:sz w:val="24"/>
      <w:szCs w:val="24"/>
    </w:rPr>
  </w:style>
  <w:style w:type="character" w:customStyle="1" w:styleId="Heading8Char">
    <w:name w:val="Heading 8 Char"/>
    <w:basedOn w:val="DefaultParagraphFont"/>
    <w:link w:val="Heading8"/>
    <w:uiPriority w:val="9"/>
    <w:semiHidden/>
    <w:rsid w:val="005762E3"/>
    <w:rPr>
      <w:i/>
      <w:iCs/>
      <w:sz w:val="24"/>
      <w:szCs w:val="24"/>
    </w:rPr>
  </w:style>
  <w:style w:type="character" w:customStyle="1" w:styleId="Heading9Char">
    <w:name w:val="Heading 9 Char"/>
    <w:basedOn w:val="DefaultParagraphFont"/>
    <w:link w:val="Heading9"/>
    <w:uiPriority w:val="9"/>
    <w:semiHidden/>
    <w:rsid w:val="005762E3"/>
    <w:rPr>
      <w:rFonts w:asciiTheme="majorHAnsi" w:eastAsiaTheme="majorEastAsia" w:hAnsiTheme="majorHAnsi"/>
    </w:rPr>
  </w:style>
  <w:style w:type="paragraph" w:styleId="Title">
    <w:name w:val="Title"/>
    <w:basedOn w:val="Normal"/>
    <w:next w:val="Normal"/>
    <w:link w:val="TitleChar"/>
    <w:uiPriority w:val="10"/>
    <w:qFormat/>
    <w:rsid w:val="005762E3"/>
    <w:pPr>
      <w:spacing w:before="240" w:after="60"/>
      <w:jc w:val="center"/>
      <w:outlineLvl w:val="0"/>
    </w:pPr>
    <w:rPr>
      <w:rFonts w:ascii="Arial" w:eastAsiaTheme="majorEastAsia" w:hAnsi="Arial" w:cs="Arial"/>
      <w:b/>
      <w:bCs/>
      <w:kern w:val="28"/>
      <w:sz w:val="32"/>
      <w:szCs w:val="32"/>
    </w:rPr>
  </w:style>
  <w:style w:type="character" w:customStyle="1" w:styleId="TitleChar">
    <w:name w:val="Title Char"/>
    <w:basedOn w:val="DefaultParagraphFont"/>
    <w:link w:val="Title"/>
    <w:uiPriority w:val="10"/>
    <w:rsid w:val="005762E3"/>
    <w:rPr>
      <w:rFonts w:ascii="Arial" w:eastAsiaTheme="majorEastAsia" w:hAnsi="Arial" w:cs="Arial"/>
      <w:b/>
      <w:bCs/>
      <w:kern w:val="28"/>
      <w:sz w:val="32"/>
      <w:szCs w:val="32"/>
    </w:rPr>
  </w:style>
  <w:style w:type="paragraph" w:styleId="Subtitle">
    <w:name w:val="Subtitle"/>
    <w:basedOn w:val="Normal"/>
    <w:next w:val="Normal"/>
    <w:link w:val="SubtitleChar"/>
    <w:uiPriority w:val="11"/>
    <w:qFormat/>
    <w:rsid w:val="005762E3"/>
    <w:pPr>
      <w:spacing w:after="60"/>
      <w:jc w:val="center"/>
      <w:outlineLvl w:val="1"/>
    </w:pPr>
    <w:rPr>
      <w:rFonts w:ascii="Arial" w:eastAsiaTheme="majorEastAsia" w:hAnsi="Arial" w:cs="Arial"/>
    </w:rPr>
  </w:style>
  <w:style w:type="character" w:customStyle="1" w:styleId="SubtitleChar">
    <w:name w:val="Subtitle Char"/>
    <w:basedOn w:val="DefaultParagraphFont"/>
    <w:link w:val="Subtitle"/>
    <w:uiPriority w:val="11"/>
    <w:rsid w:val="005762E3"/>
    <w:rPr>
      <w:rFonts w:ascii="Arial" w:eastAsiaTheme="majorEastAsia" w:hAnsi="Arial" w:cs="Arial"/>
      <w:sz w:val="24"/>
      <w:szCs w:val="24"/>
    </w:rPr>
  </w:style>
  <w:style w:type="character" w:styleId="Strong">
    <w:name w:val="Strong"/>
    <w:basedOn w:val="DefaultParagraphFont"/>
    <w:uiPriority w:val="22"/>
    <w:qFormat/>
    <w:rsid w:val="005762E3"/>
    <w:rPr>
      <w:b/>
      <w:bCs/>
    </w:rPr>
  </w:style>
  <w:style w:type="character" w:styleId="Emphasis">
    <w:name w:val="Emphasis"/>
    <w:basedOn w:val="DefaultParagraphFont"/>
    <w:uiPriority w:val="20"/>
    <w:qFormat/>
    <w:rsid w:val="005762E3"/>
    <w:rPr>
      <w:rFonts w:asciiTheme="minorHAnsi" w:hAnsiTheme="minorHAnsi"/>
      <w:b/>
      <w:i/>
      <w:iCs/>
    </w:rPr>
  </w:style>
  <w:style w:type="paragraph" w:styleId="NoSpacing">
    <w:name w:val="No Spacing"/>
    <w:basedOn w:val="Normal"/>
    <w:uiPriority w:val="1"/>
    <w:qFormat/>
    <w:rsid w:val="005762E3"/>
    <w:rPr>
      <w:szCs w:val="32"/>
    </w:rPr>
  </w:style>
  <w:style w:type="paragraph" w:styleId="ListParagraph">
    <w:name w:val="List Paragraph"/>
    <w:basedOn w:val="Normal"/>
    <w:uiPriority w:val="34"/>
    <w:qFormat/>
    <w:rsid w:val="005762E3"/>
    <w:pPr>
      <w:ind w:left="720"/>
      <w:contextualSpacing/>
    </w:pPr>
  </w:style>
  <w:style w:type="paragraph" w:styleId="Quote">
    <w:name w:val="Quote"/>
    <w:basedOn w:val="Normal"/>
    <w:next w:val="Normal"/>
    <w:link w:val="QuoteChar"/>
    <w:uiPriority w:val="29"/>
    <w:qFormat/>
    <w:rsid w:val="005762E3"/>
    <w:rPr>
      <w:i/>
    </w:rPr>
  </w:style>
  <w:style w:type="character" w:customStyle="1" w:styleId="QuoteChar">
    <w:name w:val="Quote Char"/>
    <w:basedOn w:val="DefaultParagraphFont"/>
    <w:link w:val="Quote"/>
    <w:uiPriority w:val="29"/>
    <w:rsid w:val="005762E3"/>
    <w:rPr>
      <w:i/>
      <w:sz w:val="24"/>
      <w:szCs w:val="24"/>
    </w:rPr>
  </w:style>
  <w:style w:type="paragraph" w:styleId="IntenseQuote">
    <w:name w:val="Intense Quote"/>
    <w:basedOn w:val="Normal"/>
    <w:next w:val="Normal"/>
    <w:link w:val="IntenseQuoteChar"/>
    <w:uiPriority w:val="30"/>
    <w:qFormat/>
    <w:rsid w:val="005762E3"/>
    <w:pPr>
      <w:ind w:left="720" w:right="720"/>
    </w:pPr>
    <w:rPr>
      <w:b/>
      <w:i/>
      <w:szCs w:val="22"/>
    </w:rPr>
  </w:style>
  <w:style w:type="character" w:customStyle="1" w:styleId="IntenseQuoteChar">
    <w:name w:val="Intense Quote Char"/>
    <w:basedOn w:val="DefaultParagraphFont"/>
    <w:link w:val="IntenseQuote"/>
    <w:uiPriority w:val="30"/>
    <w:rsid w:val="005762E3"/>
    <w:rPr>
      <w:b/>
      <w:i/>
      <w:sz w:val="24"/>
    </w:rPr>
  </w:style>
  <w:style w:type="character" w:styleId="SubtleEmphasis">
    <w:name w:val="Subtle Emphasis"/>
    <w:uiPriority w:val="19"/>
    <w:qFormat/>
    <w:rsid w:val="005762E3"/>
    <w:rPr>
      <w:i/>
      <w:color w:val="5A5A5A" w:themeColor="text1" w:themeTint="A5"/>
    </w:rPr>
  </w:style>
  <w:style w:type="character" w:styleId="IntenseEmphasis">
    <w:name w:val="Intense Emphasis"/>
    <w:basedOn w:val="DefaultParagraphFont"/>
    <w:uiPriority w:val="21"/>
    <w:qFormat/>
    <w:rsid w:val="005762E3"/>
    <w:rPr>
      <w:b/>
      <w:i/>
      <w:sz w:val="24"/>
      <w:szCs w:val="24"/>
      <w:u w:val="single"/>
    </w:rPr>
  </w:style>
  <w:style w:type="character" w:styleId="SubtleReference">
    <w:name w:val="Subtle Reference"/>
    <w:basedOn w:val="DefaultParagraphFont"/>
    <w:uiPriority w:val="31"/>
    <w:qFormat/>
    <w:rsid w:val="005762E3"/>
    <w:rPr>
      <w:sz w:val="24"/>
      <w:szCs w:val="24"/>
      <w:u w:val="single"/>
    </w:rPr>
  </w:style>
  <w:style w:type="character" w:styleId="IntenseReference">
    <w:name w:val="Intense Reference"/>
    <w:basedOn w:val="DefaultParagraphFont"/>
    <w:uiPriority w:val="32"/>
    <w:qFormat/>
    <w:rsid w:val="005762E3"/>
    <w:rPr>
      <w:b/>
      <w:sz w:val="24"/>
      <w:u w:val="single"/>
    </w:rPr>
  </w:style>
  <w:style w:type="character" w:styleId="BookTitle">
    <w:name w:val="Book Title"/>
    <w:basedOn w:val="DefaultParagraphFont"/>
    <w:uiPriority w:val="33"/>
    <w:qFormat/>
    <w:rsid w:val="005762E3"/>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5762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3075</Words>
  <Characters>17533</Characters>
  <Application>Microsoft Office Word</Application>
  <DocSecurity>0</DocSecurity>
  <Lines>146</Lines>
  <Paragraphs>41</Paragraphs>
  <ScaleCrop>false</ScaleCrop>
  <Company>European Parliament</Company>
  <LinksUpToDate>false</LinksUpToDate>
  <CharactersWithSpaces>20567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BRABANDER Liesbet</dc:creator>
  <cp:keywords/>
  <dc:description/>
  <cp:lastModifiedBy>DE BRABANDER Liesbet</cp:lastModifiedBy>
  <cp:revision>1</cp:revision>
  <dcterms:created xsi:type="dcterms:W3CDTF">2023-07-17T13:25:00Z</dcterms:created>
  <dcterms:modified xsi:type="dcterms:W3CDTF">2023-07-17T13:25:00Z</dcterms:modified>
</cp:coreProperties>
</file>