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27D6" w14:textId="77777777" w:rsidR="00100256" w:rsidRPr="00100256" w:rsidRDefault="00100256" w:rsidP="00100256">
      <w:pPr>
        <w:spacing w:after="600"/>
        <w:jc w:val="center"/>
        <w:rPr>
          <w:rFonts w:ascii="Times New Roman" w:hAnsi="Times New Roman"/>
          <w:b/>
          <w:bCs/>
        </w:rPr>
      </w:pPr>
      <w:bookmarkStart w:id="0" w:name="hate"/>
      <w:r>
        <w:rPr>
          <w:rFonts w:ascii="Times New Roman" w:hAnsi="Times New Roman"/>
          <w:b/>
        </w:rPr>
        <w:t>Suite donnée à la résolution non législative du Parlement européen sur la multiplication des crimes inspirés par la haine contre les personnes LGBTIQ+ à travers l’Europe compte tenu du récent meurtre homophobe en Slovaquie</w:t>
      </w:r>
      <w:bookmarkEnd w:id="0"/>
    </w:p>
    <w:p w14:paraId="5134F084" w14:textId="77777777" w:rsidR="00100256" w:rsidRPr="00100256" w:rsidRDefault="00100256" w:rsidP="00100256">
      <w:pPr>
        <w:numPr>
          <w:ilvl w:val="0"/>
          <w:numId w:val="32"/>
        </w:numPr>
        <w:spacing w:after="200" w:line="276" w:lineRule="auto"/>
        <w:ind w:left="567" w:hanging="567"/>
        <w:contextualSpacing/>
        <w:rPr>
          <w:rFonts w:ascii="Times New Roman" w:eastAsia="Calibri" w:hAnsi="Times New Roman"/>
          <w:sz w:val="22"/>
          <w:szCs w:val="22"/>
        </w:rPr>
      </w:pPr>
      <w:r>
        <w:rPr>
          <w:rFonts w:ascii="Times New Roman" w:hAnsi="Times New Roman"/>
          <w:b/>
          <w:sz w:val="22"/>
        </w:rPr>
        <w:t xml:space="preserve">Résolution présentée conformément à l’article 132, paragraphe 2, du règlement intérieur du Parlement européen </w:t>
      </w:r>
    </w:p>
    <w:p w14:paraId="76FBE57F" w14:textId="77777777" w:rsidR="00100256" w:rsidRPr="00100256" w:rsidRDefault="00100256" w:rsidP="00100256">
      <w:pPr>
        <w:numPr>
          <w:ilvl w:val="0"/>
          <w:numId w:val="32"/>
        </w:numPr>
        <w:ind w:left="567" w:hanging="567"/>
        <w:rPr>
          <w:rFonts w:ascii="Times New Roman" w:hAnsi="Times New Roman"/>
        </w:rPr>
      </w:pPr>
      <w:r>
        <w:rPr>
          <w:rFonts w:ascii="Times New Roman" w:hAnsi="Times New Roman"/>
          <w:b/>
        </w:rPr>
        <w:t xml:space="preserve">Numéro de référence: </w:t>
      </w:r>
      <w:r>
        <w:rPr>
          <w:rFonts w:ascii="Times New Roman" w:hAnsi="Times New Roman"/>
        </w:rPr>
        <w:t>2022/2894 (RSP) / B9-0477/2022 / P9_</w:t>
      </w:r>
      <w:bookmarkStart w:id="1" w:name="_Int_auKXQUK4"/>
      <w:r>
        <w:rPr>
          <w:rFonts w:ascii="Times New Roman" w:hAnsi="Times New Roman"/>
        </w:rPr>
        <w:t>TA(</w:t>
      </w:r>
      <w:bookmarkEnd w:id="1"/>
      <w:r>
        <w:rPr>
          <w:rFonts w:ascii="Times New Roman" w:hAnsi="Times New Roman"/>
        </w:rPr>
        <w:t>2022)0372</w:t>
      </w:r>
    </w:p>
    <w:p w14:paraId="38A02868" w14:textId="77777777" w:rsidR="00100256" w:rsidRPr="00100256" w:rsidRDefault="00100256" w:rsidP="00100256">
      <w:pPr>
        <w:numPr>
          <w:ilvl w:val="0"/>
          <w:numId w:val="32"/>
        </w:numPr>
        <w:ind w:left="567" w:hanging="567"/>
        <w:rPr>
          <w:rFonts w:ascii="Times New Roman" w:hAnsi="Times New Roman"/>
        </w:rPr>
      </w:pPr>
      <w:r>
        <w:rPr>
          <w:rFonts w:ascii="Times New Roman" w:hAnsi="Times New Roman"/>
          <w:b/>
        </w:rPr>
        <w:t xml:space="preserve">Date d'adoption de la résolution: </w:t>
      </w:r>
      <w:r>
        <w:rPr>
          <w:rFonts w:ascii="Times New Roman" w:hAnsi="Times New Roman"/>
        </w:rPr>
        <w:t>20 octobre 2022</w:t>
      </w:r>
    </w:p>
    <w:p w14:paraId="733AED94" w14:textId="77777777" w:rsidR="00100256" w:rsidRPr="00100256" w:rsidRDefault="00100256" w:rsidP="00100256">
      <w:pPr>
        <w:numPr>
          <w:ilvl w:val="0"/>
          <w:numId w:val="32"/>
        </w:numPr>
        <w:ind w:left="567" w:hanging="567"/>
        <w:rPr>
          <w:rFonts w:ascii="Times New Roman" w:hAnsi="Times New Roman"/>
        </w:rPr>
      </w:pPr>
      <w:r>
        <w:rPr>
          <w:rFonts w:ascii="Times New Roman" w:hAnsi="Times New Roman"/>
          <w:b/>
        </w:rPr>
        <w:t>Commission parlementaire compétente</w:t>
      </w:r>
      <w:r>
        <w:rPr>
          <w:b/>
        </w:rPr>
        <w:t xml:space="preserve">: </w:t>
      </w:r>
      <w:r>
        <w:rPr>
          <w:rFonts w:ascii="Times New Roman" w:hAnsi="Times New Roman"/>
        </w:rPr>
        <w:t>s.o.</w:t>
      </w:r>
    </w:p>
    <w:p w14:paraId="36B931C4" w14:textId="77777777" w:rsidR="00100256" w:rsidRPr="00100256" w:rsidRDefault="00100256" w:rsidP="00100256">
      <w:pPr>
        <w:widowControl w:val="0"/>
        <w:numPr>
          <w:ilvl w:val="0"/>
          <w:numId w:val="32"/>
        </w:numPr>
        <w:ind w:left="567" w:hanging="567"/>
        <w:rPr>
          <w:rFonts w:ascii="Times New Roman" w:hAnsi="Times New Roman"/>
        </w:rPr>
      </w:pPr>
      <w:r>
        <w:rPr>
          <w:rFonts w:ascii="Times New Roman" w:hAnsi="Times New Roman"/>
          <w:b/>
        </w:rPr>
        <w:t>Analyse/évaluation succincte de la résolution et des demandes qu’elle contient</w:t>
      </w:r>
      <w:r>
        <w:rPr>
          <w:rFonts w:ascii="Times New Roman" w:hAnsi="Times New Roman"/>
        </w:rPr>
        <w:t xml:space="preserve"> </w:t>
      </w:r>
    </w:p>
    <w:p w14:paraId="79B6EE5D" w14:textId="77777777" w:rsidR="00100256" w:rsidRPr="00100256" w:rsidRDefault="00100256" w:rsidP="00100256">
      <w:pPr>
        <w:widowControl w:val="0"/>
        <w:spacing w:after="120"/>
        <w:rPr>
          <w:rFonts w:ascii="Times New Roman" w:hAnsi="Times New Roman"/>
        </w:rPr>
      </w:pPr>
      <w:r>
        <w:rPr>
          <w:rFonts w:ascii="Times New Roman" w:hAnsi="Times New Roman"/>
        </w:rPr>
        <w:t>La résolution fait suite aux événements tragiques survenus à Bratislava le 12 octobre 2022, au cours desquels deux jeunes hommes ont été abattus devant un local bien connu dans la ville, fréquenté par la communauté LGBTIQ.</w:t>
      </w:r>
    </w:p>
    <w:p w14:paraId="79E34E88" w14:textId="77777777" w:rsidR="00100256" w:rsidRPr="00100256" w:rsidRDefault="00100256" w:rsidP="00100256">
      <w:pPr>
        <w:widowControl w:val="0"/>
        <w:spacing w:after="120"/>
        <w:rPr>
          <w:rFonts w:ascii="Times New Roman" w:hAnsi="Times New Roman"/>
        </w:rPr>
      </w:pPr>
      <w:r>
        <w:rPr>
          <w:rFonts w:ascii="Times New Roman" w:hAnsi="Times New Roman"/>
        </w:rPr>
        <w:t>Premièrement, le Parlement rappelle, dans la résolution, le contexte dans lequel cet acte a été perpétré, le 12 octobre 2022, et les motivations de son auteur. Le Parlement attire l’attention sur les difficultés rencontrées par les personnes LGBTIQ en Slovaquie, soulignant qu’elles sont la cible de propos inspirés par la haine et d’une violence généralisée.</w:t>
      </w:r>
    </w:p>
    <w:p w14:paraId="2048B537" w14:textId="77777777" w:rsidR="00100256" w:rsidRPr="00100256" w:rsidRDefault="00100256" w:rsidP="00100256">
      <w:pPr>
        <w:widowControl w:val="0"/>
        <w:spacing w:after="120"/>
        <w:rPr>
          <w:rFonts w:ascii="Times New Roman" w:hAnsi="Times New Roman"/>
        </w:rPr>
      </w:pPr>
      <w:r>
        <w:rPr>
          <w:rFonts w:ascii="Times New Roman" w:hAnsi="Times New Roman"/>
        </w:rPr>
        <w:t>Deuxièmement, dans sa résolution, le Parlement condamne toutes les formes de haine et de violence, de même que toutes les agressions physiques et verbales ciblant la communauté LGBTIQ en Slovaquie et dans l’</w:t>
      </w:r>
      <w:bookmarkStart w:id="2" w:name="_Int_IsArFV4U"/>
      <w:r>
        <w:rPr>
          <w:rFonts w:ascii="Times New Roman" w:hAnsi="Times New Roman"/>
        </w:rPr>
        <w:t>UE</w:t>
      </w:r>
      <w:bookmarkEnd w:id="2"/>
      <w:r>
        <w:rPr>
          <w:rFonts w:ascii="Times New Roman" w:hAnsi="Times New Roman"/>
        </w:rPr>
        <w:t>. Il exprime sa vive préoccupation quant à la fréquence des discours haineux dans le débat public en Slovaquie.</w:t>
      </w:r>
    </w:p>
    <w:p w14:paraId="205CB18F" w14:textId="77777777" w:rsidR="00100256" w:rsidRPr="00100256" w:rsidRDefault="00100256" w:rsidP="00100256">
      <w:pPr>
        <w:widowControl w:val="0"/>
        <w:spacing w:after="120"/>
        <w:rPr>
          <w:rFonts w:ascii="Times New Roman" w:hAnsi="Times New Roman"/>
        </w:rPr>
      </w:pPr>
      <w:r>
        <w:rPr>
          <w:rFonts w:ascii="Times New Roman" w:hAnsi="Times New Roman"/>
        </w:rPr>
        <w:t>Troisièmement, dans sa résolution, le Parlement exhorte tant les institutions slovaques que l’UE en général à prendre des mesures spécifiques pour lutter contre la discrimination fondée sur l’orientation sexuelle, l’identité de genre, l’expression de genre ou les caractéristiques sexuelles. Le Parlement prie instamment les autorités slovaques de mener des campagnes d’information non stéréotypées, d’enquêter sur les discours de haine et les crimes haineux à l’égard des personnes LGBTIQ en Slovaquie, ainsi que de garantir l’égalité des droits, y compris la reconnaissance des relations entre personnes de même sexe, et un cadre juridique pour la reconnaissance du genre. Il est également demandé à la Commission d’intensifier son soutien à la société civile et les efforts qu’elle déploie pour lutter contre la désinformation.</w:t>
      </w:r>
    </w:p>
    <w:p w14:paraId="1F1485BB" w14:textId="77777777" w:rsidR="00100256" w:rsidRPr="00100256" w:rsidRDefault="00100256" w:rsidP="00100256">
      <w:pPr>
        <w:widowControl w:val="0"/>
        <w:numPr>
          <w:ilvl w:val="0"/>
          <w:numId w:val="32"/>
        </w:numPr>
        <w:ind w:left="567" w:hanging="567"/>
        <w:rPr>
          <w:rFonts w:ascii="Times New Roman" w:hAnsi="Times New Roman"/>
        </w:rPr>
      </w:pPr>
      <w:r>
        <w:rPr>
          <w:rFonts w:ascii="Times New Roman" w:hAnsi="Times New Roman"/>
          <w:b/>
        </w:rPr>
        <w:t>Réponse à ces demandes et aperçu des mesures que la Commission a prises ou envisage de prendre</w:t>
      </w:r>
      <w:r>
        <w:rPr>
          <w:rFonts w:ascii="Times New Roman" w:hAnsi="Times New Roman"/>
        </w:rPr>
        <w:t xml:space="preserve"> </w:t>
      </w:r>
    </w:p>
    <w:p w14:paraId="715B150C" w14:textId="77777777" w:rsidR="00100256" w:rsidRPr="00100256" w:rsidRDefault="00100256" w:rsidP="00100256">
      <w:pPr>
        <w:widowControl w:val="0"/>
        <w:spacing w:after="120"/>
        <w:rPr>
          <w:rFonts w:ascii="Times New Roman" w:hAnsi="Times New Roman"/>
          <w:bCs/>
          <w:u w:val="single"/>
        </w:rPr>
      </w:pPr>
      <w:r>
        <w:rPr>
          <w:rFonts w:ascii="Times New Roman" w:hAnsi="Times New Roman"/>
          <w:u w:val="single"/>
        </w:rPr>
        <w:t>Au paragraphe 3, il est demandé à la Commission d’adopter une position forte et résolue contre la haine, la violence et l’injustice en Europe</w:t>
      </w:r>
    </w:p>
    <w:p w14:paraId="4E435D74" w14:textId="77777777" w:rsidR="00100256" w:rsidRPr="00100256" w:rsidRDefault="00100256" w:rsidP="00100256">
      <w:pPr>
        <w:numPr>
          <w:ilvl w:val="0"/>
          <w:numId w:val="1"/>
        </w:numPr>
        <w:spacing w:after="120"/>
        <w:ind w:left="360"/>
        <w:rPr>
          <w:rFonts w:ascii="Times New Roman" w:hAnsi="Times New Roman" w:cs="Arial"/>
          <w:szCs w:val="24"/>
        </w:rPr>
      </w:pPr>
      <w:r>
        <w:rPr>
          <w:rFonts w:ascii="Times New Roman" w:hAnsi="Times New Roman"/>
        </w:rPr>
        <w:t>La Commission veille à ce que soit mise en œuvre intégralement et de façon appropriée la décision-cadre 2008/913/JHA du Conseil sur la lutte contre certaines formes et manifestations de racisme et de xénophobie au moyen du droit pénal. À cette fin, la Commission a poursuivi son dialogue avec les autorités nationales et, depuis 2020, a engagé des procédures d’infraction à l’égard de 13 États membres.</w:t>
      </w:r>
    </w:p>
    <w:p w14:paraId="0964FACB" w14:textId="77777777" w:rsidR="00100256" w:rsidRPr="00100256" w:rsidRDefault="00100256" w:rsidP="00100256">
      <w:pPr>
        <w:numPr>
          <w:ilvl w:val="0"/>
          <w:numId w:val="1"/>
        </w:numPr>
        <w:spacing w:after="120"/>
        <w:ind w:left="360"/>
        <w:rPr>
          <w:rFonts w:ascii="Times New Roman" w:hAnsi="Times New Roman" w:cs="Arial"/>
          <w:szCs w:val="24"/>
        </w:rPr>
      </w:pPr>
      <w:r>
        <w:rPr>
          <w:rFonts w:ascii="Times New Roman" w:hAnsi="Times New Roman"/>
        </w:rPr>
        <w:t xml:space="preserve">De plus, la Commission veille à la mise en œuvre de la directive 2000/78/CE du Conseil, qui interdit la discrimination et le harcèlement fondés, notamment, sur l’orientation sexuelle, dans le domaine de l’emploi et du travail. La Commission est </w:t>
      </w:r>
      <w:r>
        <w:rPr>
          <w:rFonts w:ascii="Times New Roman" w:hAnsi="Times New Roman"/>
        </w:rPr>
        <w:lastRenderedPageBreak/>
        <w:t>fermement résolue à défendre une interprétation large de cette directive et à en garantir une application effective.</w:t>
      </w:r>
    </w:p>
    <w:p w14:paraId="01F5F473" w14:textId="77777777" w:rsidR="00100256" w:rsidRPr="00100256" w:rsidRDefault="00100256" w:rsidP="00100256">
      <w:pPr>
        <w:numPr>
          <w:ilvl w:val="0"/>
          <w:numId w:val="1"/>
        </w:numPr>
        <w:spacing w:after="120"/>
        <w:ind w:left="360"/>
        <w:rPr>
          <w:rFonts w:ascii="Times New Roman" w:hAnsi="Times New Roman" w:cs="Arial"/>
          <w:szCs w:val="24"/>
        </w:rPr>
      </w:pPr>
      <w:r>
        <w:rPr>
          <w:rFonts w:ascii="Times New Roman" w:hAnsi="Times New Roman"/>
        </w:rPr>
        <w:t>Le 9 décembre 2021, la Commission a adopté une communication, accompagnée d’un projet de décision du Conseil en annexe, visant à étendre la liste actuelle des «domaines de criminalité» de l’UE figurant à l’article 83, paragraphe 1, du traité sur le fonctionnement de l’Union européenne (TFUE) pour y inclure les discours et les crimes de haine. En cas d’adoption de cette décision du Conseil, la Commission devrait être en mesure, dans un deuxième temps, de proposer une législation dérivée qui permettrait à l’UE de criminaliser, outre le racisme et la xénophobie, d’autres formes de discours et de crimes de haine.</w:t>
      </w:r>
    </w:p>
    <w:p w14:paraId="0F60D0EF" w14:textId="70ED1EB2" w:rsidR="00100256" w:rsidRPr="00100256" w:rsidRDefault="00100256" w:rsidP="00100256">
      <w:pPr>
        <w:numPr>
          <w:ilvl w:val="0"/>
          <w:numId w:val="1"/>
        </w:numPr>
        <w:spacing w:after="120"/>
        <w:ind w:left="360"/>
        <w:rPr>
          <w:rFonts w:ascii="Times New Roman" w:hAnsi="Times New Roman" w:cs="Arial"/>
          <w:szCs w:val="24"/>
        </w:rPr>
      </w:pPr>
      <w:r>
        <w:rPr>
          <w:rFonts w:ascii="Times New Roman" w:hAnsi="Times New Roman"/>
        </w:rPr>
        <w:t xml:space="preserve">Le groupe </w:t>
      </w:r>
      <w:bookmarkStart w:id="3" w:name="_Int_rkArvd7S"/>
      <w:r>
        <w:rPr>
          <w:rFonts w:ascii="Times New Roman" w:hAnsi="Times New Roman"/>
        </w:rPr>
        <w:t>de haut niveau</w:t>
      </w:r>
      <w:bookmarkEnd w:id="3"/>
      <w:r>
        <w:rPr>
          <w:rFonts w:ascii="Times New Roman" w:hAnsi="Times New Roman"/>
        </w:rPr>
        <w:t xml:space="preserve"> sur la lutte contre les discours et les crimes de haine piloté par la Commission est en place depuis 2016 et constitue un espace de dialogue et d’échange de bonnes pratiques entre les autorités nationales. Un volet de la dernière réunion en date du groupe </w:t>
      </w:r>
      <w:bookmarkStart w:id="4" w:name="_Int_SauMxSBc"/>
      <w:r>
        <w:rPr>
          <w:rFonts w:ascii="Times New Roman" w:hAnsi="Times New Roman"/>
        </w:rPr>
        <w:t>de haut niveau</w:t>
      </w:r>
      <w:bookmarkEnd w:id="4"/>
      <w:r>
        <w:rPr>
          <w:rFonts w:ascii="Times New Roman" w:hAnsi="Times New Roman"/>
        </w:rPr>
        <w:t>, qui s’est tenue en juin 2021, était consacré à la lutte contre les crimes et discours de haine visant la communauté LGBTIQ, et a permis de mettre en avant des pratiques prometteuses émanant tant des États membres que d’organisations de la société civile. La Commission continue de financer, au titre du programme «Citoyens, égalité, droits et valeurs», des initiatives visant à lutter contre les crimes et les discours de haine et à renforcer l’égalité de traitement à l'égard des personnes LGBTIQ. Dans sa stratégie 2020-2025 en faveur de l’égalité de traitement à l’égard des personnes LGBTIQ, la Commission s’est engagée à promouvoir le recours au Fonds social européen plus (FSE+) pour améliorer la situation socio</w:t>
      </w:r>
      <w:r>
        <w:rPr>
          <w:rFonts w:ascii="Times New Roman" w:hAnsi="Times New Roman"/>
        </w:rPr>
        <w:noBreakHyphen/>
        <w:t>économique des personnes LGBTIQ les plus marginalisées et pour élaborer des initiatives axées sur des groupes spécifiques, tels que les personnes lesbiennes, gays, bisexuelles, transgenres et intersexuées.</w:t>
      </w:r>
    </w:p>
    <w:p w14:paraId="103C0970" w14:textId="73954CE1" w:rsidR="00100256" w:rsidRPr="00100256" w:rsidRDefault="00100256" w:rsidP="00100256">
      <w:pPr>
        <w:numPr>
          <w:ilvl w:val="0"/>
          <w:numId w:val="1"/>
        </w:numPr>
        <w:spacing w:after="120"/>
        <w:ind w:left="360"/>
        <w:rPr>
          <w:rFonts w:ascii="Times New Roman" w:hAnsi="Times New Roman" w:cs="Arial"/>
          <w:szCs w:val="24"/>
        </w:rPr>
      </w:pPr>
      <w:r>
        <w:rPr>
          <w:rFonts w:ascii="Times New Roman" w:hAnsi="Times New Roman"/>
        </w:rPr>
        <w:t xml:space="preserve">En outre, en 2016, la Commission a mis sur pied un code de conduite non contraignant pour la lutte contre les discours haineux illégaux, en collaboration avec les grandes entreprises </w:t>
      </w:r>
      <w:bookmarkStart w:id="5" w:name="_Int_havSm25L"/>
      <w:r>
        <w:rPr>
          <w:rFonts w:ascii="Times New Roman" w:hAnsi="Times New Roman"/>
        </w:rPr>
        <w:t>informatiques</w:t>
      </w:r>
      <w:bookmarkEnd w:id="5"/>
      <w:r>
        <w:rPr>
          <w:rFonts w:ascii="Times New Roman" w:hAnsi="Times New Roman"/>
        </w:rPr>
        <w:t>, afin de faire face aux défis posés par la haine en ligne</w:t>
      </w:r>
      <w:r>
        <w:t>.</w:t>
      </w:r>
      <w:r>
        <w:rPr>
          <w:rFonts w:ascii="Times New Roman" w:hAnsi="Times New Roman"/>
        </w:rPr>
        <w:t xml:space="preserve"> Par ailleurs, la législation sur les services numériques adoptée constituera également une étape importante dans la lutte contre la haine en ligne.</w:t>
      </w:r>
    </w:p>
    <w:p w14:paraId="6A42D265" w14:textId="77777777" w:rsidR="00100256" w:rsidRPr="00100256" w:rsidRDefault="00100256" w:rsidP="00100256">
      <w:pPr>
        <w:widowControl w:val="0"/>
        <w:spacing w:after="120"/>
        <w:rPr>
          <w:rFonts w:ascii="Times New Roman" w:hAnsi="Times New Roman"/>
          <w:bCs/>
          <w:u w:val="single"/>
        </w:rPr>
      </w:pPr>
      <w:r>
        <w:rPr>
          <w:rFonts w:ascii="Times New Roman" w:hAnsi="Times New Roman"/>
          <w:u w:val="single"/>
        </w:rPr>
        <w:t xml:space="preserve">Au paragraphe 13, la Commission est invitée à donner la priorité au suivi des </w:t>
      </w:r>
      <w:bookmarkStart w:id="6" w:name="_Hlk120555919"/>
      <w:r>
        <w:rPr>
          <w:rFonts w:ascii="Times New Roman" w:hAnsi="Times New Roman"/>
          <w:u w:val="single"/>
        </w:rPr>
        <w:t>discours anti</w:t>
      </w:r>
      <w:r>
        <w:rPr>
          <w:rFonts w:ascii="Times New Roman" w:hAnsi="Times New Roman"/>
          <w:u w:val="single"/>
        </w:rPr>
        <w:noBreakHyphen/>
        <w:t xml:space="preserve">LGBTIQ+ </w:t>
      </w:r>
      <w:bookmarkEnd w:id="6"/>
      <w:r>
        <w:rPr>
          <w:rFonts w:ascii="Times New Roman" w:hAnsi="Times New Roman"/>
          <w:u w:val="single"/>
        </w:rPr>
        <w:t>dans leur volonté de désinformation</w:t>
      </w:r>
    </w:p>
    <w:p w14:paraId="208E5C30" w14:textId="77777777" w:rsidR="00100256" w:rsidRPr="00100256" w:rsidRDefault="00100256" w:rsidP="00100256">
      <w:pPr>
        <w:numPr>
          <w:ilvl w:val="0"/>
          <w:numId w:val="1"/>
        </w:numPr>
        <w:spacing w:after="120"/>
        <w:ind w:left="360"/>
        <w:rPr>
          <w:rFonts w:ascii="Times New Roman" w:hAnsi="Times New Roman" w:cs="Arial"/>
          <w:szCs w:val="24"/>
        </w:rPr>
      </w:pPr>
      <w:r>
        <w:rPr>
          <w:rFonts w:ascii="Times New Roman" w:hAnsi="Times New Roman"/>
        </w:rPr>
        <w:t xml:space="preserve">La lutte contre les discours anti-LGBTIQ est un processus pluridimensionnel. À cet égard, la Commission prend les mesures qui s’imposent dans les domaines de la transparence politique, de la désinformation en ligne, ainsi que de la manipulation de l’information </w:t>
      </w:r>
      <w:bookmarkStart w:id="7" w:name="_Int_AHiSEYWO"/>
      <w:bookmarkEnd w:id="7"/>
      <w:r>
        <w:rPr>
          <w:rFonts w:ascii="Times New Roman" w:hAnsi="Times New Roman"/>
        </w:rPr>
        <w:t>et de l’ingérence étrangères.</w:t>
      </w:r>
    </w:p>
    <w:p w14:paraId="10735BB5" w14:textId="7F3FCCF5" w:rsidR="00100256" w:rsidRPr="00100256" w:rsidRDefault="00100256" w:rsidP="00100256">
      <w:pPr>
        <w:numPr>
          <w:ilvl w:val="0"/>
          <w:numId w:val="1"/>
        </w:numPr>
        <w:spacing w:after="120"/>
        <w:ind w:left="360"/>
        <w:rPr>
          <w:rFonts w:ascii="Times New Roman" w:hAnsi="Times New Roman" w:cs="Arial"/>
          <w:szCs w:val="24"/>
        </w:rPr>
      </w:pPr>
      <w:r>
        <w:rPr>
          <w:rFonts w:ascii="Times New Roman" w:hAnsi="Times New Roman"/>
        </w:rPr>
        <w:t>En novembre 2021, la Commission a présenté une proposition de règlement sur la transparence de la publicité à caractère politique, qui répond à la priorité consistant à promouvoir des processus électoraux libres, réguliers et résilients. Il s’agit de garantir un niveau élevé de transparence dans la fourniture de services de publicité à caractère politique sur le marché intérieur, ainsi que le respect des exigences en matière de techniques de ciblage et d’amplification. La proposition prévoit, entre autres, des protections supplémentaires spécifiques des droits individuels en ce qui concerne les données à caractère personnel dans le contexte du ciblage et de l’amplification de la publicité à caractère politique</w:t>
      </w:r>
      <w:r>
        <w:rPr>
          <w:rFonts w:ascii="Times New Roman" w:hAnsi="Times New Roman"/>
          <w:szCs w:val="24"/>
          <w:vertAlign w:val="superscript"/>
        </w:rPr>
        <w:footnoteReference w:id="2"/>
      </w:r>
      <w:r>
        <w:rPr>
          <w:rFonts w:ascii="Times New Roman" w:hAnsi="Times New Roman"/>
        </w:rPr>
        <w:t xml:space="preserve">, et soutient le droit fondamental d’être informé de </w:t>
      </w:r>
      <w:r>
        <w:rPr>
          <w:rFonts w:ascii="Times New Roman" w:hAnsi="Times New Roman"/>
        </w:rPr>
        <w:lastRenderedPageBreak/>
        <w:t>manière objective, transparente et pluraliste, y compris pour ce qui est des politiques touchant les personnes LGBTIQ ou présentant un intérêt particulier pour ces dernières.</w:t>
      </w:r>
    </w:p>
    <w:p w14:paraId="3491E00F" w14:textId="15127DCB" w:rsidR="00100256" w:rsidRPr="00100256" w:rsidRDefault="00100256" w:rsidP="00100256">
      <w:pPr>
        <w:numPr>
          <w:ilvl w:val="0"/>
          <w:numId w:val="1"/>
        </w:numPr>
        <w:spacing w:after="120"/>
        <w:ind w:left="360"/>
        <w:rPr>
          <w:rFonts w:ascii="Times New Roman" w:hAnsi="Times New Roman" w:cs="Arial"/>
          <w:szCs w:val="24"/>
        </w:rPr>
      </w:pPr>
      <w:r>
        <w:rPr>
          <w:rFonts w:ascii="Times New Roman" w:hAnsi="Times New Roman"/>
        </w:rPr>
        <w:t>La proposition de la Commission visant à protéger les journalistes et les défenseurs des droits participant au débat public contre les procédures judiciaires manifestement infondées ou abusives («poursuites stratégiques visant à entraver le débat public») contribue également à la défense du droit à la liberté d’expression et d’information, y compris à la défense de la liberté et du pluralisme des médias, notamment en ce qui concerne les informations relatives à la communauté LGBTIQ. Elle vise à garantir que les défenseurs des droits fondamentaux des personnes LGBTIQ, notamment, puissent participer activement à la vie publique sans craindre de faire l’objet d’intimidations.</w:t>
      </w:r>
    </w:p>
    <w:p w14:paraId="5B4D66DB" w14:textId="4E64A67E" w:rsidR="00100256" w:rsidRPr="00100256" w:rsidRDefault="00100256" w:rsidP="00100256">
      <w:pPr>
        <w:numPr>
          <w:ilvl w:val="0"/>
          <w:numId w:val="1"/>
        </w:numPr>
        <w:spacing w:after="120"/>
        <w:ind w:left="360"/>
        <w:rPr>
          <w:rFonts w:ascii="Times New Roman" w:hAnsi="Times New Roman"/>
          <w:szCs w:val="24"/>
        </w:rPr>
      </w:pPr>
      <w:r>
        <w:rPr>
          <w:rFonts w:ascii="Times New Roman" w:hAnsi="Times New Roman"/>
        </w:rPr>
        <w:t xml:space="preserve">La lutte contre les contenus illicites et la désinformation en ligne demeure une priorité essentielle de la Commission. La Commission a proposé un cadre strict et solide étayé par un certain nombre d’initiatives visant à lutter contre les discours de haine, la désinformation et autres </w:t>
      </w:r>
      <w:r>
        <w:rPr>
          <w:rFonts w:ascii="Times New Roman" w:hAnsi="Times New Roman"/>
          <w:i/>
        </w:rPr>
        <w:t>comportements en ligne</w:t>
      </w:r>
      <w:r>
        <w:rPr>
          <w:rFonts w:ascii="Times New Roman" w:hAnsi="Times New Roman"/>
        </w:rPr>
        <w:t xml:space="preserve"> qui suscitent la peur, l’anxiété et la haine, ou stigmatisent les minorités.</w:t>
      </w:r>
      <w:r>
        <w:rPr>
          <w:rFonts w:ascii="Times New Roman" w:hAnsi="Times New Roman"/>
          <w:i/>
        </w:rPr>
        <w:t xml:space="preserve"> Afin de garantir l’efficacité des actions et de la mise en œuvre de la responsabilité en matière de modération des contenus en ligne, la Commission</w:t>
      </w:r>
      <w:r>
        <w:rPr>
          <w:rFonts w:ascii="Times New Roman" w:hAnsi="Times New Roman"/>
        </w:rPr>
        <w:t xml:space="preserve"> a adapté son cadre législatif pour les intermédiaires en ligne, y compris les plateformes, dans le cadre de la législation sur les services numériques (DSA). La DSA comprend également des règles innovantes permettant aux très grandes plateformes en ligne d’évaluer et de traiter toute une série de risques sociétaux, y compris les incidences négatives sur les droits fondamentaux tels que le droit à la non</w:t>
      </w:r>
      <w:r>
        <w:rPr>
          <w:rFonts w:ascii="Times New Roman" w:hAnsi="Times New Roman"/>
        </w:rPr>
        <w:noBreakHyphen/>
        <w:t xml:space="preserve">discrimination, ou les incidences négatives graves sur le bien-être physique et mental. La Commission a également progressé en ce qui concerne les mesures ciblées non contraignantes. Le code de bonnes pratiques renforcé contre la désinformation, notamment, fondé sur les orientations de la Commission de 2021 et publié en juin de l’année dernière, est au cœur de nos efforts. La Commission attend des fournisseurs de plateformes en ligne qu’ils prennent les mesures qui s’imposent pour garantir le respect de la législation sur les services numériques et honorent leurs engagements à l’égard du code de bonnes pratiques contre la désinformation de 2022. </w:t>
      </w:r>
    </w:p>
    <w:p w14:paraId="436FBD5E" w14:textId="77777777" w:rsidR="00100256" w:rsidRPr="00100256" w:rsidRDefault="00100256" w:rsidP="00100256">
      <w:pPr>
        <w:numPr>
          <w:ilvl w:val="0"/>
          <w:numId w:val="1"/>
        </w:numPr>
        <w:spacing w:after="120"/>
        <w:ind w:left="360"/>
        <w:rPr>
          <w:rFonts w:ascii="Times New Roman" w:hAnsi="Times New Roman"/>
          <w:szCs w:val="24"/>
        </w:rPr>
      </w:pPr>
      <w:r>
        <w:rPr>
          <w:rFonts w:ascii="Times New Roman" w:hAnsi="Times New Roman"/>
        </w:rPr>
        <w:t>La Commission veille à la bonne transposition et à l’application rigoureuse de la directive révisée sur les services de médias audiovisuels, qui renforce la protection contre les contenus incitant à la haine ou à la violence et interdit les communications commerciales audiovisuelles qui incluent ou encouragent tout type de discrimination, y compris la discrimination fondée sur le sexe et l’orientation sexuelle. Elle travaille actuellement à l’élaboration du rapport de mise en œuvre qui étudiera l’application de la directive par les États membres.</w:t>
      </w:r>
    </w:p>
    <w:p w14:paraId="30C0A8E0" w14:textId="77777777" w:rsidR="00100256" w:rsidRPr="00100256" w:rsidRDefault="00100256" w:rsidP="00100256">
      <w:pPr>
        <w:numPr>
          <w:ilvl w:val="0"/>
          <w:numId w:val="1"/>
        </w:numPr>
        <w:spacing w:after="120"/>
        <w:ind w:left="360"/>
        <w:rPr>
          <w:rFonts w:ascii="Times New Roman" w:hAnsi="Times New Roman"/>
          <w:szCs w:val="24"/>
        </w:rPr>
      </w:pPr>
      <w:r>
        <w:rPr>
          <w:rFonts w:ascii="Times New Roman" w:hAnsi="Times New Roman"/>
        </w:rPr>
        <w:t>La manipulation de l’information et l’ingérence étrangères, y compris la désinformation en ce qui concerne les communautés LGBTIQ, ont été traditionnellement utilisées et délibérément exploitées pour semer la désunion parmi les populations, à l’intérieur et à l’extérieur de l’Europe. Les discours sur les «valeurs menacées»</w:t>
      </w:r>
      <w:r>
        <w:rPr>
          <w:rFonts w:ascii="Times New Roman" w:hAnsi="Times New Roman"/>
          <w:szCs w:val="24"/>
          <w:vertAlign w:val="superscript"/>
        </w:rPr>
        <w:footnoteReference w:id="3"/>
      </w:r>
      <w:r>
        <w:rPr>
          <w:rFonts w:ascii="Times New Roman" w:hAnsi="Times New Roman"/>
        </w:rPr>
        <w:t xml:space="preserve">, mis en évidence par la </w:t>
      </w:r>
      <w:r>
        <w:rPr>
          <w:rFonts w:ascii="Times New Roman" w:hAnsi="Times New Roman"/>
          <w:i/>
          <w:iCs/>
        </w:rPr>
        <w:t>East StratCom Task Force</w:t>
      </w:r>
      <w:r>
        <w:rPr>
          <w:rFonts w:ascii="Times New Roman" w:hAnsi="Times New Roman"/>
        </w:rPr>
        <w:t xml:space="preserve"> (cellule de communication stratégique à destination de l'Europe orientale) du Service européen </w:t>
      </w:r>
      <w:r>
        <w:rPr>
          <w:rFonts w:ascii="Times New Roman" w:hAnsi="Times New Roman"/>
        </w:rPr>
        <w:lastRenderedPageBreak/>
        <w:t>pour l’action extérieure [</w:t>
      </w:r>
      <w:hyperlink r:id="rId11" w:history="1">
        <w:r>
          <w:rPr>
            <w:rFonts w:ascii="Times New Roman" w:hAnsi="Times New Roman"/>
            <w:color w:val="0000FF"/>
            <w:u w:val="single"/>
          </w:rPr>
          <w:t>Rapport des activités de la Taskforce Stratcom pour l’année 2021</w:t>
        </w:r>
      </w:hyperlink>
      <w:r>
        <w:rPr>
          <w:rFonts w:ascii="Times New Roman" w:hAnsi="Times New Roman"/>
        </w:rPr>
        <w:t xml:space="preserve">], débités à l’égard d’un large éventail de sujets, sont généralement utilisés pour dénoncer les positions progressives des Occidentaux à l’égard des droits des femmes, des minorités ethniques et religieuses et des groupes LGBTIQ, entre autres. Les discours de haine à l’égard des personnes LGBTIQ </w:t>
      </w:r>
      <w:bookmarkStart w:id="8" w:name="_Int_uWK7Q4TT"/>
      <w:r>
        <w:rPr>
          <w:rFonts w:ascii="Times New Roman" w:hAnsi="Times New Roman"/>
        </w:rPr>
        <w:t>entretiennent</w:t>
      </w:r>
      <w:bookmarkEnd w:id="8"/>
      <w:r>
        <w:rPr>
          <w:rFonts w:ascii="Times New Roman" w:hAnsi="Times New Roman"/>
        </w:rPr>
        <w:t xml:space="preserve"> l’image négative qui est donnée d’eux dans la société, les font passer pour des ennemis et les présentent comme un danger pour les valeurs traditionnelles. Au final, ces discours </w:t>
      </w:r>
      <w:bookmarkStart w:id="9" w:name="_Int_0RkRfwFB"/>
      <w:r>
        <w:rPr>
          <w:rFonts w:ascii="Times New Roman" w:hAnsi="Times New Roman"/>
        </w:rPr>
        <w:t>nuisent à</w:t>
      </w:r>
      <w:bookmarkEnd w:id="9"/>
      <w:r>
        <w:rPr>
          <w:rFonts w:ascii="Times New Roman" w:hAnsi="Times New Roman"/>
        </w:rPr>
        <w:t xml:space="preserve"> la qualité de notre démocratie et mettent en danger la vie des personnes LGBTIQ en incitant aux crimes de haine, par la diffusion de discours haineux et la propagation de la désinformation sur les questions de genres. Il convient d’étudier en profondeur et de prendre davantage en considération la nature de cette menace, de manière à élaborer des mesures stratégiques et des recommandations adaptées. </w:t>
      </w:r>
      <w:bookmarkStart w:id="10" w:name="_Int_r0KBXuZh"/>
      <w:r>
        <w:rPr>
          <w:rFonts w:ascii="Times New Roman" w:hAnsi="Times New Roman"/>
        </w:rPr>
        <w:t>Il</w:t>
      </w:r>
      <w:bookmarkEnd w:id="10"/>
      <w:r>
        <w:rPr>
          <w:rFonts w:ascii="Times New Roman" w:hAnsi="Times New Roman"/>
        </w:rPr>
        <w:t xml:space="preserve"> est primordial de comprendre la corrélation entre cette menace et la sécurité humaine/nationale/de l’Union, et ses effets sur les valeurs et les droits de l’homme ainsi que sur la population de l’UE. Il est également nécessaire de renforcer la résilience de la société au moyen de campagnes d’éducation aux médias et à l’information.</w:t>
      </w:r>
    </w:p>
    <w:p w14:paraId="6A1B582A" w14:textId="77777777" w:rsidR="00100256" w:rsidRPr="00100256" w:rsidRDefault="00100256" w:rsidP="00100256">
      <w:pPr>
        <w:widowControl w:val="0"/>
        <w:spacing w:after="120"/>
        <w:rPr>
          <w:rFonts w:ascii="Times New Roman" w:hAnsi="Times New Roman"/>
          <w:bCs/>
          <w:u w:val="single"/>
        </w:rPr>
      </w:pPr>
      <w:r>
        <w:rPr>
          <w:rFonts w:ascii="Times New Roman" w:hAnsi="Times New Roman"/>
          <w:u w:val="single"/>
        </w:rPr>
        <w:t>Au paragraphe 16, la Commission est invitée à aider la société civile, à l’échelon européen, national, régional et local, à renforcer la démocratie, l’état de droit et les droits fondamentaux</w:t>
      </w:r>
    </w:p>
    <w:p w14:paraId="36122557" w14:textId="77777777" w:rsidR="00100256" w:rsidRPr="00100256" w:rsidRDefault="00100256" w:rsidP="00100256">
      <w:pPr>
        <w:numPr>
          <w:ilvl w:val="0"/>
          <w:numId w:val="1"/>
        </w:numPr>
        <w:spacing w:after="120"/>
        <w:ind w:left="360"/>
        <w:rPr>
          <w:rFonts w:ascii="Times New Roman" w:hAnsi="Times New Roman" w:cs="Arial"/>
          <w:szCs w:val="24"/>
        </w:rPr>
      </w:pPr>
      <w:r>
        <w:rPr>
          <w:rFonts w:ascii="Times New Roman" w:hAnsi="Times New Roman"/>
        </w:rPr>
        <w:t>L’un des principaux objectifs de la stratégie de la Commission visant à renforcer l’application de la Charte des droits fondamentaux dans l’UE, adoptée en décembre 2020, est de favoriser un environnement propice aux organisations de la société civile. La Commission utilise une boîte à outils pour protéger et soutenir les organisations de la société civile et les défenseurs des droits, et élargir leurs moyens d'action. Il s’agit notamment de surveiller l’évolution de la situation et d’en rendre compte, y compris pour ce qui est des rapports sur l’état de droit, d’agir en cas de violation du droit de l’Union et de la charte des droits fondamentaux de l’UE, d’apporter un soutien financier et d’instaurer un dialogue constant. Toutes ces actions s’inscrivent dans le cadre d’une politique cohérente menée de manière coordonnée afin de les rendre les plus efficaces possible.</w:t>
      </w:r>
    </w:p>
    <w:p w14:paraId="712F4B86" w14:textId="77777777" w:rsidR="00100256" w:rsidRPr="00100256" w:rsidRDefault="00100256" w:rsidP="00100256">
      <w:pPr>
        <w:numPr>
          <w:ilvl w:val="0"/>
          <w:numId w:val="1"/>
        </w:numPr>
        <w:spacing w:after="120"/>
        <w:ind w:left="360"/>
        <w:rPr>
          <w:rFonts w:ascii="Times New Roman" w:hAnsi="Times New Roman" w:cs="Arial"/>
          <w:szCs w:val="24"/>
        </w:rPr>
      </w:pPr>
      <w:r>
        <w:rPr>
          <w:rFonts w:ascii="Times New Roman" w:hAnsi="Times New Roman"/>
        </w:rPr>
        <w:t>La Commission soutient les acteurs de la société civile de manière globale par l’intermédiaire du programme «Citoyens, égalité, droits et valeurs» (CERV). Doté d’une enveloppe de 1,55 milliard d’euros, le nouveau programme CERV est le plus grand fonds jamais créé en faveur des droits de l’homme dans l’Union européenne. Il vise à contribuer à soutenir et à poursuivre l’édification de sociétés basées sur l’état de droit qui soient ouvertes, fondées sur les droits, démocratiques, égalitaires et inclusives. Le programme est essentiellement conçu pour soutenir les organisations de la société civile, en mettant particulièrement l’accent sur les organisations de la société civile agissant à l’échelle locale et sur le terrain. En 2021 et 2022, le programme a permis de soutenir près de 1 500 organisations de la société civile, pour un montant de 131 millions d’euros dans l’ensemble des 27 États membres de l’UE. La Commission continuera d’axer son action sur les organisations de la société civile dans le programme de travail 2023-2024.</w:t>
      </w:r>
    </w:p>
    <w:p w14:paraId="3E715A7A" w14:textId="77777777" w:rsidR="00100256" w:rsidRPr="00100256" w:rsidRDefault="00100256" w:rsidP="00100256">
      <w:pPr>
        <w:spacing w:after="120"/>
        <w:rPr>
          <w:rFonts w:ascii="Times New Roman" w:hAnsi="Times New Roman"/>
          <w:u w:val="single"/>
        </w:rPr>
      </w:pPr>
      <w:r>
        <w:rPr>
          <w:rFonts w:ascii="Times New Roman" w:hAnsi="Times New Roman"/>
          <w:u w:val="single"/>
        </w:rPr>
        <w:t>Au paragraphe 17, la Commission est invitée à élargir le contenu du rapport annuel sur l’état de droit afin qu’il aborde systématiquement les droits fondamentaux, dont les droits des personnes LGBTIQ+</w:t>
      </w:r>
    </w:p>
    <w:p w14:paraId="0FD2B0C8" w14:textId="1DA8CB78" w:rsidR="51E35365" w:rsidRPr="00100256" w:rsidRDefault="00100256" w:rsidP="00100256">
      <w:pPr>
        <w:rPr>
          <w:rFonts w:ascii="Times New Roman" w:hAnsi="Times New Roman"/>
        </w:rPr>
      </w:pPr>
      <w:r>
        <w:rPr>
          <w:rFonts w:ascii="Times New Roman" w:hAnsi="Times New Roman"/>
        </w:rPr>
        <w:t xml:space="preserve">La Commission souligne que le rapport sur l’état de droit s’inscrit dans un effort plus large au niveau de l’Union visant à renforcer les valeurs fondatrices de l’Union, notamment la démocratie, l’égalité et le respect des droits fondamentaux. Le rapport est complété par une série d’autres initiatives, dont le plan d’action pour la démocratie européenne, la </w:t>
      </w:r>
      <w:r>
        <w:rPr>
          <w:rFonts w:ascii="Times New Roman" w:hAnsi="Times New Roman"/>
        </w:rPr>
        <w:lastRenderedPageBreak/>
        <w:t>stratégie renouvelée pour la mise en œuvre de la charte des droits fondamentaux, et des stratégies ciblées visant à répondre aux besoins des plus vulnérables. Un autre aspect connexe consiste à contrôler l’application du droit de l’Union (</w:t>
      </w:r>
      <w:hyperlink r:id="rId12" w:history="1">
        <w:r>
          <w:rPr>
            <w:rFonts w:ascii="Times New Roman" w:hAnsi="Times New Roman"/>
            <w:color w:val="0000FF"/>
            <w:u w:val="single"/>
          </w:rPr>
          <w:t>Rapport annuel sur le contrôle de l’application du droit de l’Union</w:t>
        </w:r>
      </w:hyperlink>
      <w:r>
        <w:rPr>
          <w:rFonts w:ascii="Times New Roman" w:hAnsi="Times New Roman"/>
        </w:rPr>
        <w:t xml:space="preserve">) et la protection des droits fondamentaux consacrés par la Charte, y compris en recourant aux procédures d’infraction. </w:t>
      </w:r>
      <w:r>
        <w:rPr>
          <w:rFonts w:ascii="Times New Roman" w:hAnsi="Times New Roman"/>
          <w:color w:val="000000"/>
          <w:shd w:val="clear" w:color="auto" w:fill="FFFFFF"/>
        </w:rPr>
        <w:t>Dans le cadre des actions de sensibilisation à la nécessité de garantir l’égalité de traitement et la non</w:t>
      </w:r>
      <w:r>
        <w:rPr>
          <w:rFonts w:ascii="Times New Roman" w:hAnsi="Times New Roman"/>
          <w:color w:val="000000"/>
          <w:shd w:val="clear" w:color="auto" w:fill="FFFFFF"/>
        </w:rPr>
        <w:noBreakHyphen/>
        <w:t>discrimination à l’égard des personnes LGBTIQ, la Commission a mené une campagne sur la charte des droits fondamentaux, axée notamment sur le principe de non</w:t>
      </w:r>
      <w:r>
        <w:rPr>
          <w:rFonts w:ascii="Times New Roman" w:hAnsi="Times New Roman"/>
          <w:color w:val="000000"/>
          <w:shd w:val="clear" w:color="auto" w:fill="FFFFFF"/>
        </w:rPr>
        <w:noBreakHyphen/>
        <w:t>discrimination [</w:t>
      </w:r>
      <w:hyperlink r:id="rId13" w:anchor="paragraphe_128" w:history="1">
        <w:r>
          <w:rPr>
            <w:rFonts w:ascii="Times New Roman" w:hAnsi="Times New Roman"/>
            <w:color w:val="0000FF"/>
            <w:u w:val="single"/>
          </w:rPr>
          <w:t>#RightHereRightNow</w:t>
        </w:r>
      </w:hyperlink>
      <w:r>
        <w:rPr>
          <w:rFonts w:ascii="Times New Roman" w:hAnsi="Times New Roman"/>
          <w:color w:val="000000"/>
          <w:shd w:val="clear" w:color="auto" w:fill="FFFFFF"/>
        </w:rPr>
        <w:t xml:space="preserve">]. En décembre 2022, la Commission a publié le </w:t>
      </w:r>
      <w:hyperlink r:id="rId14" w:history="1">
        <w:r>
          <w:rPr>
            <w:rFonts w:ascii="Times New Roman" w:hAnsi="Times New Roman"/>
            <w:color w:val="0000FF"/>
            <w:u w:val="single"/>
            <w:shd w:val="clear" w:color="auto" w:fill="FFFFFF"/>
          </w:rPr>
          <w:t>rapport annuel sur l’application de la charte</w:t>
        </w:r>
      </w:hyperlink>
      <w:r>
        <w:rPr>
          <w:rFonts w:ascii="Times New Roman" w:hAnsi="Times New Roman"/>
          <w:color w:val="000000"/>
          <w:shd w:val="clear" w:color="auto" w:fill="FFFFFF"/>
        </w:rPr>
        <w:t>, qui met l’accent sur l’espace civique et son rôle dans la protection et la promotion des droits fondamentaux consacrés par la charte. Le rapport aborde également les aspects liés à la communauté LGBTIQ et la situation particulière des organisations LGBTIQ dans certains États membres.  </w:t>
      </w:r>
      <w:r>
        <w:rPr>
          <w:rFonts w:ascii="Times New Roman" w:hAnsi="Times New Roman"/>
        </w:rPr>
        <w:t>Cette variété d’instruments garantit la promotion et le respect des valeurs de la démocratie, de l’état de droit et des droits fondamentaux.</w:t>
      </w:r>
    </w:p>
    <w:sectPr w:rsidR="51E35365" w:rsidRPr="00100256" w:rsidSect="000A07D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2BB2" w14:textId="77777777" w:rsidR="008B0CE8" w:rsidRDefault="008B0CE8">
      <w:r>
        <w:separator/>
      </w:r>
    </w:p>
  </w:endnote>
  <w:endnote w:type="continuationSeparator" w:id="0">
    <w:p w14:paraId="1F767EA6" w14:textId="77777777" w:rsidR="008B0CE8" w:rsidRDefault="008B0CE8">
      <w:r>
        <w:continuationSeparator/>
      </w:r>
    </w:p>
  </w:endnote>
  <w:endnote w:type="continuationNotice" w:id="1">
    <w:p w14:paraId="41D983F8" w14:textId="77777777" w:rsidR="008B0CE8" w:rsidRDefault="008B0C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6218"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5A39BBE3"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055D4FA4"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6A05A809"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397326"/>
      <w:docPartObj>
        <w:docPartGallery w:val="Page Numbers (Bottom of Page)"/>
        <w:docPartUnique/>
      </w:docPartObj>
    </w:sdtPr>
    <w:sdtEndPr>
      <w:rPr>
        <w:noProof/>
      </w:rPr>
    </w:sdtEndPr>
    <w:sdtContent>
      <w:p w14:paraId="190EFD82" w14:textId="224BAC9C" w:rsidR="00FB26D9" w:rsidRDefault="00FB26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BD6828" w14:textId="64AC88B8" w:rsidR="005E6EC2" w:rsidRPr="003B720A" w:rsidRDefault="005E6EC2" w:rsidP="003B7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B5CC" w14:textId="77777777" w:rsidR="008B0CE8" w:rsidRDefault="008B0CE8">
      <w:r>
        <w:separator/>
      </w:r>
    </w:p>
  </w:footnote>
  <w:footnote w:type="continuationSeparator" w:id="0">
    <w:p w14:paraId="2604D36D" w14:textId="77777777" w:rsidR="008B0CE8" w:rsidRDefault="008B0CE8">
      <w:r>
        <w:continuationSeparator/>
      </w:r>
    </w:p>
  </w:footnote>
  <w:footnote w:type="continuationNotice" w:id="1">
    <w:p w14:paraId="1BD2EB72" w14:textId="77777777" w:rsidR="008B0CE8" w:rsidRDefault="008B0CE8">
      <w:pPr>
        <w:spacing w:after="0"/>
      </w:pPr>
    </w:p>
  </w:footnote>
  <w:footnote w:id="2">
    <w:p w14:paraId="6F928991" w14:textId="77777777" w:rsidR="00100256" w:rsidRPr="00B744CB" w:rsidRDefault="00100256" w:rsidP="00100256">
      <w:pPr>
        <w:pStyle w:val="FootnoteText"/>
        <w:spacing w:after="0"/>
      </w:pPr>
      <w:r>
        <w:rPr>
          <w:rStyle w:val="FootnoteReference"/>
        </w:rPr>
        <w:footnoteRef/>
      </w:r>
      <w:r>
        <w:t>)</w:t>
      </w:r>
      <w:r>
        <w:tab/>
      </w:r>
      <w:r>
        <w:rPr>
          <w:rFonts w:ascii="Times New Roman" w:hAnsi="Times New Roman"/>
        </w:rPr>
        <w:t>On entend par techniques de ciblage ou d’amplification les techniques utilisées soit pour adresser à une personne ou à un groupe de personnes spécifiques une publicité à caractère politique conçue spécialement pour elles, soit pour augmenter la diffusion, la portée ou la visibilité d’une publicité à caractère politiques. Compte tenu du pouvoir et du risque d’utilisation impropre des données à caractère personnel associés au ciblage, ces techniques (micro-ciblage ou autres techniques avancées) peuvent représenter des menaces particulières pour les intérêts publics légitimes, tels que l’équité, l’égalité des chances et la transparence dans le cadre du processus électoral, et le droit fondamental d’être informé d’une manière objective, transparente et pluraliste.</w:t>
      </w:r>
    </w:p>
  </w:footnote>
  <w:footnote w:id="3">
    <w:p w14:paraId="63B46ABF" w14:textId="77777777" w:rsidR="00100256" w:rsidRPr="00FB26D9" w:rsidRDefault="00100256" w:rsidP="00100256">
      <w:pPr>
        <w:rPr>
          <w:rFonts w:ascii="Times New Roman" w:hAnsi="Times New Roman"/>
          <w:lang w:val="en-IE"/>
        </w:rPr>
      </w:pPr>
      <w:r>
        <w:rPr>
          <w:rStyle w:val="FootnoteReference"/>
          <w:rFonts w:ascii="Times New Roman" w:hAnsi="Times New Roman"/>
        </w:rPr>
        <w:footnoteRef/>
      </w:r>
      <w:r w:rsidRPr="00FB26D9">
        <w:rPr>
          <w:rFonts w:ascii="Times New Roman" w:hAnsi="Times New Roman"/>
          <w:lang w:val="en-IE"/>
        </w:rPr>
        <w:t xml:space="preserve"> </w:t>
      </w:r>
      <w:r w:rsidRPr="00FB26D9">
        <w:rPr>
          <w:lang w:val="en-IE"/>
        </w:rPr>
        <w:tab/>
      </w:r>
      <w:hyperlink r:id="rId1" w:history="1">
        <w:r w:rsidRPr="00FB26D9">
          <w:rPr>
            <w:rStyle w:val="Hyperlink"/>
            <w:rFonts w:ascii="Times New Roman" w:hAnsi="Times New Roman"/>
            <w:sz w:val="20"/>
            <w:lang w:val="en-IE"/>
          </w:rPr>
          <w:t>Key Narratives in Pro-Kremlin Disinformation Part 2:</w:t>
        </w:r>
      </w:hyperlink>
      <w:hyperlink r:id="rId2" w:history="1">
        <w:r w:rsidRPr="00FB26D9">
          <w:rPr>
            <w:rStyle w:val="Hyperlink"/>
            <w:rFonts w:ascii="Times New Roman" w:hAnsi="Times New Roman"/>
            <w:sz w:val="20"/>
            <w:lang w:val="en-IE"/>
          </w:rPr>
          <w:t xml:space="preserve"> The ‘Threatened Values’ - EUvsDisinfo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0AB1" w14:textId="77777777" w:rsidR="003B720A" w:rsidRDefault="003B7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0FFA" w14:textId="77777777" w:rsidR="003B720A" w:rsidRDefault="003B7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4392" w14:textId="77777777" w:rsidR="003B720A" w:rsidRDefault="003B720A">
    <w:pPr>
      <w:pStyle w:val="Header"/>
    </w:pPr>
  </w:p>
</w:hdr>
</file>

<file path=word/intelligence2.xml><?xml version="1.0" encoding="utf-8"?>
<int2:intelligence xmlns:int2="http://schemas.microsoft.com/office/intelligence/2020/intelligence" xmlns:oel="http://schemas.microsoft.com/office/2019/extlst">
  <int2:observations>
    <int2:textHash int2:hashCode="aZbq4xcXILUZRR" int2:id="QgCpzFx5">
      <int2:state int2:value="Rejected" int2:type="LegacyProofing"/>
    </int2:textHash>
    <int2:textHash int2:hashCode="tNLM/QI3G9hOSx" int2:id="8kYFmEHr">
      <int2:state int2:value="Rejected" int2:type="LegacyProofing"/>
    </int2:textHash>
    <int2:textHash int2:hashCode="kByidkXaRxGvMx" int2:id="Q12v7ewo">
      <int2:state int2:value="Rejected" int2:type="LegacyProofing"/>
    </int2:textHash>
    <int2:textHash int2:hashCode="ni8UUdXdlt6RIo" int2:id="Jrp6638m">
      <int2:state int2:value="Rejected" int2:type="LegacyProofing"/>
    </int2:textHash>
    <int2:bookmark int2:bookmarkName="_Int_jjgPd8IY" int2:invalidationBookmarkName="" int2:hashCode="7jz5vbHp12hq9I" int2:id="uaAjG1rO"/>
    <int2:bookmark int2:bookmarkName="_Int_vjjgPFDH" int2:invalidationBookmarkName="" int2:hashCode="RoHRJMxsS3O6q/" int2:id="Y365UPmB"/>
    <int2:bookmark int2:bookmarkName="_Int_AHiSEYWO" int2:invalidationBookmarkName="" int2:hashCode="fy+/Sr0aU5ljCZ" int2:id="6hflzKJd"/>
    <int2:bookmark int2:bookmarkName="_Int_r0KBXuZh" int2:invalidationBookmarkName="" int2:hashCode="0ahQmAtWBDElnu" int2:id="YDPWxOmv"/>
    <int2:bookmark int2:bookmarkName="_Int_0RkRfwFB" int2:invalidationBookmarkName="" int2:hashCode="T+jLsOIiJ0ruGi" int2:id="6X6jp6vz"/>
    <int2:bookmark int2:bookmarkName="_Int_uWK7Q4TT" int2:invalidationBookmarkName="" int2:hashCode="oKMjdA87OIQi19" int2:id="ZAyxi9dt">
      <int2:state int2:value="Rejected" int2:type="LegacyProofing"/>
    </int2:bookmark>
    <int2:bookmark int2:bookmarkName="_Int_havSm25L" int2:invalidationBookmarkName="" int2:hashCode="VCIDGlI1MAKq5J" int2:id="WFtKG5wr">
      <int2:state int2:value="Rejected" int2:type="AugLoop_Acronyms_AcronymsCritique"/>
    </int2:bookmark>
    <int2:bookmark int2:bookmarkName="_Int_rkArvd7S" int2:invalidationBookmarkName="" int2:hashCode="xHAofLN52pbCk6" int2:id="RKZj5wou">
      <int2:state int2:value="Rejected" int2:type="LegacyProofing"/>
    </int2:bookmark>
    <int2:bookmark int2:bookmarkName="_Int_SauMxSBc" int2:invalidationBookmarkName="" int2:hashCode="xHAofLN52pbCk6" int2:id="3kPrFN1m">
      <int2:state int2:value="Rejected" int2:type="LegacyProofing"/>
    </int2:bookmark>
    <int2:bookmark int2:bookmarkName="_Int_IsArFV4U" int2:invalidationBookmarkName="" int2:hashCode="yC0bCc8yKRdh1N" int2:id="bfydERiA">
      <int2:state int2:value="Rejected" int2:type="AugLoop_Acronyms_AcronymsCritique"/>
    </int2:bookmark>
    <int2:bookmark int2:bookmarkName="_Int_VIAOxJuv" int2:invalidationBookmarkName="" int2:hashCode="rdE8zhk+dRBUGd" int2:id="cGNX1tkg">
      <int2:state int2:value="Rejected" int2:type="LegacyProofing"/>
    </int2:bookmark>
    <int2:bookmark int2:bookmarkName="_Int_auKXQUK4" int2:invalidationBookmarkName="" int2:hashCode="m69g35bDQGmQ65" int2:id="zOke7WR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996626"/>
    <w:multiLevelType w:val="hybridMultilevel"/>
    <w:tmpl w:val="167E1E8A"/>
    <w:lvl w:ilvl="0" w:tplc="1F961EDC">
      <w:start w:val="1"/>
      <w:numFmt w:val="bullet"/>
      <w:pStyle w:val="Date"/>
      <w:lvlText w:val=""/>
      <w:lvlJc w:val="left"/>
      <w:pPr>
        <w:tabs>
          <w:tab w:val="num" w:pos="2564"/>
        </w:tabs>
        <w:ind w:left="256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675FD9"/>
    <w:multiLevelType w:val="hybridMultilevel"/>
    <w:tmpl w:val="852A2D2E"/>
    <w:lvl w:ilvl="0" w:tplc="A63CD124">
      <w:start w:val="1"/>
      <w:numFmt w:val="bullet"/>
      <w:lvlText w:val=""/>
      <w:lvlJc w:val="left"/>
      <w:pPr>
        <w:ind w:left="720" w:hanging="360"/>
      </w:pPr>
      <w:rPr>
        <w:rFonts w:ascii="Symbol" w:hAnsi="Symbol" w:hint="default"/>
      </w:rPr>
    </w:lvl>
    <w:lvl w:ilvl="1" w:tplc="DEFA972E">
      <w:start w:val="1"/>
      <w:numFmt w:val="bullet"/>
      <w:lvlText w:val="o"/>
      <w:lvlJc w:val="left"/>
      <w:pPr>
        <w:ind w:left="1440" w:hanging="360"/>
      </w:pPr>
      <w:rPr>
        <w:rFonts w:ascii="Courier New" w:hAnsi="Courier New" w:hint="default"/>
      </w:rPr>
    </w:lvl>
    <w:lvl w:ilvl="2" w:tplc="3A6CB49A">
      <w:start w:val="1"/>
      <w:numFmt w:val="bullet"/>
      <w:lvlText w:val=""/>
      <w:lvlJc w:val="left"/>
      <w:pPr>
        <w:ind w:left="2160" w:hanging="360"/>
      </w:pPr>
      <w:rPr>
        <w:rFonts w:ascii="Wingdings" w:hAnsi="Wingdings" w:hint="default"/>
      </w:rPr>
    </w:lvl>
    <w:lvl w:ilvl="3" w:tplc="EAEE717A">
      <w:start w:val="1"/>
      <w:numFmt w:val="bullet"/>
      <w:lvlText w:val=""/>
      <w:lvlJc w:val="left"/>
      <w:pPr>
        <w:ind w:left="2880" w:hanging="360"/>
      </w:pPr>
      <w:rPr>
        <w:rFonts w:ascii="Symbol" w:hAnsi="Symbol" w:hint="default"/>
      </w:rPr>
    </w:lvl>
    <w:lvl w:ilvl="4" w:tplc="C2607C10">
      <w:start w:val="1"/>
      <w:numFmt w:val="bullet"/>
      <w:lvlText w:val="o"/>
      <w:lvlJc w:val="left"/>
      <w:pPr>
        <w:ind w:left="3600" w:hanging="360"/>
      </w:pPr>
      <w:rPr>
        <w:rFonts w:ascii="Courier New" w:hAnsi="Courier New" w:hint="default"/>
      </w:rPr>
    </w:lvl>
    <w:lvl w:ilvl="5" w:tplc="FC20FF4A">
      <w:start w:val="1"/>
      <w:numFmt w:val="bullet"/>
      <w:lvlText w:val=""/>
      <w:lvlJc w:val="left"/>
      <w:pPr>
        <w:ind w:left="4320" w:hanging="360"/>
      </w:pPr>
      <w:rPr>
        <w:rFonts w:ascii="Wingdings" w:hAnsi="Wingdings" w:hint="default"/>
      </w:rPr>
    </w:lvl>
    <w:lvl w:ilvl="6" w:tplc="7A6C1B80">
      <w:start w:val="1"/>
      <w:numFmt w:val="bullet"/>
      <w:lvlText w:val=""/>
      <w:lvlJc w:val="left"/>
      <w:pPr>
        <w:ind w:left="5040" w:hanging="360"/>
      </w:pPr>
      <w:rPr>
        <w:rFonts w:ascii="Symbol" w:hAnsi="Symbol" w:hint="default"/>
      </w:rPr>
    </w:lvl>
    <w:lvl w:ilvl="7" w:tplc="6B0E71A6">
      <w:start w:val="1"/>
      <w:numFmt w:val="bullet"/>
      <w:lvlText w:val="o"/>
      <w:lvlJc w:val="left"/>
      <w:pPr>
        <w:ind w:left="5760" w:hanging="360"/>
      </w:pPr>
      <w:rPr>
        <w:rFonts w:ascii="Courier New" w:hAnsi="Courier New" w:hint="default"/>
      </w:rPr>
    </w:lvl>
    <w:lvl w:ilvl="8" w:tplc="78363152">
      <w:start w:val="1"/>
      <w:numFmt w:val="bullet"/>
      <w:lvlText w:val=""/>
      <w:lvlJc w:val="left"/>
      <w:pPr>
        <w:ind w:left="6480" w:hanging="360"/>
      </w:pPr>
      <w:rPr>
        <w:rFonts w:ascii="Wingdings" w:hAnsi="Wingdings" w:hint="default"/>
      </w:rPr>
    </w:lvl>
  </w:abstractNum>
  <w:abstractNum w:abstractNumId="16" w15:restartNumberingAfterBreak="0">
    <w:nsid w:val="32151586"/>
    <w:multiLevelType w:val="hybridMultilevel"/>
    <w:tmpl w:val="87FAFE4C"/>
    <w:lvl w:ilvl="0" w:tplc="5D64367C">
      <w:start w:val="1"/>
      <w:numFmt w:val="bullet"/>
      <w:lvlText w:val=""/>
      <w:lvlJc w:val="left"/>
      <w:pPr>
        <w:ind w:left="720" w:hanging="360"/>
      </w:pPr>
      <w:rPr>
        <w:rFonts w:ascii="Symbol" w:hAnsi="Symbol" w:hint="default"/>
      </w:rPr>
    </w:lvl>
    <w:lvl w:ilvl="1" w:tplc="9514BC16">
      <w:start w:val="1"/>
      <w:numFmt w:val="bullet"/>
      <w:lvlText w:val="o"/>
      <w:lvlJc w:val="left"/>
      <w:pPr>
        <w:ind w:left="1440" w:hanging="360"/>
      </w:pPr>
      <w:rPr>
        <w:rFonts w:ascii="Courier New" w:hAnsi="Courier New" w:hint="default"/>
      </w:rPr>
    </w:lvl>
    <w:lvl w:ilvl="2" w:tplc="2876896C">
      <w:start w:val="1"/>
      <w:numFmt w:val="bullet"/>
      <w:lvlText w:val=""/>
      <w:lvlJc w:val="left"/>
      <w:pPr>
        <w:ind w:left="2160" w:hanging="360"/>
      </w:pPr>
      <w:rPr>
        <w:rFonts w:ascii="Wingdings" w:hAnsi="Wingdings" w:hint="default"/>
      </w:rPr>
    </w:lvl>
    <w:lvl w:ilvl="3" w:tplc="8AFC8444">
      <w:start w:val="1"/>
      <w:numFmt w:val="bullet"/>
      <w:lvlText w:val=""/>
      <w:lvlJc w:val="left"/>
      <w:pPr>
        <w:ind w:left="2880" w:hanging="360"/>
      </w:pPr>
      <w:rPr>
        <w:rFonts w:ascii="Symbol" w:hAnsi="Symbol" w:hint="default"/>
      </w:rPr>
    </w:lvl>
    <w:lvl w:ilvl="4" w:tplc="888C0E60">
      <w:start w:val="1"/>
      <w:numFmt w:val="bullet"/>
      <w:lvlText w:val="o"/>
      <w:lvlJc w:val="left"/>
      <w:pPr>
        <w:ind w:left="3600" w:hanging="360"/>
      </w:pPr>
      <w:rPr>
        <w:rFonts w:ascii="Courier New" w:hAnsi="Courier New" w:hint="default"/>
      </w:rPr>
    </w:lvl>
    <w:lvl w:ilvl="5" w:tplc="E0604712">
      <w:start w:val="1"/>
      <w:numFmt w:val="bullet"/>
      <w:lvlText w:val=""/>
      <w:lvlJc w:val="left"/>
      <w:pPr>
        <w:ind w:left="4320" w:hanging="360"/>
      </w:pPr>
      <w:rPr>
        <w:rFonts w:ascii="Wingdings" w:hAnsi="Wingdings" w:hint="default"/>
      </w:rPr>
    </w:lvl>
    <w:lvl w:ilvl="6" w:tplc="DAF8D97A">
      <w:start w:val="1"/>
      <w:numFmt w:val="bullet"/>
      <w:lvlText w:val=""/>
      <w:lvlJc w:val="left"/>
      <w:pPr>
        <w:ind w:left="5040" w:hanging="360"/>
      </w:pPr>
      <w:rPr>
        <w:rFonts w:ascii="Symbol" w:hAnsi="Symbol" w:hint="default"/>
      </w:rPr>
    </w:lvl>
    <w:lvl w:ilvl="7" w:tplc="A7B8C91C">
      <w:start w:val="1"/>
      <w:numFmt w:val="bullet"/>
      <w:lvlText w:val="o"/>
      <w:lvlJc w:val="left"/>
      <w:pPr>
        <w:ind w:left="5760" w:hanging="360"/>
      </w:pPr>
      <w:rPr>
        <w:rFonts w:ascii="Courier New" w:hAnsi="Courier New" w:hint="default"/>
      </w:rPr>
    </w:lvl>
    <w:lvl w:ilvl="8" w:tplc="F048AA4A">
      <w:start w:val="1"/>
      <w:numFmt w:val="bullet"/>
      <w:lvlText w:val=""/>
      <w:lvlJc w:val="left"/>
      <w:pPr>
        <w:ind w:left="6480" w:hanging="360"/>
      </w:pPr>
      <w:rPr>
        <w:rFonts w:ascii="Wingdings" w:hAnsi="Wingdings" w:hint="default"/>
      </w:rPr>
    </w:lvl>
  </w:abstractNum>
  <w:abstractNum w:abstractNumId="17"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987889"/>
    <w:multiLevelType w:val="hybridMultilevel"/>
    <w:tmpl w:val="70F618CC"/>
    <w:lvl w:ilvl="0" w:tplc="9252C428">
      <w:start w:val="1"/>
      <w:numFmt w:val="bullet"/>
      <w:lvlText w:val=""/>
      <w:lvlJc w:val="left"/>
      <w:pPr>
        <w:ind w:left="720" w:hanging="360"/>
      </w:pPr>
      <w:rPr>
        <w:rFonts w:ascii="Symbol" w:hAnsi="Symbol" w:hint="default"/>
      </w:rPr>
    </w:lvl>
    <w:lvl w:ilvl="1" w:tplc="D77AFAF0">
      <w:start w:val="1"/>
      <w:numFmt w:val="bullet"/>
      <w:lvlText w:val="o"/>
      <w:lvlJc w:val="left"/>
      <w:pPr>
        <w:ind w:left="1440" w:hanging="360"/>
      </w:pPr>
      <w:rPr>
        <w:rFonts w:ascii="Courier New" w:hAnsi="Courier New" w:hint="default"/>
      </w:rPr>
    </w:lvl>
    <w:lvl w:ilvl="2" w:tplc="855A5810">
      <w:start w:val="1"/>
      <w:numFmt w:val="bullet"/>
      <w:lvlText w:val=""/>
      <w:lvlJc w:val="left"/>
      <w:pPr>
        <w:ind w:left="2160" w:hanging="360"/>
      </w:pPr>
      <w:rPr>
        <w:rFonts w:ascii="Wingdings" w:hAnsi="Wingdings" w:hint="default"/>
      </w:rPr>
    </w:lvl>
    <w:lvl w:ilvl="3" w:tplc="EB34B198">
      <w:start w:val="1"/>
      <w:numFmt w:val="bullet"/>
      <w:lvlText w:val=""/>
      <w:lvlJc w:val="left"/>
      <w:pPr>
        <w:ind w:left="2880" w:hanging="360"/>
      </w:pPr>
      <w:rPr>
        <w:rFonts w:ascii="Symbol" w:hAnsi="Symbol" w:hint="default"/>
      </w:rPr>
    </w:lvl>
    <w:lvl w:ilvl="4" w:tplc="8C063A90">
      <w:start w:val="1"/>
      <w:numFmt w:val="bullet"/>
      <w:lvlText w:val="o"/>
      <w:lvlJc w:val="left"/>
      <w:pPr>
        <w:ind w:left="3600" w:hanging="360"/>
      </w:pPr>
      <w:rPr>
        <w:rFonts w:ascii="Courier New" w:hAnsi="Courier New" w:hint="default"/>
      </w:rPr>
    </w:lvl>
    <w:lvl w:ilvl="5" w:tplc="160AF4BA">
      <w:start w:val="1"/>
      <w:numFmt w:val="bullet"/>
      <w:lvlText w:val=""/>
      <w:lvlJc w:val="left"/>
      <w:pPr>
        <w:ind w:left="4320" w:hanging="360"/>
      </w:pPr>
      <w:rPr>
        <w:rFonts w:ascii="Wingdings" w:hAnsi="Wingdings" w:hint="default"/>
      </w:rPr>
    </w:lvl>
    <w:lvl w:ilvl="6" w:tplc="16727738">
      <w:start w:val="1"/>
      <w:numFmt w:val="bullet"/>
      <w:lvlText w:val=""/>
      <w:lvlJc w:val="left"/>
      <w:pPr>
        <w:ind w:left="5040" w:hanging="360"/>
      </w:pPr>
      <w:rPr>
        <w:rFonts w:ascii="Symbol" w:hAnsi="Symbol" w:hint="default"/>
      </w:rPr>
    </w:lvl>
    <w:lvl w:ilvl="7" w:tplc="2CF2B510">
      <w:start w:val="1"/>
      <w:numFmt w:val="bullet"/>
      <w:lvlText w:val="o"/>
      <w:lvlJc w:val="left"/>
      <w:pPr>
        <w:ind w:left="5760" w:hanging="360"/>
      </w:pPr>
      <w:rPr>
        <w:rFonts w:ascii="Courier New" w:hAnsi="Courier New" w:hint="default"/>
      </w:rPr>
    </w:lvl>
    <w:lvl w:ilvl="8" w:tplc="A3A45FC6">
      <w:start w:val="1"/>
      <w:numFmt w:val="bullet"/>
      <w:lvlText w:val=""/>
      <w:lvlJc w:val="left"/>
      <w:pPr>
        <w:ind w:left="6480" w:hanging="360"/>
      </w:pPr>
      <w:rPr>
        <w:rFonts w:ascii="Wingdings" w:hAnsi="Wingdings" w:hint="default"/>
      </w:rPr>
    </w:lvl>
  </w:abstractNum>
  <w:abstractNum w:abstractNumId="21"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CB8AB7"/>
    <w:multiLevelType w:val="hybridMultilevel"/>
    <w:tmpl w:val="A1E2F0A6"/>
    <w:lvl w:ilvl="0" w:tplc="922C3220">
      <w:start w:val="1"/>
      <w:numFmt w:val="bullet"/>
      <w:lvlText w:val=""/>
      <w:lvlJc w:val="left"/>
      <w:pPr>
        <w:ind w:left="720" w:hanging="360"/>
      </w:pPr>
      <w:rPr>
        <w:rFonts w:ascii="Symbol" w:hAnsi="Symbol" w:hint="default"/>
      </w:rPr>
    </w:lvl>
    <w:lvl w:ilvl="1" w:tplc="3FA871BE">
      <w:start w:val="1"/>
      <w:numFmt w:val="bullet"/>
      <w:lvlText w:val="o"/>
      <w:lvlJc w:val="left"/>
      <w:pPr>
        <w:ind w:left="1440" w:hanging="360"/>
      </w:pPr>
      <w:rPr>
        <w:rFonts w:ascii="Courier New" w:hAnsi="Courier New" w:hint="default"/>
      </w:rPr>
    </w:lvl>
    <w:lvl w:ilvl="2" w:tplc="F51A6F08">
      <w:start w:val="1"/>
      <w:numFmt w:val="bullet"/>
      <w:lvlText w:val=""/>
      <w:lvlJc w:val="left"/>
      <w:pPr>
        <w:ind w:left="2160" w:hanging="360"/>
      </w:pPr>
      <w:rPr>
        <w:rFonts w:ascii="Wingdings" w:hAnsi="Wingdings" w:hint="default"/>
      </w:rPr>
    </w:lvl>
    <w:lvl w:ilvl="3" w:tplc="04C44FB8">
      <w:start w:val="1"/>
      <w:numFmt w:val="bullet"/>
      <w:lvlText w:val=""/>
      <w:lvlJc w:val="left"/>
      <w:pPr>
        <w:ind w:left="2880" w:hanging="360"/>
      </w:pPr>
      <w:rPr>
        <w:rFonts w:ascii="Symbol" w:hAnsi="Symbol" w:hint="default"/>
      </w:rPr>
    </w:lvl>
    <w:lvl w:ilvl="4" w:tplc="959AA5B8">
      <w:start w:val="1"/>
      <w:numFmt w:val="bullet"/>
      <w:lvlText w:val="o"/>
      <w:lvlJc w:val="left"/>
      <w:pPr>
        <w:ind w:left="3600" w:hanging="360"/>
      </w:pPr>
      <w:rPr>
        <w:rFonts w:ascii="Courier New" w:hAnsi="Courier New" w:hint="default"/>
      </w:rPr>
    </w:lvl>
    <w:lvl w:ilvl="5" w:tplc="2A46113C">
      <w:start w:val="1"/>
      <w:numFmt w:val="bullet"/>
      <w:lvlText w:val=""/>
      <w:lvlJc w:val="left"/>
      <w:pPr>
        <w:ind w:left="4320" w:hanging="360"/>
      </w:pPr>
      <w:rPr>
        <w:rFonts w:ascii="Wingdings" w:hAnsi="Wingdings" w:hint="default"/>
      </w:rPr>
    </w:lvl>
    <w:lvl w:ilvl="6" w:tplc="9ABCAF1A">
      <w:start w:val="1"/>
      <w:numFmt w:val="bullet"/>
      <w:lvlText w:val=""/>
      <w:lvlJc w:val="left"/>
      <w:pPr>
        <w:ind w:left="5040" w:hanging="360"/>
      </w:pPr>
      <w:rPr>
        <w:rFonts w:ascii="Symbol" w:hAnsi="Symbol" w:hint="default"/>
      </w:rPr>
    </w:lvl>
    <w:lvl w:ilvl="7" w:tplc="F3E65454">
      <w:start w:val="1"/>
      <w:numFmt w:val="bullet"/>
      <w:lvlText w:val="o"/>
      <w:lvlJc w:val="left"/>
      <w:pPr>
        <w:ind w:left="5760" w:hanging="360"/>
      </w:pPr>
      <w:rPr>
        <w:rFonts w:ascii="Courier New" w:hAnsi="Courier New" w:hint="default"/>
      </w:rPr>
    </w:lvl>
    <w:lvl w:ilvl="8" w:tplc="713C9492">
      <w:start w:val="1"/>
      <w:numFmt w:val="bullet"/>
      <w:lvlText w:val=""/>
      <w:lvlJc w:val="left"/>
      <w:pPr>
        <w:ind w:left="6480" w:hanging="360"/>
      </w:pPr>
      <w:rPr>
        <w:rFonts w:ascii="Wingdings" w:hAnsi="Wingdings" w:hint="default"/>
      </w:rPr>
    </w:lvl>
  </w:abstractNum>
  <w:abstractNum w:abstractNumId="29"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0" w15:restartNumberingAfterBreak="0">
    <w:nsid w:val="717565C2"/>
    <w:multiLevelType w:val="hybridMultilevel"/>
    <w:tmpl w:val="24089EA0"/>
    <w:lvl w:ilvl="0" w:tplc="FB822D2A">
      <w:start w:val="1"/>
      <w:numFmt w:val="bullet"/>
      <w:lvlText w:val=""/>
      <w:lvlJc w:val="left"/>
      <w:pPr>
        <w:ind w:left="720" w:hanging="360"/>
      </w:pPr>
      <w:rPr>
        <w:rFonts w:ascii="Symbol" w:hAnsi="Symbol" w:hint="default"/>
      </w:rPr>
    </w:lvl>
    <w:lvl w:ilvl="1" w:tplc="1A1E44E4">
      <w:start w:val="1"/>
      <w:numFmt w:val="bullet"/>
      <w:lvlText w:val="o"/>
      <w:lvlJc w:val="left"/>
      <w:pPr>
        <w:ind w:left="1440" w:hanging="360"/>
      </w:pPr>
      <w:rPr>
        <w:rFonts w:ascii="Courier New" w:hAnsi="Courier New" w:hint="default"/>
      </w:rPr>
    </w:lvl>
    <w:lvl w:ilvl="2" w:tplc="42647D84">
      <w:start w:val="1"/>
      <w:numFmt w:val="bullet"/>
      <w:lvlText w:val=""/>
      <w:lvlJc w:val="left"/>
      <w:pPr>
        <w:ind w:left="2160" w:hanging="360"/>
      </w:pPr>
      <w:rPr>
        <w:rFonts w:ascii="Wingdings" w:hAnsi="Wingdings" w:hint="default"/>
      </w:rPr>
    </w:lvl>
    <w:lvl w:ilvl="3" w:tplc="D7F80888">
      <w:start w:val="1"/>
      <w:numFmt w:val="bullet"/>
      <w:lvlText w:val=""/>
      <w:lvlJc w:val="left"/>
      <w:pPr>
        <w:ind w:left="2880" w:hanging="360"/>
      </w:pPr>
      <w:rPr>
        <w:rFonts w:ascii="Symbol" w:hAnsi="Symbol" w:hint="default"/>
      </w:rPr>
    </w:lvl>
    <w:lvl w:ilvl="4" w:tplc="AF4ED41A">
      <w:start w:val="1"/>
      <w:numFmt w:val="bullet"/>
      <w:lvlText w:val="o"/>
      <w:lvlJc w:val="left"/>
      <w:pPr>
        <w:ind w:left="3600" w:hanging="360"/>
      </w:pPr>
      <w:rPr>
        <w:rFonts w:ascii="Courier New" w:hAnsi="Courier New" w:hint="default"/>
      </w:rPr>
    </w:lvl>
    <w:lvl w:ilvl="5" w:tplc="8D8CBD66">
      <w:start w:val="1"/>
      <w:numFmt w:val="bullet"/>
      <w:lvlText w:val=""/>
      <w:lvlJc w:val="left"/>
      <w:pPr>
        <w:ind w:left="4320" w:hanging="360"/>
      </w:pPr>
      <w:rPr>
        <w:rFonts w:ascii="Wingdings" w:hAnsi="Wingdings" w:hint="default"/>
      </w:rPr>
    </w:lvl>
    <w:lvl w:ilvl="6" w:tplc="72B4F414">
      <w:start w:val="1"/>
      <w:numFmt w:val="bullet"/>
      <w:lvlText w:val=""/>
      <w:lvlJc w:val="left"/>
      <w:pPr>
        <w:ind w:left="5040" w:hanging="360"/>
      </w:pPr>
      <w:rPr>
        <w:rFonts w:ascii="Symbol" w:hAnsi="Symbol" w:hint="default"/>
      </w:rPr>
    </w:lvl>
    <w:lvl w:ilvl="7" w:tplc="2FE2440A">
      <w:start w:val="1"/>
      <w:numFmt w:val="bullet"/>
      <w:lvlText w:val="o"/>
      <w:lvlJc w:val="left"/>
      <w:pPr>
        <w:ind w:left="5760" w:hanging="360"/>
      </w:pPr>
      <w:rPr>
        <w:rFonts w:ascii="Courier New" w:hAnsi="Courier New" w:hint="default"/>
      </w:rPr>
    </w:lvl>
    <w:lvl w:ilvl="8" w:tplc="B9B037A0">
      <w:start w:val="1"/>
      <w:numFmt w:val="bullet"/>
      <w:lvlText w:val=""/>
      <w:lvlJc w:val="left"/>
      <w:pPr>
        <w:ind w:left="6480" w:hanging="360"/>
      </w:pPr>
      <w:rPr>
        <w:rFonts w:ascii="Wingdings" w:hAnsi="Wingdings" w:hint="default"/>
      </w:rPr>
    </w:lvl>
  </w:abstractNum>
  <w:abstractNum w:abstractNumId="31" w15:restartNumberingAfterBreak="0">
    <w:nsid w:val="746C1691"/>
    <w:multiLevelType w:val="hybridMultilevel"/>
    <w:tmpl w:val="014C1D4E"/>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8"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797261312">
    <w:abstractNumId w:val="15"/>
  </w:num>
  <w:num w:numId="2" w16cid:durableId="331689665">
    <w:abstractNumId w:val="28"/>
  </w:num>
  <w:num w:numId="3" w16cid:durableId="144863082">
    <w:abstractNumId w:val="30"/>
  </w:num>
  <w:num w:numId="4" w16cid:durableId="1420640540">
    <w:abstractNumId w:val="16"/>
  </w:num>
  <w:num w:numId="5" w16cid:durableId="858663652">
    <w:abstractNumId w:val="20"/>
  </w:num>
  <w:num w:numId="6" w16cid:durableId="479659252">
    <w:abstractNumId w:val="7"/>
  </w:num>
  <w:num w:numId="7" w16cid:durableId="1485582781">
    <w:abstractNumId w:val="1"/>
  </w:num>
  <w:num w:numId="8" w16cid:durableId="1889032437">
    <w:abstractNumId w:val="37"/>
  </w:num>
  <w:num w:numId="9" w16cid:durableId="607351373">
    <w:abstractNumId w:val="13"/>
  </w:num>
  <w:num w:numId="10" w16cid:durableId="613556594">
    <w:abstractNumId w:val="29"/>
  </w:num>
  <w:num w:numId="11" w16cid:durableId="548037738">
    <w:abstractNumId w:val="11"/>
  </w:num>
  <w:num w:numId="12" w16cid:durableId="1573196523">
    <w:abstractNumId w:val="5"/>
  </w:num>
  <w:num w:numId="13" w16cid:durableId="2046975687">
    <w:abstractNumId w:val="18"/>
  </w:num>
  <w:num w:numId="14" w16cid:durableId="1143501180">
    <w:abstractNumId w:val="36"/>
  </w:num>
  <w:num w:numId="15" w16cid:durableId="1059087566">
    <w:abstractNumId w:val="24"/>
  </w:num>
  <w:num w:numId="16" w16cid:durableId="901603788">
    <w:abstractNumId w:val="26"/>
  </w:num>
  <w:num w:numId="17" w16cid:durableId="868253439">
    <w:abstractNumId w:val="12"/>
  </w:num>
  <w:num w:numId="18" w16cid:durableId="326860212">
    <w:abstractNumId w:val="19"/>
  </w:num>
  <w:num w:numId="19" w16cid:durableId="1994790705">
    <w:abstractNumId w:val="32"/>
  </w:num>
  <w:num w:numId="20" w16cid:durableId="614796220">
    <w:abstractNumId w:val="17"/>
  </w:num>
  <w:num w:numId="21" w16cid:durableId="713311352">
    <w:abstractNumId w:val="38"/>
  </w:num>
  <w:num w:numId="22" w16cid:durableId="1200825837">
    <w:abstractNumId w:val="35"/>
  </w:num>
  <w:num w:numId="23" w16cid:durableId="1818377738">
    <w:abstractNumId w:val="22"/>
  </w:num>
  <w:num w:numId="24" w16cid:durableId="384259553">
    <w:abstractNumId w:val="23"/>
  </w:num>
  <w:num w:numId="25" w16cid:durableId="956913490">
    <w:abstractNumId w:val="27"/>
  </w:num>
  <w:num w:numId="26" w16cid:durableId="1436246535">
    <w:abstractNumId w:val="3"/>
  </w:num>
  <w:num w:numId="27" w16cid:durableId="1938560344">
    <w:abstractNumId w:val="4"/>
  </w:num>
  <w:num w:numId="28" w16cid:durableId="986545791">
    <w:abstractNumId w:val="21"/>
  </w:num>
  <w:num w:numId="29" w16cid:durableId="228611483">
    <w:abstractNumId w:val="33"/>
  </w:num>
  <w:num w:numId="30" w16cid:durableId="18821566">
    <w:abstractNumId w:val="10"/>
  </w:num>
  <w:num w:numId="31" w16cid:durableId="383911899">
    <w:abstractNumId w:val="34"/>
  </w:num>
  <w:num w:numId="32" w16cid:durableId="1052729509">
    <w:abstractNumId w:val="9"/>
  </w:num>
  <w:num w:numId="33" w16cid:durableId="915214088">
    <w:abstractNumId w:val="2"/>
  </w:num>
  <w:num w:numId="34" w16cid:durableId="1828395020">
    <w:abstractNumId w:val="14"/>
  </w:num>
  <w:num w:numId="35" w16cid:durableId="1179848624">
    <w:abstractNumId w:val="25"/>
  </w:num>
  <w:num w:numId="36" w16cid:durableId="114451750">
    <w:abstractNumId w:val="37"/>
  </w:num>
  <w:num w:numId="37" w16cid:durableId="347030216">
    <w:abstractNumId w:val="31"/>
  </w:num>
  <w:num w:numId="38" w16cid:durableId="134015771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3FD"/>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2F68"/>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733"/>
    <w:rsid w:val="00067C33"/>
    <w:rsid w:val="00067FB5"/>
    <w:rsid w:val="000703CB"/>
    <w:rsid w:val="000703FE"/>
    <w:rsid w:val="000705DD"/>
    <w:rsid w:val="000706D4"/>
    <w:rsid w:val="0007088A"/>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1E1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81"/>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5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157"/>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1B"/>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1EF"/>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04C"/>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049"/>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B67"/>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974"/>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6D4"/>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5DF"/>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3D9"/>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9B0"/>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DCC"/>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EFB"/>
    <w:rsid w:val="003942F1"/>
    <w:rsid w:val="00394705"/>
    <w:rsid w:val="0039480F"/>
    <w:rsid w:val="00394B28"/>
    <w:rsid w:val="00394B89"/>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AC0"/>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20A"/>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D90"/>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0EB9"/>
    <w:rsid w:val="00431096"/>
    <w:rsid w:val="004322D4"/>
    <w:rsid w:val="00432570"/>
    <w:rsid w:val="0043269D"/>
    <w:rsid w:val="00432A76"/>
    <w:rsid w:val="00432F05"/>
    <w:rsid w:val="004330BC"/>
    <w:rsid w:val="00433783"/>
    <w:rsid w:val="0043396B"/>
    <w:rsid w:val="00433C0B"/>
    <w:rsid w:val="00434174"/>
    <w:rsid w:val="0043417D"/>
    <w:rsid w:val="00434472"/>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A7A"/>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79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8AC"/>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22F"/>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95"/>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24"/>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6D"/>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2BC"/>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718"/>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BD0"/>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6D9"/>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1C7"/>
    <w:rsid w:val="00697310"/>
    <w:rsid w:val="00697441"/>
    <w:rsid w:val="006A01DE"/>
    <w:rsid w:val="006A024D"/>
    <w:rsid w:val="006A0927"/>
    <w:rsid w:val="006A0A0A"/>
    <w:rsid w:val="006A0BF3"/>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6A32"/>
    <w:rsid w:val="006F7262"/>
    <w:rsid w:val="006F73B3"/>
    <w:rsid w:val="006F73B4"/>
    <w:rsid w:val="006F73FC"/>
    <w:rsid w:val="006F7524"/>
    <w:rsid w:val="006F7546"/>
    <w:rsid w:val="006F769A"/>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B0B"/>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6FE"/>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51"/>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0AE"/>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073"/>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238"/>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20"/>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B30"/>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D96"/>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BC4"/>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1609"/>
    <w:rsid w:val="008A1BAA"/>
    <w:rsid w:val="008A1BC1"/>
    <w:rsid w:val="008A1E72"/>
    <w:rsid w:val="008A2413"/>
    <w:rsid w:val="008A25A6"/>
    <w:rsid w:val="008A2904"/>
    <w:rsid w:val="008A291F"/>
    <w:rsid w:val="008A29ED"/>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0CE8"/>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B54"/>
    <w:rsid w:val="008C1E17"/>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E40"/>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8B1"/>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7B3"/>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C2"/>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94"/>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8C"/>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3BF"/>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72C"/>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F4"/>
    <w:rsid w:val="00A07980"/>
    <w:rsid w:val="00A07987"/>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00"/>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951"/>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F8"/>
    <w:rsid w:val="00A37EE1"/>
    <w:rsid w:val="00A40124"/>
    <w:rsid w:val="00A403D4"/>
    <w:rsid w:val="00A4047C"/>
    <w:rsid w:val="00A40516"/>
    <w:rsid w:val="00A408FA"/>
    <w:rsid w:val="00A40962"/>
    <w:rsid w:val="00A40B01"/>
    <w:rsid w:val="00A40CB8"/>
    <w:rsid w:val="00A40D3E"/>
    <w:rsid w:val="00A40D81"/>
    <w:rsid w:val="00A40D9A"/>
    <w:rsid w:val="00A41102"/>
    <w:rsid w:val="00A41371"/>
    <w:rsid w:val="00A41400"/>
    <w:rsid w:val="00A41797"/>
    <w:rsid w:val="00A41DD3"/>
    <w:rsid w:val="00A41F51"/>
    <w:rsid w:val="00A42067"/>
    <w:rsid w:val="00A420B2"/>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18"/>
    <w:rsid w:val="00A56B33"/>
    <w:rsid w:val="00A56BE5"/>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699"/>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17F"/>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6EB"/>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478"/>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579"/>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1DC"/>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2DC43"/>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AA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A13"/>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BF8"/>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A51"/>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A99"/>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9D1"/>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459"/>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318"/>
    <w:rsid w:val="00C875F0"/>
    <w:rsid w:val="00C8771A"/>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0FED"/>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4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9B5"/>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59E"/>
    <w:rsid w:val="00D4075C"/>
    <w:rsid w:val="00D4083E"/>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036"/>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00E"/>
    <w:rsid w:val="00D96231"/>
    <w:rsid w:val="00D96714"/>
    <w:rsid w:val="00D969F4"/>
    <w:rsid w:val="00D96AFE"/>
    <w:rsid w:val="00D96EA9"/>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0F6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BCA"/>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B2A"/>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AF6"/>
    <w:rsid w:val="00E50CEC"/>
    <w:rsid w:val="00E50EF3"/>
    <w:rsid w:val="00E5199E"/>
    <w:rsid w:val="00E51B67"/>
    <w:rsid w:val="00E51C6F"/>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28F"/>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BC3"/>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38E"/>
    <w:rsid w:val="00F3348C"/>
    <w:rsid w:val="00F33789"/>
    <w:rsid w:val="00F33841"/>
    <w:rsid w:val="00F338BB"/>
    <w:rsid w:val="00F33B7B"/>
    <w:rsid w:val="00F33BD4"/>
    <w:rsid w:val="00F34561"/>
    <w:rsid w:val="00F34AA8"/>
    <w:rsid w:val="00F34ADB"/>
    <w:rsid w:val="00F35160"/>
    <w:rsid w:val="00F351CA"/>
    <w:rsid w:val="00F35587"/>
    <w:rsid w:val="00F35855"/>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451"/>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6D9"/>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002"/>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037"/>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 w:val="01456DCF"/>
    <w:rsid w:val="01482A43"/>
    <w:rsid w:val="026FF623"/>
    <w:rsid w:val="0288D734"/>
    <w:rsid w:val="02ACFA08"/>
    <w:rsid w:val="03B6937F"/>
    <w:rsid w:val="03E00FC4"/>
    <w:rsid w:val="05D47BB5"/>
    <w:rsid w:val="06A3BBA0"/>
    <w:rsid w:val="074C6A0F"/>
    <w:rsid w:val="07BE3821"/>
    <w:rsid w:val="08A472F0"/>
    <w:rsid w:val="08B098B7"/>
    <w:rsid w:val="08EF6D98"/>
    <w:rsid w:val="09A2A762"/>
    <w:rsid w:val="0AEC28AA"/>
    <w:rsid w:val="0AF88213"/>
    <w:rsid w:val="0B0E4BA1"/>
    <w:rsid w:val="0BAE6B3B"/>
    <w:rsid w:val="0C437D76"/>
    <w:rsid w:val="0C861FE2"/>
    <w:rsid w:val="0DB96907"/>
    <w:rsid w:val="0DCE12B5"/>
    <w:rsid w:val="0E0E8CAA"/>
    <w:rsid w:val="0E99C426"/>
    <w:rsid w:val="0EB56DAE"/>
    <w:rsid w:val="0F406D5D"/>
    <w:rsid w:val="102E267F"/>
    <w:rsid w:val="1388DED1"/>
    <w:rsid w:val="15D5A645"/>
    <w:rsid w:val="16009FB3"/>
    <w:rsid w:val="16964B15"/>
    <w:rsid w:val="16D4C9D8"/>
    <w:rsid w:val="17558BC2"/>
    <w:rsid w:val="17B59871"/>
    <w:rsid w:val="18B73AEA"/>
    <w:rsid w:val="192A2B87"/>
    <w:rsid w:val="195168D2"/>
    <w:rsid w:val="19714D78"/>
    <w:rsid w:val="19D3552E"/>
    <w:rsid w:val="1A530B4B"/>
    <w:rsid w:val="1A66986F"/>
    <w:rsid w:val="1C0268D0"/>
    <w:rsid w:val="1C08587B"/>
    <w:rsid w:val="1C1D73E8"/>
    <w:rsid w:val="1C6AEAD5"/>
    <w:rsid w:val="1D1B6453"/>
    <w:rsid w:val="1E081B1B"/>
    <w:rsid w:val="1EC8AAB0"/>
    <w:rsid w:val="1FF147A2"/>
    <w:rsid w:val="204F296E"/>
    <w:rsid w:val="20E1B95C"/>
    <w:rsid w:val="2639D33F"/>
    <w:rsid w:val="270DAC4C"/>
    <w:rsid w:val="28321056"/>
    <w:rsid w:val="28BDC3A1"/>
    <w:rsid w:val="2927BFB1"/>
    <w:rsid w:val="295D7612"/>
    <w:rsid w:val="29DC34CE"/>
    <w:rsid w:val="29E694B7"/>
    <w:rsid w:val="2ADF9AA1"/>
    <w:rsid w:val="2BD1F77C"/>
    <w:rsid w:val="2CDE0223"/>
    <w:rsid w:val="2D2485F2"/>
    <w:rsid w:val="2D99AC9A"/>
    <w:rsid w:val="2DF57969"/>
    <w:rsid w:val="2F09983E"/>
    <w:rsid w:val="30984059"/>
    <w:rsid w:val="3113B5E7"/>
    <w:rsid w:val="31F4860D"/>
    <w:rsid w:val="325212A7"/>
    <w:rsid w:val="342752CB"/>
    <w:rsid w:val="343D5D0F"/>
    <w:rsid w:val="35D228E6"/>
    <w:rsid w:val="3693D9F3"/>
    <w:rsid w:val="3777F224"/>
    <w:rsid w:val="3807DCC9"/>
    <w:rsid w:val="38C7E711"/>
    <w:rsid w:val="390C68E0"/>
    <w:rsid w:val="39474D1B"/>
    <w:rsid w:val="3A6FACF1"/>
    <w:rsid w:val="3B66A8ED"/>
    <w:rsid w:val="3B92882F"/>
    <w:rsid w:val="3CAB4413"/>
    <w:rsid w:val="3D9B5834"/>
    <w:rsid w:val="3EB5A882"/>
    <w:rsid w:val="409ADAD9"/>
    <w:rsid w:val="409FB7B0"/>
    <w:rsid w:val="40A612AA"/>
    <w:rsid w:val="41118678"/>
    <w:rsid w:val="4137468B"/>
    <w:rsid w:val="4198400A"/>
    <w:rsid w:val="423B8811"/>
    <w:rsid w:val="42AD56D9"/>
    <w:rsid w:val="42C9B0FC"/>
    <w:rsid w:val="434FA389"/>
    <w:rsid w:val="4539E3FE"/>
    <w:rsid w:val="45421A12"/>
    <w:rsid w:val="454E7FC1"/>
    <w:rsid w:val="45F15555"/>
    <w:rsid w:val="468D6AAB"/>
    <w:rsid w:val="4725932D"/>
    <w:rsid w:val="47990BE8"/>
    <w:rsid w:val="4843C2F1"/>
    <w:rsid w:val="487AAE66"/>
    <w:rsid w:val="48B26A8B"/>
    <w:rsid w:val="4CBC49BE"/>
    <w:rsid w:val="4CE7CFAF"/>
    <w:rsid w:val="4D0E33ED"/>
    <w:rsid w:val="4D2DB44B"/>
    <w:rsid w:val="4D99B5BF"/>
    <w:rsid w:val="4DB3A142"/>
    <w:rsid w:val="4F5539E5"/>
    <w:rsid w:val="4F97F62D"/>
    <w:rsid w:val="4FDC6E33"/>
    <w:rsid w:val="5051917F"/>
    <w:rsid w:val="50950251"/>
    <w:rsid w:val="50FECFCA"/>
    <w:rsid w:val="51358C15"/>
    <w:rsid w:val="51E35365"/>
    <w:rsid w:val="523CEEB2"/>
    <w:rsid w:val="524ED3CC"/>
    <w:rsid w:val="52CFEFDA"/>
    <w:rsid w:val="533FB5B0"/>
    <w:rsid w:val="5350B614"/>
    <w:rsid w:val="54C11603"/>
    <w:rsid w:val="54FB5818"/>
    <w:rsid w:val="5658EE98"/>
    <w:rsid w:val="578E8D6C"/>
    <w:rsid w:val="582379D3"/>
    <w:rsid w:val="58907CCB"/>
    <w:rsid w:val="58B8B308"/>
    <w:rsid w:val="58BE5EFB"/>
    <w:rsid w:val="592736D8"/>
    <w:rsid w:val="5A64AB46"/>
    <w:rsid w:val="5B4312DB"/>
    <w:rsid w:val="5B852887"/>
    <w:rsid w:val="5B997503"/>
    <w:rsid w:val="5C15E463"/>
    <w:rsid w:val="5CF33F29"/>
    <w:rsid w:val="604A4A3C"/>
    <w:rsid w:val="609F4BEE"/>
    <w:rsid w:val="61B7917B"/>
    <w:rsid w:val="61BD33D3"/>
    <w:rsid w:val="6263EB56"/>
    <w:rsid w:val="635CD797"/>
    <w:rsid w:val="63B398D2"/>
    <w:rsid w:val="63D2300D"/>
    <w:rsid w:val="642368DF"/>
    <w:rsid w:val="64EF11C7"/>
    <w:rsid w:val="65196968"/>
    <w:rsid w:val="65375722"/>
    <w:rsid w:val="654F8265"/>
    <w:rsid w:val="665C21CE"/>
    <w:rsid w:val="669D8E2F"/>
    <w:rsid w:val="67068472"/>
    <w:rsid w:val="6870ADD3"/>
    <w:rsid w:val="6887E8D9"/>
    <w:rsid w:val="69486F1D"/>
    <w:rsid w:val="6AF13B86"/>
    <w:rsid w:val="6BE712AE"/>
    <w:rsid w:val="6C571D1F"/>
    <w:rsid w:val="6CF13A07"/>
    <w:rsid w:val="6D1FCB20"/>
    <w:rsid w:val="6E1FFF6D"/>
    <w:rsid w:val="6E4FF632"/>
    <w:rsid w:val="6F1D2304"/>
    <w:rsid w:val="6F8379B7"/>
    <w:rsid w:val="6FCBFE2A"/>
    <w:rsid w:val="70FF1EE6"/>
    <w:rsid w:val="712B4A2F"/>
    <w:rsid w:val="71C4AB2A"/>
    <w:rsid w:val="7236CEB4"/>
    <w:rsid w:val="72CAAAD6"/>
    <w:rsid w:val="7340525F"/>
    <w:rsid w:val="7456EADA"/>
    <w:rsid w:val="749D4DA3"/>
    <w:rsid w:val="75FEBB52"/>
    <w:rsid w:val="77411073"/>
    <w:rsid w:val="77822D9F"/>
    <w:rsid w:val="7A3D81C8"/>
    <w:rsid w:val="7AAC78E7"/>
    <w:rsid w:val="7B935973"/>
    <w:rsid w:val="7C9966C1"/>
    <w:rsid w:val="7D066297"/>
    <w:rsid w:val="7E02C796"/>
    <w:rsid w:val="7F255DAE"/>
    <w:rsid w:val="7F5CB471"/>
    <w:rsid w:val="7FA6E359"/>
    <w:rsid w:val="7FD18FA4"/>
    <w:rsid w:val="7FE206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3099F"/>
  <w15:docId w15:val="{BCB6963F-3E03-4A0C-B596-47E8334C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6"/>
      </w:numPr>
      <w:spacing w:before="240"/>
      <w:outlineLvl w:val="0"/>
    </w:pPr>
    <w:rPr>
      <w:b/>
      <w:smallCaps/>
    </w:rPr>
  </w:style>
  <w:style w:type="paragraph" w:styleId="Heading2">
    <w:name w:val="heading 2"/>
    <w:basedOn w:val="Normal"/>
    <w:next w:val="Text2"/>
    <w:qFormat/>
    <w:pPr>
      <w:keepNext/>
      <w:numPr>
        <w:ilvl w:val="1"/>
        <w:numId w:val="6"/>
      </w:numPr>
      <w:outlineLvl w:val="1"/>
    </w:pPr>
    <w:rPr>
      <w:b/>
    </w:rPr>
  </w:style>
  <w:style w:type="paragraph" w:styleId="Heading3">
    <w:name w:val="heading 3"/>
    <w:basedOn w:val="Normal"/>
    <w:next w:val="Text3"/>
    <w:link w:val="Heading3Char"/>
    <w:qFormat/>
    <w:pPr>
      <w:keepNext/>
      <w:numPr>
        <w:ilvl w:val="2"/>
        <w:numId w:val="6"/>
      </w:numPr>
      <w:outlineLvl w:val="2"/>
    </w:pPr>
    <w:rPr>
      <w:i/>
    </w:rPr>
  </w:style>
  <w:style w:type="paragraph" w:styleId="Heading4">
    <w:name w:val="heading 4"/>
    <w:basedOn w:val="Normal"/>
    <w:next w:val="Text4"/>
    <w:qFormat/>
    <w:pPr>
      <w:keepNext/>
      <w:numPr>
        <w:ilvl w:val="3"/>
        <w:numId w:val="6"/>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numPr>
        <w:numId w:val="38"/>
      </w:numPr>
      <w:spacing w:after="0"/>
      <w:ind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7"/>
      </w:numPr>
    </w:pPr>
  </w:style>
  <w:style w:type="paragraph" w:styleId="ListBullet2">
    <w:name w:val="List Bullet 2"/>
    <w:basedOn w:val="Text2"/>
    <w:uiPriority w:val="99"/>
    <w:pPr>
      <w:numPr>
        <w:numId w:val="9"/>
      </w:numPr>
      <w:tabs>
        <w:tab w:val="clear" w:pos="2160"/>
      </w:tabs>
    </w:pPr>
  </w:style>
  <w:style w:type="paragraph" w:styleId="ListBullet3">
    <w:name w:val="List Bullet 3"/>
    <w:basedOn w:val="Text3"/>
    <w:pPr>
      <w:numPr>
        <w:numId w:val="10"/>
      </w:numPr>
      <w:tabs>
        <w:tab w:val="clear" w:pos="2302"/>
      </w:tabs>
    </w:pPr>
  </w:style>
  <w:style w:type="paragraph" w:styleId="ListBullet4">
    <w:name w:val="List Bullet 4"/>
    <w:basedOn w:val="Text4"/>
    <w:pPr>
      <w:numPr>
        <w:numId w:val="11"/>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6"/>
      </w:numPr>
    </w:pPr>
    <w:rPr>
      <w:rFonts w:ascii="Times New Roman" w:hAnsi="Times New Roman"/>
    </w:rPr>
  </w:style>
  <w:style w:type="paragraph" w:styleId="ListNumber2">
    <w:name w:val="List Number 2"/>
    <w:basedOn w:val="Text2"/>
    <w:pPr>
      <w:numPr>
        <w:numId w:val="18"/>
      </w:numPr>
      <w:tabs>
        <w:tab w:val="clear" w:pos="2160"/>
      </w:tabs>
    </w:pPr>
  </w:style>
  <w:style w:type="paragraph" w:styleId="ListNumber3">
    <w:name w:val="List Number 3"/>
    <w:basedOn w:val="Text3"/>
    <w:pPr>
      <w:numPr>
        <w:numId w:val="19"/>
      </w:numPr>
      <w:tabs>
        <w:tab w:val="clear" w:pos="2302"/>
      </w:tabs>
    </w:pPr>
  </w:style>
  <w:style w:type="paragraph" w:styleId="ListNumber4">
    <w:name w:val="List Number 4"/>
    <w:basedOn w:val="Text4"/>
    <w:pPr>
      <w:numPr>
        <w:numId w:val="20"/>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8"/>
      </w:numPr>
    </w:pPr>
  </w:style>
  <w:style w:type="paragraph" w:customStyle="1" w:styleId="ListDash">
    <w:name w:val="List Dash"/>
    <w:basedOn w:val="Normal"/>
    <w:link w:val="ListDashChar"/>
    <w:pPr>
      <w:numPr>
        <w:numId w:val="23"/>
      </w:numPr>
    </w:pPr>
  </w:style>
  <w:style w:type="paragraph" w:customStyle="1" w:styleId="ListDash1">
    <w:name w:val="List Dash 1"/>
    <w:basedOn w:val="Text1"/>
    <w:pPr>
      <w:numPr>
        <w:numId w:val="12"/>
      </w:numPr>
    </w:pPr>
  </w:style>
  <w:style w:type="paragraph" w:customStyle="1" w:styleId="ListDash2">
    <w:name w:val="List Dash 2"/>
    <w:basedOn w:val="Text2"/>
    <w:pPr>
      <w:numPr>
        <w:numId w:val="13"/>
      </w:numPr>
      <w:tabs>
        <w:tab w:val="clear" w:pos="2160"/>
      </w:tabs>
    </w:pPr>
  </w:style>
  <w:style w:type="paragraph" w:customStyle="1" w:styleId="ListDash3">
    <w:name w:val="List Dash 3"/>
    <w:basedOn w:val="Text3"/>
    <w:pPr>
      <w:numPr>
        <w:numId w:val="14"/>
      </w:numPr>
      <w:tabs>
        <w:tab w:val="clear" w:pos="2302"/>
      </w:tabs>
    </w:pPr>
  </w:style>
  <w:style w:type="paragraph" w:customStyle="1" w:styleId="ListDash4">
    <w:name w:val="List Dash 4"/>
    <w:basedOn w:val="Text4"/>
    <w:pPr>
      <w:numPr>
        <w:numId w:val="15"/>
      </w:numPr>
    </w:pPr>
  </w:style>
  <w:style w:type="paragraph" w:customStyle="1" w:styleId="ListNumberLevel2">
    <w:name w:val="List Number (Level 2)"/>
    <w:basedOn w:val="Normal"/>
    <w:pPr>
      <w:numPr>
        <w:ilvl w:val="1"/>
        <w:numId w:val="16"/>
      </w:numPr>
    </w:pPr>
  </w:style>
  <w:style w:type="paragraph" w:customStyle="1" w:styleId="ListNumberLevel3">
    <w:name w:val="List Number (Level 3)"/>
    <w:basedOn w:val="Normal"/>
    <w:pPr>
      <w:numPr>
        <w:ilvl w:val="2"/>
        <w:numId w:val="16"/>
      </w:numPr>
    </w:pPr>
  </w:style>
  <w:style w:type="paragraph" w:customStyle="1" w:styleId="ListNumberLevel4">
    <w:name w:val="List Number (Level 4)"/>
    <w:basedOn w:val="Normal"/>
    <w:pPr>
      <w:numPr>
        <w:ilvl w:val="3"/>
        <w:numId w:val="16"/>
      </w:numPr>
    </w:pPr>
  </w:style>
  <w:style w:type="paragraph" w:customStyle="1" w:styleId="ListNumber1">
    <w:name w:val="List Number 1"/>
    <w:basedOn w:val="Text1"/>
    <w:pPr>
      <w:numPr>
        <w:numId w:val="17"/>
      </w:numPr>
    </w:pPr>
  </w:style>
  <w:style w:type="paragraph" w:customStyle="1" w:styleId="ListNumber1Level2">
    <w:name w:val="List Number 1 (Level 2)"/>
    <w:basedOn w:val="Text1"/>
    <w:pPr>
      <w:numPr>
        <w:ilvl w:val="1"/>
        <w:numId w:val="17"/>
      </w:numPr>
    </w:pPr>
  </w:style>
  <w:style w:type="paragraph" w:customStyle="1" w:styleId="ListNumber1Level3">
    <w:name w:val="List Number 1 (Level 3)"/>
    <w:basedOn w:val="Text1"/>
    <w:pPr>
      <w:numPr>
        <w:ilvl w:val="2"/>
        <w:numId w:val="17"/>
      </w:numPr>
    </w:pPr>
  </w:style>
  <w:style w:type="paragraph" w:customStyle="1" w:styleId="ListNumber1Level4">
    <w:name w:val="List Number 1 (Level 4)"/>
    <w:basedOn w:val="Text1"/>
    <w:pPr>
      <w:numPr>
        <w:ilvl w:val="3"/>
        <w:numId w:val="17"/>
      </w:numPr>
    </w:pPr>
  </w:style>
  <w:style w:type="paragraph" w:customStyle="1" w:styleId="ListNumber2Level2">
    <w:name w:val="List Number 2 (Level 2)"/>
    <w:basedOn w:val="Text2"/>
    <w:pPr>
      <w:numPr>
        <w:ilvl w:val="1"/>
        <w:numId w:val="18"/>
      </w:numPr>
      <w:tabs>
        <w:tab w:val="clear" w:pos="2160"/>
      </w:tabs>
    </w:pPr>
  </w:style>
  <w:style w:type="paragraph" w:customStyle="1" w:styleId="ListNumber2Level3">
    <w:name w:val="List Number 2 (Level 3)"/>
    <w:basedOn w:val="Text2"/>
    <w:pPr>
      <w:numPr>
        <w:ilvl w:val="2"/>
        <w:numId w:val="18"/>
      </w:numPr>
      <w:tabs>
        <w:tab w:val="clear" w:pos="2160"/>
      </w:tabs>
    </w:pPr>
  </w:style>
  <w:style w:type="paragraph" w:customStyle="1" w:styleId="ListNumber2Level4">
    <w:name w:val="List Number 2 (Level 4)"/>
    <w:basedOn w:val="Text2"/>
    <w:pPr>
      <w:numPr>
        <w:ilvl w:val="3"/>
        <w:numId w:val="18"/>
      </w:numPr>
      <w:tabs>
        <w:tab w:val="clear" w:pos="2160"/>
      </w:tabs>
    </w:pPr>
  </w:style>
  <w:style w:type="paragraph" w:customStyle="1" w:styleId="ListNumber3Level2">
    <w:name w:val="List Number 3 (Level 2)"/>
    <w:basedOn w:val="Text3"/>
    <w:pPr>
      <w:numPr>
        <w:ilvl w:val="1"/>
        <w:numId w:val="19"/>
      </w:numPr>
      <w:tabs>
        <w:tab w:val="clear" w:pos="2302"/>
      </w:tabs>
    </w:pPr>
  </w:style>
  <w:style w:type="paragraph" w:customStyle="1" w:styleId="ListNumber3Level3">
    <w:name w:val="List Number 3 (Level 3)"/>
    <w:basedOn w:val="Text3"/>
    <w:pPr>
      <w:numPr>
        <w:ilvl w:val="2"/>
        <w:numId w:val="19"/>
      </w:numPr>
      <w:tabs>
        <w:tab w:val="clear" w:pos="2302"/>
      </w:tabs>
    </w:pPr>
  </w:style>
  <w:style w:type="paragraph" w:customStyle="1" w:styleId="ListNumber3Level4">
    <w:name w:val="List Number 3 (Level 4)"/>
    <w:basedOn w:val="Text3"/>
    <w:pPr>
      <w:numPr>
        <w:ilvl w:val="3"/>
        <w:numId w:val="19"/>
      </w:numPr>
      <w:tabs>
        <w:tab w:val="clear" w:pos="2302"/>
      </w:tabs>
    </w:pPr>
  </w:style>
  <w:style w:type="paragraph" w:customStyle="1" w:styleId="ListNumber4Level2">
    <w:name w:val="List Number 4 (Level 2)"/>
    <w:basedOn w:val="Text4"/>
    <w:pPr>
      <w:numPr>
        <w:ilvl w:val="1"/>
        <w:numId w:val="20"/>
      </w:numPr>
    </w:pPr>
  </w:style>
  <w:style w:type="paragraph" w:customStyle="1" w:styleId="ListNumber4Level3">
    <w:name w:val="List Number 4 (Level 3)"/>
    <w:basedOn w:val="Text4"/>
    <w:pPr>
      <w:numPr>
        <w:ilvl w:val="2"/>
        <w:numId w:val="20"/>
      </w:numPr>
    </w:pPr>
  </w:style>
  <w:style w:type="paragraph" w:customStyle="1" w:styleId="ListNumber4Level4">
    <w:name w:val="List Number 4 (Level 4)"/>
    <w:basedOn w:val="Text4"/>
    <w:pPr>
      <w:numPr>
        <w:ilvl w:val="3"/>
        <w:numId w:val="20"/>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21"/>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22"/>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24"/>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5"/>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link w:val="Briefinglist1Char"/>
    <w:qFormat/>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6"/>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7"/>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customStyle="1" w:styleId="Briefinglist1Char">
    <w:name w:val="Briefing list 1 Char"/>
    <w:link w:val="Briefinglist1"/>
    <w:qFormat/>
    <w:rsid w:val="00D329B5"/>
    <w:rPr>
      <w:sz w:val="24"/>
      <w:szCs w:val="24"/>
      <w:lang w:val="fr-FR" w:eastAsia="en-GB"/>
    </w:rPr>
  </w:style>
  <w:style w:type="character" w:customStyle="1" w:styleId="normaltextrun">
    <w:name w:val="normaltextrun"/>
    <w:basedOn w:val="DefaultParagraphFont"/>
    <w:rsid w:val="00E5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49720">
      <w:bodyDiv w:val="1"/>
      <w:marLeft w:val="0"/>
      <w:marRight w:val="0"/>
      <w:marTop w:val="0"/>
      <w:marBottom w:val="0"/>
      <w:divBdr>
        <w:top w:val="none" w:sz="0" w:space="0" w:color="auto"/>
        <w:left w:val="none" w:sz="0" w:space="0" w:color="auto"/>
        <w:bottom w:val="none" w:sz="0" w:space="0" w:color="auto"/>
        <w:right w:val="none" w:sz="0" w:space="0" w:color="auto"/>
      </w:divBdr>
    </w:div>
    <w:div w:id="147941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ght-here-right-now.campaign.europa.eu/index_f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mmission.europa.eu/publications/annual-reports-monitoring-application-eu-law_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as.europa.eu/sites/default/files/documents/Report%20Stratcom%20activities%202021.pdf"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FR/TXT/?uri=COM%3A2022%3A716%3AFIN&amp;qid=167033908347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vsdisinfo.eu/key-narratives-in-pro-kremlin-disinformation-part-2-the-threatened-values/" TargetMode="External"/><Relationship Id="rId1" Type="http://schemas.openxmlformats.org/officeDocument/2006/relationships/hyperlink" Target="https://euvsdisinfo.eu/key-narratives-in-pro-kremlin-disinformation-part-2-the-threatened-valu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b21a4a1d-4eb8-49d3-b465-be101281b0f3" xsi:nil="true"/>
    <_Flow_SignoffStatus xmlns="b21a4a1d-4eb8-49d3-b465-be101281b0f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6" ma:contentTypeDescription="Create a new document." ma:contentTypeScope="" ma:versionID="ebb8c8e936710d48027175f170b2c20a">
  <xsd:schema xmlns:xsd="http://www.w3.org/2001/XMLSchema" xmlns:xs="http://www.w3.org/2001/XMLSchema" xmlns:p="http://schemas.microsoft.com/office/2006/metadata/properties" xmlns:ns2="b21a4a1d-4eb8-49d3-b465-be101281b0f3" targetNamespace="http://schemas.microsoft.com/office/2006/metadata/properties" ma:root="true" ma:fieldsID="da56cc14d89a00067e65b960903601fe"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mme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2" nillable="true" ma:displayName="Comments" ma:format="Dropdown" ma:internalName="Comments">
      <xsd:simpleType>
        <xsd:restriction base="dms:Note">
          <xsd:maxLength value="255"/>
        </xsd:restriction>
      </xsd:simpleType>
    </xsd:element>
    <xsd:element name="_Flow_SignoffStatus" ma:index="1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B8C8E-2103-4781-9696-80DA17FA748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b21a4a1d-4eb8-49d3-b465-be101281b0f3"/>
    <ds:schemaRef ds:uri="http://purl.org/dc/dcmitype/"/>
  </ds:schemaRefs>
</ds:datastoreItem>
</file>

<file path=customXml/itemProps2.xml><?xml version="1.0" encoding="utf-8"?>
<ds:datastoreItem xmlns:ds="http://schemas.openxmlformats.org/officeDocument/2006/customXml" ds:itemID="{E50FDF97-EDD7-49B5-AB66-DD2A3425A062}">
  <ds:schemaRefs>
    <ds:schemaRef ds:uri="http://schemas.openxmlformats.org/officeDocument/2006/bibliography"/>
  </ds:schemaRefs>
</ds:datastoreItem>
</file>

<file path=customXml/itemProps3.xml><?xml version="1.0" encoding="utf-8"?>
<ds:datastoreItem xmlns:ds="http://schemas.openxmlformats.org/officeDocument/2006/customXml" ds:itemID="{8A9B3398-E153-42D9-B008-D02B6CAF498D}">
  <ds:schemaRefs>
    <ds:schemaRef ds:uri="http://schemas.microsoft.com/sharepoint/v3/contenttype/forms"/>
  </ds:schemaRefs>
</ds:datastoreItem>
</file>

<file path=customXml/itemProps4.xml><?xml version="1.0" encoding="utf-8"?>
<ds:datastoreItem xmlns:ds="http://schemas.openxmlformats.org/officeDocument/2006/customXml" ds:itemID="{8BA32FA1-DDA5-4771-B251-D6F943E0F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TEL</Template>
  <TotalTime>2</TotalTime>
  <Pages>5</Pages>
  <Words>2386</Words>
  <Characters>13521</Characters>
  <Application>Microsoft Office Word</Application>
  <DocSecurity>0</DocSecurity>
  <PresentationFormat>Microsoft Word 8.0b</PresentationFormat>
  <Lines>198</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cp:lastModifiedBy>BIANCHIN Raffaella (SG)</cp:lastModifiedBy>
  <cp:revision>4</cp:revision>
  <cp:lastPrinted>2017-11-24T02:32:00Z</cp:lastPrinted>
  <dcterms:created xsi:type="dcterms:W3CDTF">2023-01-13T14:05:00Z</dcterms:created>
  <dcterms:modified xsi:type="dcterms:W3CDTF">2023-03-07T09:47:00Z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2022-11-11T10:51:43Z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3e21403f-d67f-4005-823d-b67440c76b58</vt:lpwstr>
  </property>
  <property fmtid="{D5CDD505-2E9C-101B-9397-08002B2CF9AE}" pid="19" name="MSIP_Label_6bd9ddd1-4d20-43f6-abfa-fc3c07406f94_ContentBits">
    <vt:lpwstr>0</vt:lpwstr>
  </property>
  <property fmtid="{D5CDD505-2E9C-101B-9397-08002B2CF9AE}" pid="20" name="ContentTypeId">
    <vt:lpwstr>0x010100724FDE23FB365D4CB8B2901107175F9F</vt:lpwstr>
  </property>
</Properties>
</file>