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5FC7" w14:textId="77777777" w:rsidR="00FB0214" w:rsidRPr="00331DB9" w:rsidRDefault="00FB0214" w:rsidP="00FB0214">
      <w:pPr>
        <w:spacing w:after="600"/>
        <w:jc w:val="center"/>
        <w:rPr>
          <w:rFonts w:ascii="Times New Roman" w:hAnsi="Times New Roman"/>
          <w:b/>
        </w:rPr>
      </w:pPr>
      <w:bookmarkStart w:id="0" w:name="Discrimination"/>
      <w:r w:rsidRPr="00331DB9">
        <w:rPr>
          <w:rFonts w:ascii="Times New Roman" w:hAnsi="Times New Roman"/>
          <w:b/>
          <w:bCs/>
        </w:rPr>
        <w:t xml:space="preserve">Follow up to the </w:t>
      </w:r>
      <w:r w:rsidRPr="00331DB9">
        <w:rPr>
          <w:rFonts w:ascii="Times New Roman" w:hAnsi="Times New Roman"/>
          <w:b/>
        </w:rPr>
        <w:t xml:space="preserve">European Parliament </w:t>
      </w:r>
      <w:r>
        <w:rPr>
          <w:rFonts w:ascii="Times New Roman" w:hAnsi="Times New Roman"/>
          <w:b/>
          <w:szCs w:val="24"/>
        </w:rPr>
        <w:t xml:space="preserve">non-legislative </w:t>
      </w:r>
      <w:r w:rsidRPr="00331DB9">
        <w:rPr>
          <w:rFonts w:ascii="Times New Roman" w:hAnsi="Times New Roman"/>
          <w:b/>
        </w:rPr>
        <w:t xml:space="preserve">resolution </w:t>
      </w:r>
      <w:r w:rsidRPr="0079310E">
        <w:rPr>
          <w:rFonts w:ascii="Times New Roman" w:hAnsi="Times New Roman"/>
          <w:b/>
          <w:bCs/>
        </w:rPr>
        <w:t>on combating discrimination in the EU – the long-awaited horizontal anti-discrimination directive</w:t>
      </w:r>
    </w:p>
    <w:bookmarkEnd w:id="0"/>
    <w:p w14:paraId="5F9E33C7" w14:textId="77777777" w:rsidR="00FB0214" w:rsidRPr="005A00C3" w:rsidRDefault="00FB0214" w:rsidP="00FB0214">
      <w:pPr>
        <w:numPr>
          <w:ilvl w:val="0"/>
          <w:numId w:val="27"/>
        </w:numPr>
        <w:ind w:left="567" w:hanging="567"/>
        <w:rPr>
          <w:rFonts w:ascii="Times New Roman" w:hAnsi="Times New Roman"/>
          <w:b/>
          <w:szCs w:val="24"/>
        </w:rPr>
      </w:pPr>
      <w:r w:rsidRPr="005A00C3">
        <w:rPr>
          <w:rFonts w:ascii="Times New Roman" w:hAnsi="Times New Roman"/>
          <w:b/>
          <w:szCs w:val="24"/>
        </w:rPr>
        <w:t xml:space="preserve">Resolution tabled pursuant to Rule </w:t>
      </w:r>
      <w:r w:rsidRPr="00DE748C">
        <w:rPr>
          <w:rFonts w:ascii="Times New Roman" w:hAnsi="Times New Roman"/>
          <w:b/>
          <w:iCs/>
          <w:szCs w:val="24"/>
        </w:rPr>
        <w:t xml:space="preserve">136(5) </w:t>
      </w:r>
      <w:r w:rsidRPr="005A00C3">
        <w:rPr>
          <w:rFonts w:ascii="Times New Roman" w:hAnsi="Times New Roman"/>
          <w:b/>
          <w:szCs w:val="24"/>
        </w:rPr>
        <w:t>of the European Parliament's Rules of procedure</w:t>
      </w:r>
    </w:p>
    <w:p w14:paraId="53353501" w14:textId="77777777" w:rsidR="00FB0214" w:rsidRPr="00F059C8" w:rsidRDefault="00FB0214" w:rsidP="00FB0214">
      <w:pPr>
        <w:numPr>
          <w:ilvl w:val="0"/>
          <w:numId w:val="27"/>
        </w:numPr>
        <w:ind w:left="567" w:hanging="567"/>
        <w:rPr>
          <w:rFonts w:ascii="Times New Roman" w:hAnsi="Times New Roman"/>
          <w:i/>
          <w:szCs w:val="24"/>
        </w:rPr>
      </w:pPr>
      <w:r>
        <w:rPr>
          <w:rFonts w:ascii="Times New Roman" w:hAnsi="Times New Roman"/>
          <w:b/>
          <w:szCs w:val="24"/>
        </w:rPr>
        <w:t>R</w:t>
      </w:r>
      <w:r w:rsidRPr="00747D86">
        <w:rPr>
          <w:rFonts w:ascii="Times New Roman" w:hAnsi="Times New Roman"/>
          <w:b/>
          <w:szCs w:val="24"/>
        </w:rPr>
        <w:t>eference number</w:t>
      </w:r>
      <w:r>
        <w:rPr>
          <w:rFonts w:ascii="Times New Roman" w:hAnsi="Times New Roman"/>
          <w:b/>
          <w:szCs w:val="24"/>
        </w:rPr>
        <w:t>s</w:t>
      </w:r>
      <w:r w:rsidRPr="000E1EE0">
        <w:rPr>
          <w:rFonts w:ascii="Times New Roman" w:hAnsi="Times New Roman"/>
          <w:b/>
          <w:szCs w:val="24"/>
        </w:rPr>
        <w:t>:</w:t>
      </w:r>
      <w:r>
        <w:rPr>
          <w:rFonts w:ascii="Times New Roman" w:hAnsi="Times New Roman"/>
          <w:b/>
          <w:szCs w:val="24"/>
        </w:rPr>
        <w:t xml:space="preserve"> </w:t>
      </w:r>
      <w:hyperlink r:id="rId11" w:history="1">
        <w:r w:rsidRPr="00D3536C">
          <w:rPr>
            <w:rFonts w:ascii="Times New Roman" w:hAnsi="Times New Roman"/>
          </w:rPr>
          <w:t>2023/2582 (RSP)</w:t>
        </w:r>
      </w:hyperlink>
      <w:r w:rsidRPr="00D3536C">
        <w:rPr>
          <w:rFonts w:ascii="Times New Roman" w:hAnsi="Times New Roman"/>
          <w:szCs w:val="24"/>
        </w:rPr>
        <w:t xml:space="preserve"> /</w:t>
      </w:r>
      <w:r w:rsidRPr="00D3536C">
        <w:rPr>
          <w:rFonts w:ascii="Times New Roman" w:hAnsi="Times New Roman"/>
          <w:bCs/>
          <w:szCs w:val="24"/>
        </w:rPr>
        <w:t xml:space="preserve"> </w:t>
      </w:r>
      <w:r w:rsidRPr="00425659">
        <w:rPr>
          <w:rFonts w:ascii="Times New Roman" w:hAnsi="Times New Roman"/>
          <w:noProof/>
          <w:lang w:val="en-IE" w:eastAsia="fr-BE"/>
        </w:rPr>
        <w:t>B9-</w:t>
      </w:r>
      <w:r w:rsidRPr="00425659">
        <w:rPr>
          <w:rFonts w:ascii="Times New Roman" w:hAnsi="Times New Roman"/>
          <w:lang w:val="en-IE" w:eastAsia="fr-BE"/>
        </w:rPr>
        <w:t xml:space="preserve"> 0201/2023</w:t>
      </w:r>
      <w:r>
        <w:rPr>
          <w:rFonts w:ascii="Times New Roman" w:hAnsi="Times New Roman"/>
          <w:lang w:val="en-IE" w:eastAsia="fr-BE"/>
        </w:rPr>
        <w:t xml:space="preserve"> / </w:t>
      </w:r>
      <w:r>
        <w:rPr>
          <w:rFonts w:ascii="Times New Roman" w:hAnsi="Times New Roman"/>
          <w:iCs/>
          <w:szCs w:val="24"/>
        </w:rPr>
        <w:t>P9_TA (2023)0111</w:t>
      </w:r>
    </w:p>
    <w:p w14:paraId="3B3F4DCA" w14:textId="77777777" w:rsidR="00FB0214" w:rsidRPr="00E07C2D" w:rsidRDefault="00FB0214" w:rsidP="00FB0214">
      <w:pPr>
        <w:numPr>
          <w:ilvl w:val="0"/>
          <w:numId w:val="27"/>
        </w:numPr>
        <w:ind w:left="567" w:hanging="567"/>
        <w:rPr>
          <w:rFonts w:ascii="Times New Roman" w:hAnsi="Times New Roman"/>
          <w:szCs w:val="24"/>
        </w:rPr>
      </w:pPr>
      <w:r w:rsidRPr="005A00C3">
        <w:rPr>
          <w:rFonts w:ascii="Times New Roman" w:hAnsi="Times New Roman"/>
          <w:b/>
          <w:szCs w:val="24"/>
        </w:rPr>
        <w:t xml:space="preserve">Date of adoption of the resolution: </w:t>
      </w:r>
      <w:r w:rsidRPr="00F14AD7">
        <w:rPr>
          <w:rFonts w:ascii="Times New Roman" w:hAnsi="Times New Roman"/>
          <w:bCs/>
          <w:szCs w:val="24"/>
        </w:rPr>
        <w:t>19 April 2023</w:t>
      </w:r>
    </w:p>
    <w:p w14:paraId="069823D7" w14:textId="77777777" w:rsidR="00FB0214" w:rsidRPr="0008585D" w:rsidRDefault="00FB0214" w:rsidP="00FB0214">
      <w:pPr>
        <w:numPr>
          <w:ilvl w:val="0"/>
          <w:numId w:val="27"/>
        </w:numPr>
        <w:ind w:left="567" w:hanging="567"/>
        <w:rPr>
          <w:rFonts w:ascii="Times New Roman" w:hAnsi="Times New Roman"/>
          <w:i/>
          <w:szCs w:val="24"/>
        </w:rPr>
      </w:pPr>
      <w:r w:rsidRPr="0008585D">
        <w:rPr>
          <w:rFonts w:ascii="Times New Roman" w:hAnsi="Times New Roman"/>
          <w:b/>
        </w:rPr>
        <w:t>Competent Parliamentary Committee</w:t>
      </w:r>
      <w:r w:rsidRPr="0008585D">
        <w:rPr>
          <w:b/>
        </w:rPr>
        <w:t>:</w:t>
      </w:r>
      <w:r w:rsidRPr="0008585D">
        <w:t xml:space="preserve"> </w:t>
      </w:r>
      <w:r w:rsidRPr="0008585D">
        <w:rPr>
          <w:rFonts w:ascii="Times New Roman" w:hAnsi="Times New Roman"/>
        </w:rPr>
        <w:t>Committee on</w:t>
      </w:r>
      <w:r w:rsidRPr="0008585D">
        <w:rPr>
          <w:rFonts w:ascii="Times New Roman" w:hAnsi="Times New Roman"/>
          <w:i/>
        </w:rPr>
        <w:t xml:space="preserve"> </w:t>
      </w:r>
      <w:r w:rsidRPr="0008585D">
        <w:rPr>
          <w:rFonts w:ascii="Times New Roman" w:hAnsi="Times New Roman"/>
          <w:iCs/>
        </w:rPr>
        <w:t>Civil Liberties, Justice, and Home Affairs</w:t>
      </w:r>
      <w:r>
        <w:rPr>
          <w:rFonts w:ascii="Times New Roman" w:hAnsi="Times New Roman"/>
          <w:iCs/>
        </w:rPr>
        <w:t xml:space="preserve"> (LIBE)</w:t>
      </w:r>
    </w:p>
    <w:p w14:paraId="15A3A056" w14:textId="77777777" w:rsidR="00FB0214" w:rsidRPr="00262833" w:rsidRDefault="00FB0214" w:rsidP="00FB0214">
      <w:pPr>
        <w:widowControl w:val="0"/>
        <w:numPr>
          <w:ilvl w:val="0"/>
          <w:numId w:val="27"/>
        </w:numPr>
        <w:ind w:left="567" w:hanging="567"/>
        <w:rPr>
          <w:rFonts w:ascii="Times New Roman" w:hAnsi="Times New Roman"/>
          <w:szCs w:val="24"/>
        </w:rPr>
      </w:pPr>
      <w:r w:rsidRPr="00747D86">
        <w:rPr>
          <w:rFonts w:ascii="Times New Roman" w:hAnsi="Times New Roman"/>
          <w:b/>
          <w:szCs w:val="24"/>
        </w:rPr>
        <w:t>Brief analysis/ assessment of the resolution and requests made in it:</w:t>
      </w:r>
      <w:r w:rsidRPr="00BF260B">
        <w:rPr>
          <w:rFonts w:ascii="Times New Roman" w:hAnsi="Times New Roman"/>
          <w:szCs w:val="24"/>
        </w:rPr>
        <w:t xml:space="preserve"> </w:t>
      </w:r>
    </w:p>
    <w:p w14:paraId="414AC3AE" w14:textId="77777777" w:rsidR="00FB0214" w:rsidRDefault="00FB0214" w:rsidP="00FB0214">
      <w:pPr>
        <w:widowControl w:val="0"/>
        <w:spacing w:after="120"/>
        <w:rPr>
          <w:rFonts w:ascii="Times New Roman" w:hAnsi="Times New Roman"/>
          <w:bCs/>
          <w:szCs w:val="24"/>
        </w:rPr>
      </w:pPr>
      <w:r>
        <w:rPr>
          <w:rFonts w:ascii="Times New Roman" w:hAnsi="Times New Roman"/>
          <w:bCs/>
          <w:szCs w:val="24"/>
        </w:rPr>
        <w:t xml:space="preserve">The European Parliament regrets that the </w:t>
      </w:r>
      <w:r w:rsidRPr="065B018F">
        <w:rPr>
          <w:rFonts w:ascii="Times New Roman" w:hAnsi="Times New Roman"/>
        </w:rPr>
        <w:t xml:space="preserve">Council Directive on implementing the principle of equal treatment between persons irrespective of religion or belief, disability, </w:t>
      </w:r>
      <w:proofErr w:type="gramStart"/>
      <w:r w:rsidRPr="065B018F">
        <w:rPr>
          <w:rFonts w:ascii="Times New Roman" w:hAnsi="Times New Roman"/>
        </w:rPr>
        <w:t>age</w:t>
      </w:r>
      <w:proofErr w:type="gramEnd"/>
      <w:r w:rsidRPr="065B018F">
        <w:rPr>
          <w:rFonts w:ascii="Times New Roman" w:hAnsi="Times New Roman"/>
        </w:rPr>
        <w:t xml:space="preserve"> or sexual orientation in the areas of social protection, education and access to goods and services available to the public</w:t>
      </w:r>
      <w:r>
        <w:rPr>
          <w:rFonts w:ascii="Times New Roman" w:hAnsi="Times New Roman"/>
          <w:bCs/>
          <w:szCs w:val="24"/>
        </w:rPr>
        <w:t xml:space="preserve"> (the horizontal anti-discrimination directive) has been blocked in the Council since 2008 and reiterates its previous calls on the Council to urgently unblock it by the end of 2023.</w:t>
      </w:r>
    </w:p>
    <w:p w14:paraId="6C41CC24" w14:textId="77777777" w:rsidR="00FB0214" w:rsidRDefault="00FB0214" w:rsidP="00FB0214">
      <w:pPr>
        <w:widowControl w:val="0"/>
        <w:spacing w:after="120"/>
        <w:rPr>
          <w:rFonts w:ascii="Times New Roman" w:hAnsi="Times New Roman"/>
        </w:rPr>
      </w:pPr>
      <w:r>
        <w:rPr>
          <w:rFonts w:ascii="Times New Roman" w:hAnsi="Times New Roman"/>
        </w:rPr>
        <w:t>It</w:t>
      </w:r>
      <w:r w:rsidRPr="065B018F">
        <w:rPr>
          <w:rFonts w:ascii="Times New Roman" w:hAnsi="Times New Roman"/>
        </w:rPr>
        <w:t xml:space="preserve"> calls on the Commission: </w:t>
      </w:r>
      <w:bookmarkStart w:id="1" w:name="_Hlk133427113"/>
      <w:r w:rsidRPr="065B018F">
        <w:rPr>
          <w:rFonts w:ascii="Times New Roman" w:hAnsi="Times New Roman"/>
        </w:rPr>
        <w:t xml:space="preserve">to step up its monitoring of the implementation of </w:t>
      </w:r>
      <w:r>
        <w:rPr>
          <w:rFonts w:ascii="Times New Roman" w:hAnsi="Times New Roman"/>
        </w:rPr>
        <w:t xml:space="preserve">the </w:t>
      </w:r>
      <w:r w:rsidRPr="065B018F">
        <w:rPr>
          <w:rFonts w:ascii="Times New Roman" w:hAnsi="Times New Roman"/>
        </w:rPr>
        <w:t xml:space="preserve">current legislation, and </w:t>
      </w:r>
      <w:r>
        <w:rPr>
          <w:rFonts w:ascii="Times New Roman" w:hAnsi="Times New Roman"/>
        </w:rPr>
        <w:t xml:space="preserve">of the case law of the </w:t>
      </w:r>
      <w:r w:rsidRPr="065B018F">
        <w:rPr>
          <w:rFonts w:ascii="Times New Roman" w:hAnsi="Times New Roman"/>
        </w:rPr>
        <w:t>C</w:t>
      </w:r>
      <w:r>
        <w:rPr>
          <w:rFonts w:ascii="Times New Roman" w:hAnsi="Times New Roman"/>
        </w:rPr>
        <w:t xml:space="preserve">ourt of </w:t>
      </w:r>
      <w:r w:rsidRPr="065B018F">
        <w:rPr>
          <w:rFonts w:ascii="Times New Roman" w:hAnsi="Times New Roman"/>
        </w:rPr>
        <w:t>J</w:t>
      </w:r>
      <w:r>
        <w:rPr>
          <w:rFonts w:ascii="Times New Roman" w:hAnsi="Times New Roman"/>
        </w:rPr>
        <w:t xml:space="preserve">ustice of the </w:t>
      </w:r>
      <w:r w:rsidRPr="065B018F">
        <w:rPr>
          <w:rFonts w:ascii="Times New Roman" w:hAnsi="Times New Roman"/>
        </w:rPr>
        <w:t>E</w:t>
      </w:r>
      <w:r>
        <w:rPr>
          <w:rFonts w:ascii="Times New Roman" w:hAnsi="Times New Roman"/>
        </w:rPr>
        <w:t xml:space="preserve">uropean </w:t>
      </w:r>
      <w:r w:rsidRPr="065B018F">
        <w:rPr>
          <w:rFonts w:ascii="Times New Roman" w:hAnsi="Times New Roman"/>
        </w:rPr>
        <w:t>U</w:t>
      </w:r>
      <w:r>
        <w:rPr>
          <w:rFonts w:ascii="Times New Roman" w:hAnsi="Times New Roman"/>
        </w:rPr>
        <w:t>nion (CJEU)</w:t>
      </w:r>
      <w:r w:rsidRPr="065B018F">
        <w:rPr>
          <w:rFonts w:ascii="Times New Roman" w:hAnsi="Times New Roman"/>
        </w:rPr>
        <w:t xml:space="preserve"> and </w:t>
      </w:r>
      <w:r>
        <w:rPr>
          <w:rFonts w:ascii="Times New Roman" w:hAnsi="Times New Roman"/>
        </w:rPr>
        <w:t xml:space="preserve">of </w:t>
      </w:r>
      <w:r w:rsidRPr="065B018F">
        <w:rPr>
          <w:rFonts w:ascii="Times New Roman" w:hAnsi="Times New Roman"/>
        </w:rPr>
        <w:t>the E</w:t>
      </w:r>
      <w:r>
        <w:rPr>
          <w:rFonts w:ascii="Times New Roman" w:hAnsi="Times New Roman"/>
        </w:rPr>
        <w:t xml:space="preserve">uropean </w:t>
      </w:r>
      <w:r w:rsidRPr="065B018F">
        <w:rPr>
          <w:rFonts w:ascii="Times New Roman" w:hAnsi="Times New Roman"/>
        </w:rPr>
        <w:t>C</w:t>
      </w:r>
      <w:r>
        <w:rPr>
          <w:rFonts w:ascii="Times New Roman" w:hAnsi="Times New Roman"/>
        </w:rPr>
        <w:t xml:space="preserve">ourt of </w:t>
      </w:r>
      <w:r w:rsidRPr="065B018F">
        <w:rPr>
          <w:rFonts w:ascii="Times New Roman" w:hAnsi="Times New Roman"/>
        </w:rPr>
        <w:t>H</w:t>
      </w:r>
      <w:r>
        <w:rPr>
          <w:rFonts w:ascii="Times New Roman" w:hAnsi="Times New Roman"/>
        </w:rPr>
        <w:t xml:space="preserve">uman </w:t>
      </w:r>
      <w:r w:rsidRPr="065B018F">
        <w:rPr>
          <w:rFonts w:ascii="Times New Roman" w:hAnsi="Times New Roman"/>
        </w:rPr>
        <w:t>R</w:t>
      </w:r>
      <w:r>
        <w:rPr>
          <w:rFonts w:ascii="Times New Roman" w:hAnsi="Times New Roman"/>
        </w:rPr>
        <w:t>ights</w:t>
      </w:r>
      <w:bookmarkEnd w:id="1"/>
      <w:r>
        <w:rPr>
          <w:rFonts w:ascii="Times New Roman" w:hAnsi="Times New Roman"/>
        </w:rPr>
        <w:t xml:space="preserve"> </w:t>
      </w:r>
      <w:r w:rsidRPr="00C63315">
        <w:rPr>
          <w:rFonts w:ascii="Times New Roman" w:hAnsi="Times New Roman"/>
        </w:rPr>
        <w:t>(ECtHR)</w:t>
      </w:r>
      <w:r w:rsidRPr="065B018F">
        <w:rPr>
          <w:rFonts w:ascii="Times New Roman" w:hAnsi="Times New Roman"/>
        </w:rPr>
        <w:t xml:space="preserve">, and to pro-actively use all the tools available to enforce EU law in this area, including by launching and advancing infringement procedures against Member States; to broad its annual rule of law report in scope to include all the values in Article 2 </w:t>
      </w:r>
      <w:r>
        <w:rPr>
          <w:rFonts w:ascii="Times New Roman" w:hAnsi="Times New Roman"/>
        </w:rPr>
        <w:t>of the Treaty on European Union (</w:t>
      </w:r>
      <w:r w:rsidRPr="065B018F">
        <w:rPr>
          <w:rFonts w:ascii="Times New Roman" w:hAnsi="Times New Roman"/>
        </w:rPr>
        <w:t>TEU</w:t>
      </w:r>
      <w:r>
        <w:rPr>
          <w:rFonts w:ascii="Times New Roman" w:hAnsi="Times New Roman"/>
        </w:rPr>
        <w:t>)</w:t>
      </w:r>
      <w:r w:rsidRPr="065B018F">
        <w:rPr>
          <w:rFonts w:ascii="Times New Roman" w:hAnsi="Times New Roman"/>
        </w:rPr>
        <w:t xml:space="preserve">, including equal treatment and non-discrimination; to step up efforts to promote the Charter </w:t>
      </w:r>
      <w:r w:rsidRPr="065B018F">
        <w:rPr>
          <w:rFonts w:ascii="Times New Roman" w:hAnsi="Times New Roman"/>
          <w:szCs w:val="24"/>
        </w:rPr>
        <w:t xml:space="preserve">of Fundamental Rights of the EU (“the Charter”) </w:t>
      </w:r>
      <w:r w:rsidRPr="065B018F">
        <w:rPr>
          <w:rFonts w:ascii="Times New Roman" w:hAnsi="Times New Roman"/>
        </w:rPr>
        <w:t xml:space="preserve">and its correct implementation; </w:t>
      </w:r>
      <w:bookmarkStart w:id="2" w:name="_Hlk133427281"/>
      <w:r w:rsidRPr="065B018F">
        <w:rPr>
          <w:rFonts w:ascii="Times New Roman" w:hAnsi="Times New Roman"/>
        </w:rPr>
        <w:t>to address inefficiency in the current processes and systems for reporting experiences of discrimination that do not always aid victims of discrimination in seeking redress and access to justice</w:t>
      </w:r>
      <w:bookmarkEnd w:id="2"/>
      <w:r w:rsidRPr="065B018F">
        <w:rPr>
          <w:rFonts w:ascii="Times New Roman" w:hAnsi="Times New Roman"/>
        </w:rPr>
        <w:t xml:space="preserve">; to promote the collection and use of equality data in accordance with EU and national legislation; </w:t>
      </w:r>
      <w:bookmarkStart w:id="3" w:name="_Hlk133427350"/>
      <w:r w:rsidRPr="065B018F">
        <w:rPr>
          <w:rFonts w:ascii="Times New Roman" w:hAnsi="Times New Roman"/>
        </w:rPr>
        <w:t>to closely monitor the growing current backlash against fundamental rights and the rise in discrimination across the EU</w:t>
      </w:r>
      <w:bookmarkEnd w:id="3"/>
      <w:r w:rsidRPr="065B018F">
        <w:rPr>
          <w:rFonts w:ascii="Times New Roman" w:hAnsi="Times New Roman"/>
        </w:rPr>
        <w:t xml:space="preserve">; </w:t>
      </w:r>
      <w:bookmarkStart w:id="4" w:name="_Hlk133427361"/>
      <w:r w:rsidRPr="065B018F">
        <w:rPr>
          <w:rFonts w:ascii="Times New Roman" w:hAnsi="Times New Roman"/>
        </w:rPr>
        <w:t>and to explore all possible avenues to overcome the political deadlock on the horizontal anti-discrimination directive and to combat all forms of discrimination in the EU with equal resolve</w:t>
      </w:r>
      <w:bookmarkEnd w:id="4"/>
      <w:r w:rsidRPr="065B018F">
        <w:rPr>
          <w:rFonts w:ascii="Times New Roman" w:hAnsi="Times New Roman"/>
        </w:rPr>
        <w:t>.</w:t>
      </w:r>
    </w:p>
    <w:p w14:paraId="33416A6E" w14:textId="77777777" w:rsidR="00FB0214" w:rsidRDefault="00FB0214" w:rsidP="00FB0214">
      <w:pPr>
        <w:widowControl w:val="0"/>
        <w:spacing w:after="120"/>
        <w:rPr>
          <w:rFonts w:ascii="Times New Roman" w:hAnsi="Times New Roman"/>
          <w:b/>
          <w:bCs/>
        </w:rPr>
      </w:pPr>
      <w:r w:rsidRPr="065B018F">
        <w:rPr>
          <w:rFonts w:ascii="Times New Roman" w:hAnsi="Times New Roman"/>
        </w:rPr>
        <w:t xml:space="preserve">The resolution also considers that </w:t>
      </w:r>
      <w:bookmarkStart w:id="5" w:name="_Hlk133427733"/>
      <w:r w:rsidRPr="065B018F">
        <w:rPr>
          <w:rFonts w:ascii="Times New Roman" w:hAnsi="Times New Roman"/>
        </w:rPr>
        <w:t xml:space="preserve">any update of the proposal for a horizontal anti-discrimination directive by the Commission must build on Parliament’s position, address intersectional </w:t>
      </w:r>
      <w:proofErr w:type="gramStart"/>
      <w:r w:rsidRPr="065B018F">
        <w:rPr>
          <w:rFonts w:ascii="Times New Roman" w:hAnsi="Times New Roman"/>
        </w:rPr>
        <w:t>discrimination</w:t>
      </w:r>
      <w:proofErr w:type="gramEnd"/>
      <w:r w:rsidRPr="065B018F">
        <w:rPr>
          <w:rFonts w:ascii="Times New Roman" w:hAnsi="Times New Roman"/>
        </w:rPr>
        <w:t xml:space="preserve"> and explicitly prohibit discrimination on any combination of grounds listed in the Charter</w:t>
      </w:r>
      <w:bookmarkEnd w:id="5"/>
      <w:r w:rsidRPr="065B018F">
        <w:rPr>
          <w:rFonts w:ascii="Times New Roman" w:hAnsi="Times New Roman"/>
        </w:rPr>
        <w:t>.</w:t>
      </w:r>
      <w:r>
        <w:rPr>
          <w:rFonts w:ascii="Times New Roman" w:hAnsi="Times New Roman"/>
        </w:rPr>
        <w:t xml:space="preserve"> It identifies as ‘inordinately long’ the potential extension</w:t>
      </w:r>
      <w:r w:rsidRPr="00850B73">
        <w:rPr>
          <w:rFonts w:ascii="Times New Roman" w:hAnsi="Times New Roman"/>
        </w:rPr>
        <w:t xml:space="preserve"> of the transposition period </w:t>
      </w:r>
      <w:r>
        <w:rPr>
          <w:rFonts w:ascii="Times New Roman" w:hAnsi="Times New Roman"/>
        </w:rPr>
        <w:t>as regards the</w:t>
      </w:r>
      <w:r w:rsidRPr="00850B73">
        <w:rPr>
          <w:rFonts w:ascii="Times New Roman" w:hAnsi="Times New Roman"/>
        </w:rPr>
        <w:t xml:space="preserve"> obligation</w:t>
      </w:r>
      <w:r>
        <w:rPr>
          <w:rFonts w:ascii="Times New Roman" w:hAnsi="Times New Roman"/>
        </w:rPr>
        <w:t xml:space="preserve"> of Member States</w:t>
      </w:r>
      <w:r w:rsidRPr="00850B73">
        <w:rPr>
          <w:rFonts w:ascii="Times New Roman" w:hAnsi="Times New Roman"/>
        </w:rPr>
        <w:t xml:space="preserve"> to provide reasonable accommodation for persons with disabilities</w:t>
      </w:r>
      <w:r>
        <w:rPr>
          <w:rFonts w:ascii="Times New Roman" w:hAnsi="Times New Roman"/>
        </w:rPr>
        <w:t xml:space="preserve">, object of </w:t>
      </w:r>
      <w:r w:rsidRPr="00850B73">
        <w:rPr>
          <w:rFonts w:ascii="Times New Roman" w:hAnsi="Times New Roman"/>
        </w:rPr>
        <w:t>discussions in the Council</w:t>
      </w:r>
      <w:r>
        <w:rPr>
          <w:rFonts w:ascii="Times New Roman" w:hAnsi="Times New Roman"/>
        </w:rPr>
        <w:t>.</w:t>
      </w:r>
    </w:p>
    <w:p w14:paraId="6F9CC06B" w14:textId="77777777" w:rsidR="00FB0214" w:rsidRPr="001A4308" w:rsidRDefault="00FB0214" w:rsidP="00FB0214">
      <w:pPr>
        <w:widowControl w:val="0"/>
        <w:numPr>
          <w:ilvl w:val="0"/>
          <w:numId w:val="27"/>
        </w:numPr>
        <w:rPr>
          <w:rFonts w:ascii="Times New Roman" w:hAnsi="Times New Roman"/>
          <w:b/>
          <w:i/>
          <w:szCs w:val="24"/>
        </w:rPr>
      </w:pPr>
      <w:r w:rsidRPr="00747D86">
        <w:rPr>
          <w:rFonts w:ascii="Times New Roman" w:hAnsi="Times New Roman"/>
          <w:b/>
          <w:szCs w:val="24"/>
        </w:rPr>
        <w:t xml:space="preserve">Response to the requests in the </w:t>
      </w:r>
      <w:r>
        <w:rPr>
          <w:rFonts w:ascii="Times New Roman" w:hAnsi="Times New Roman"/>
          <w:b/>
          <w:szCs w:val="24"/>
        </w:rPr>
        <w:t>r</w:t>
      </w:r>
      <w:r w:rsidRPr="00747D86">
        <w:rPr>
          <w:rFonts w:ascii="Times New Roman" w:hAnsi="Times New Roman"/>
          <w:b/>
          <w:szCs w:val="24"/>
        </w:rPr>
        <w:t>esolution and overview of the action taken, or intended to be taken, by the Commission</w:t>
      </w:r>
      <w:r>
        <w:rPr>
          <w:rFonts w:ascii="Times New Roman" w:hAnsi="Times New Roman"/>
          <w:b/>
          <w:szCs w:val="24"/>
        </w:rPr>
        <w:t>:</w:t>
      </w:r>
    </w:p>
    <w:p w14:paraId="6B8ECD7E" w14:textId="77777777" w:rsidR="00FB0214" w:rsidRPr="0004697D" w:rsidRDefault="00FB0214" w:rsidP="00FB0214">
      <w:pPr>
        <w:widowControl w:val="0"/>
        <w:spacing w:after="120"/>
        <w:rPr>
          <w:rFonts w:ascii="Times New Roman" w:hAnsi="Times New Roman"/>
          <w:bCs/>
          <w:szCs w:val="24"/>
          <w:lang w:val="en-IE"/>
        </w:rPr>
      </w:pPr>
      <w:r>
        <w:rPr>
          <w:rFonts w:ascii="Times New Roman" w:hAnsi="Times New Roman"/>
          <w:bCs/>
          <w:szCs w:val="24"/>
          <w:lang w:val="en-IE"/>
        </w:rPr>
        <w:t xml:space="preserve">The Commission has given the resolution careful consideration. It fully agrees with the Parliament that the adoption of the proposed horizontal anti-discrimination directive would offer a comprehensive framework for combating discrimination at EU level and it would fill a major gap in the EU legislation on non-discrimination by extending protection against discrimination based on religion or belief, disability, </w:t>
      </w:r>
      <w:proofErr w:type="gramStart"/>
      <w:r>
        <w:rPr>
          <w:rFonts w:ascii="Times New Roman" w:hAnsi="Times New Roman"/>
          <w:bCs/>
          <w:szCs w:val="24"/>
          <w:lang w:val="en-IE"/>
        </w:rPr>
        <w:t>age</w:t>
      </w:r>
      <w:proofErr w:type="gramEnd"/>
      <w:r>
        <w:rPr>
          <w:rFonts w:ascii="Times New Roman" w:hAnsi="Times New Roman"/>
          <w:bCs/>
          <w:szCs w:val="24"/>
          <w:lang w:val="en-IE"/>
        </w:rPr>
        <w:t xml:space="preserve"> or sexual orientation beyond the area of employment and </w:t>
      </w:r>
      <w:r w:rsidRPr="0004697D">
        <w:rPr>
          <w:rFonts w:ascii="Times New Roman" w:hAnsi="Times New Roman"/>
          <w:bCs/>
          <w:szCs w:val="24"/>
          <w:lang w:val="en-IE"/>
        </w:rPr>
        <w:t xml:space="preserve">vocational training. </w:t>
      </w:r>
    </w:p>
    <w:p w14:paraId="606E4818" w14:textId="77777777" w:rsidR="00FB0214" w:rsidRDefault="00FB0214" w:rsidP="00FB0214">
      <w:pPr>
        <w:widowControl w:val="0"/>
        <w:spacing w:after="120"/>
        <w:rPr>
          <w:rFonts w:ascii="Times New Roman" w:hAnsi="Times New Roman"/>
          <w:bCs/>
          <w:szCs w:val="24"/>
          <w:lang w:val="en-IE"/>
        </w:rPr>
      </w:pPr>
      <w:r w:rsidRPr="00780FA9">
        <w:rPr>
          <w:rFonts w:ascii="Times New Roman" w:hAnsi="Times New Roman"/>
          <w:b/>
          <w:szCs w:val="24"/>
        </w:rPr>
        <w:lastRenderedPageBreak/>
        <w:t xml:space="preserve">Paragraph 8 </w:t>
      </w:r>
      <w:r>
        <w:rPr>
          <w:rFonts w:ascii="Times New Roman" w:hAnsi="Times New Roman"/>
          <w:bCs/>
          <w:szCs w:val="24"/>
        </w:rPr>
        <w:t>recalls the</w:t>
      </w:r>
      <w:r w:rsidRPr="00A6508B">
        <w:rPr>
          <w:rFonts w:ascii="Times New Roman" w:hAnsi="Times New Roman"/>
          <w:bCs/>
          <w:szCs w:val="24"/>
        </w:rPr>
        <w:t xml:space="preserve"> position</w:t>
      </w:r>
      <w:r>
        <w:rPr>
          <w:rFonts w:ascii="Times New Roman" w:hAnsi="Times New Roman"/>
          <w:bCs/>
          <w:szCs w:val="24"/>
        </w:rPr>
        <w:t xml:space="preserve"> of European Parliament</w:t>
      </w:r>
      <w:r w:rsidRPr="00A6508B">
        <w:rPr>
          <w:rFonts w:ascii="Times New Roman" w:hAnsi="Times New Roman"/>
          <w:bCs/>
          <w:szCs w:val="24"/>
        </w:rPr>
        <w:t xml:space="preserve"> that the Commission’s annual rule of law report should be broadened in scope to include all the values in Article 2 TEU, including equal treatment and non-discrimination</w:t>
      </w:r>
      <w:r>
        <w:rPr>
          <w:rFonts w:ascii="Times New Roman" w:hAnsi="Times New Roman"/>
          <w:bCs/>
          <w:szCs w:val="24"/>
        </w:rPr>
        <w:t>.</w:t>
      </w:r>
    </w:p>
    <w:p w14:paraId="01D09B29" w14:textId="77777777" w:rsidR="00FB0214" w:rsidRPr="00814D3B" w:rsidRDefault="00FB0214" w:rsidP="00FB0214">
      <w:pPr>
        <w:widowControl w:val="0"/>
        <w:spacing w:after="120"/>
        <w:rPr>
          <w:rFonts w:ascii="Times New Roman" w:hAnsi="Times New Roman"/>
          <w:lang w:val="en-IE"/>
        </w:rPr>
      </w:pPr>
      <w:r w:rsidRPr="065B018F">
        <w:rPr>
          <w:rFonts w:ascii="Times New Roman" w:hAnsi="Times New Roman"/>
          <w:lang w:val="en-IE"/>
        </w:rPr>
        <w:t xml:space="preserve">The Commission underlines that </w:t>
      </w:r>
      <w:r>
        <w:rPr>
          <w:rFonts w:ascii="Times New Roman" w:hAnsi="Times New Roman"/>
          <w:lang w:val="en-IE"/>
        </w:rPr>
        <w:t>the</w:t>
      </w:r>
      <w:r w:rsidRPr="065B018F">
        <w:rPr>
          <w:rFonts w:ascii="Times New Roman" w:hAnsi="Times New Roman"/>
          <w:lang w:val="en-IE"/>
        </w:rPr>
        <w:t xml:space="preserve"> scope </w:t>
      </w:r>
      <w:r>
        <w:rPr>
          <w:rFonts w:ascii="Times New Roman" w:hAnsi="Times New Roman"/>
          <w:lang w:val="en-IE"/>
        </w:rPr>
        <w:t xml:space="preserve">of the rule of law report </w:t>
      </w:r>
      <w:r w:rsidRPr="065B018F">
        <w:rPr>
          <w:rFonts w:ascii="Times New Roman" w:hAnsi="Times New Roman"/>
          <w:lang w:val="en-IE"/>
        </w:rPr>
        <w:t>already cover</w:t>
      </w:r>
      <w:r>
        <w:rPr>
          <w:rFonts w:ascii="Times New Roman" w:hAnsi="Times New Roman"/>
          <w:lang w:val="en-IE"/>
        </w:rPr>
        <w:t>s</w:t>
      </w:r>
      <w:r w:rsidRPr="065B018F">
        <w:rPr>
          <w:rFonts w:ascii="Times New Roman" w:hAnsi="Times New Roman"/>
          <w:lang w:val="en-IE"/>
        </w:rPr>
        <w:t xml:space="preserve"> four broad areas</w:t>
      </w:r>
      <w:r w:rsidRPr="00D557D4">
        <w:rPr>
          <w:rFonts w:ascii="Times New Roman" w:hAnsi="Times New Roman"/>
          <w:lang w:val="en-IE"/>
        </w:rPr>
        <w:t xml:space="preserve"> </w:t>
      </w:r>
      <w:r>
        <w:rPr>
          <w:rFonts w:ascii="Times New Roman" w:hAnsi="Times New Roman"/>
          <w:lang w:val="en-IE"/>
        </w:rPr>
        <w:t>of</w:t>
      </w:r>
      <w:r w:rsidRPr="065B018F">
        <w:rPr>
          <w:rFonts w:ascii="Times New Roman" w:hAnsi="Times New Roman"/>
          <w:lang w:val="en-IE"/>
        </w:rPr>
        <w:t xml:space="preserve"> systemic importan</w:t>
      </w:r>
      <w:r>
        <w:rPr>
          <w:rFonts w:ascii="Times New Roman" w:hAnsi="Times New Roman"/>
          <w:lang w:val="en-IE"/>
        </w:rPr>
        <w:t>ce</w:t>
      </w:r>
      <w:r w:rsidRPr="065B018F">
        <w:rPr>
          <w:rFonts w:ascii="Times New Roman" w:hAnsi="Times New Roman"/>
          <w:lang w:val="en-IE"/>
        </w:rPr>
        <w:t>: national justice systems, anti-corruption frameworks, media pluralism and media freedom and other institutional issues related to checks and balances</w:t>
      </w:r>
      <w:r>
        <w:rPr>
          <w:rFonts w:ascii="Times New Roman" w:hAnsi="Times New Roman"/>
          <w:lang w:val="en-IE"/>
        </w:rPr>
        <w:t xml:space="preserve">, including </w:t>
      </w:r>
      <w:r w:rsidRPr="00690AF5">
        <w:rPr>
          <w:rFonts w:ascii="Times New Roman" w:hAnsi="Times New Roman"/>
          <w:lang w:val="en-IE"/>
        </w:rPr>
        <w:t>the role of equality bodies</w:t>
      </w:r>
      <w:r w:rsidRPr="00814D3B">
        <w:rPr>
          <w:rFonts w:ascii="Times New Roman" w:hAnsi="Times New Roman"/>
          <w:lang w:val="en-IE"/>
        </w:rPr>
        <w:t>. The report is one element of a broader endeavour at EU level to strengthen the founding EU values, including democracy, equality, and respect for human rights. The report is complemented by a set of other initiatives including the European Democracy Action Plan, the Strategy to strengthen the application of the Charter of Fundamental Rights in the EU with its thematic annual reports focusing on areas of strategic relevance governed by EU law, and targeted strategies to address the needs of the most vulnerable.</w:t>
      </w:r>
    </w:p>
    <w:p w14:paraId="3ADD3096" w14:textId="77777777" w:rsidR="00FB0214" w:rsidRPr="00957414" w:rsidRDefault="00FB0214" w:rsidP="00FB0214">
      <w:pPr>
        <w:widowControl w:val="0"/>
        <w:spacing w:after="120"/>
        <w:rPr>
          <w:rFonts w:ascii="Times New Roman" w:hAnsi="Times New Roman"/>
          <w:bCs/>
          <w:szCs w:val="24"/>
        </w:rPr>
      </w:pPr>
      <w:r w:rsidRPr="00957414">
        <w:rPr>
          <w:rFonts w:ascii="Times New Roman" w:hAnsi="Times New Roman"/>
          <w:b/>
          <w:szCs w:val="24"/>
        </w:rPr>
        <w:t>Paragraphs 8 and 9</w:t>
      </w:r>
      <w:r w:rsidRPr="00957414">
        <w:rPr>
          <w:rFonts w:ascii="Times New Roman" w:hAnsi="Times New Roman"/>
          <w:bCs/>
          <w:szCs w:val="24"/>
        </w:rPr>
        <w:t xml:space="preserve"> </w:t>
      </w:r>
      <w:r>
        <w:rPr>
          <w:rFonts w:ascii="Times New Roman" w:hAnsi="Times New Roman"/>
          <w:bCs/>
          <w:szCs w:val="24"/>
        </w:rPr>
        <w:t xml:space="preserve">contain a </w:t>
      </w:r>
      <w:r w:rsidRPr="00957414">
        <w:rPr>
          <w:rFonts w:ascii="Times New Roman" w:hAnsi="Times New Roman"/>
          <w:bCs/>
          <w:szCs w:val="24"/>
        </w:rPr>
        <w:t xml:space="preserve">call on the Commission’s </w:t>
      </w:r>
      <w:r>
        <w:rPr>
          <w:rFonts w:ascii="Times New Roman" w:hAnsi="Times New Roman"/>
          <w:bCs/>
          <w:szCs w:val="24"/>
        </w:rPr>
        <w:t xml:space="preserve">to step up its </w:t>
      </w:r>
      <w:r w:rsidRPr="00957414">
        <w:rPr>
          <w:rFonts w:ascii="Times New Roman" w:hAnsi="Times New Roman"/>
          <w:bCs/>
          <w:szCs w:val="24"/>
        </w:rPr>
        <w:t>monitoring of the implementation of current legislation; and to pro-actively use all the tools available to enforce EU law in this area, including by launching and advancing infringement procedures against Member States</w:t>
      </w:r>
      <w:r>
        <w:rPr>
          <w:rFonts w:ascii="Times New Roman" w:hAnsi="Times New Roman"/>
          <w:bCs/>
          <w:szCs w:val="24"/>
        </w:rPr>
        <w:t xml:space="preserve"> (</w:t>
      </w:r>
      <w:r w:rsidRPr="00957414">
        <w:rPr>
          <w:rFonts w:ascii="Times New Roman" w:hAnsi="Times New Roman"/>
          <w:bCs/>
          <w:szCs w:val="24"/>
        </w:rPr>
        <w:t>paragraph 8</w:t>
      </w:r>
      <w:r>
        <w:rPr>
          <w:rFonts w:ascii="Times New Roman" w:hAnsi="Times New Roman"/>
          <w:bCs/>
          <w:szCs w:val="24"/>
        </w:rPr>
        <w:t>)</w:t>
      </w:r>
      <w:r w:rsidRPr="00957414">
        <w:rPr>
          <w:rFonts w:ascii="Times New Roman" w:hAnsi="Times New Roman"/>
          <w:bCs/>
          <w:szCs w:val="24"/>
        </w:rPr>
        <w:t xml:space="preserve">; </w:t>
      </w:r>
      <w:r>
        <w:rPr>
          <w:rFonts w:ascii="Times New Roman" w:hAnsi="Times New Roman"/>
          <w:bCs/>
          <w:szCs w:val="24"/>
        </w:rPr>
        <w:t xml:space="preserve">and a request for the Commission to </w:t>
      </w:r>
      <w:r w:rsidRPr="00957414">
        <w:rPr>
          <w:rFonts w:ascii="Times New Roman" w:hAnsi="Times New Roman"/>
          <w:bCs/>
          <w:szCs w:val="24"/>
        </w:rPr>
        <w:t>monitor</w:t>
      </w:r>
      <w:r>
        <w:rPr>
          <w:rFonts w:ascii="Times New Roman" w:hAnsi="Times New Roman"/>
          <w:bCs/>
          <w:szCs w:val="24"/>
        </w:rPr>
        <w:t xml:space="preserve"> the implementation of</w:t>
      </w:r>
      <w:r w:rsidRPr="00957414">
        <w:rPr>
          <w:rFonts w:ascii="Times New Roman" w:hAnsi="Times New Roman"/>
          <w:bCs/>
          <w:szCs w:val="24"/>
        </w:rPr>
        <w:t xml:space="preserve"> CJEU and the ECtHR case-law, in particular in the area of equal treatment and non-discrimination; calls the Commission and to take action in cases of non-compliance </w:t>
      </w:r>
      <w:r>
        <w:rPr>
          <w:rFonts w:ascii="Times New Roman" w:hAnsi="Times New Roman"/>
          <w:bCs/>
          <w:szCs w:val="24"/>
        </w:rPr>
        <w:t>(</w:t>
      </w:r>
      <w:r w:rsidRPr="00957414">
        <w:rPr>
          <w:rFonts w:ascii="Times New Roman" w:hAnsi="Times New Roman"/>
          <w:bCs/>
          <w:szCs w:val="24"/>
        </w:rPr>
        <w:t>paragraph 9</w:t>
      </w:r>
      <w:r>
        <w:rPr>
          <w:rFonts w:ascii="Times New Roman" w:hAnsi="Times New Roman"/>
          <w:bCs/>
          <w:szCs w:val="24"/>
        </w:rPr>
        <w:t>)</w:t>
      </w:r>
      <w:r w:rsidRPr="00957414">
        <w:rPr>
          <w:rFonts w:ascii="Times New Roman" w:hAnsi="Times New Roman"/>
          <w:bCs/>
          <w:szCs w:val="24"/>
        </w:rPr>
        <w:t>.</w:t>
      </w:r>
    </w:p>
    <w:p w14:paraId="529DC947" w14:textId="77777777" w:rsidR="00FB0214" w:rsidRPr="00957414" w:rsidRDefault="00FB0214" w:rsidP="00FB0214">
      <w:pPr>
        <w:widowControl w:val="0"/>
        <w:spacing w:after="120"/>
        <w:rPr>
          <w:rFonts w:ascii="Times New Roman" w:hAnsi="Times New Roman"/>
          <w:lang w:val="en-IE"/>
        </w:rPr>
      </w:pPr>
      <w:r w:rsidRPr="065B018F">
        <w:rPr>
          <w:rFonts w:ascii="Times New Roman" w:hAnsi="Times New Roman"/>
          <w:lang w:val="en-IE"/>
        </w:rPr>
        <w:t xml:space="preserve">As guardian of the EU Treaties, the European Commission makes sure that, when implementing EU law and EU funded projects, the principle of non-discrimination is fully respected. </w:t>
      </w:r>
    </w:p>
    <w:p w14:paraId="0A3F9106" w14:textId="77777777" w:rsidR="00FB0214" w:rsidRPr="00957414" w:rsidRDefault="00FB0214" w:rsidP="00FB0214">
      <w:pPr>
        <w:widowControl w:val="0"/>
        <w:spacing w:after="120"/>
        <w:rPr>
          <w:rFonts w:ascii="Times New Roman" w:hAnsi="Times New Roman"/>
          <w:bCs/>
          <w:szCs w:val="24"/>
          <w:lang w:val="en-IE"/>
        </w:rPr>
      </w:pPr>
      <w:r w:rsidRPr="00957414">
        <w:rPr>
          <w:rFonts w:ascii="Times New Roman" w:hAnsi="Times New Roman"/>
          <w:bCs/>
          <w:szCs w:val="24"/>
          <w:lang w:val="en-IE"/>
        </w:rPr>
        <w:t xml:space="preserve">In particular, the Commission continuously monitors the effective implementation of the </w:t>
      </w:r>
      <w:r>
        <w:rPr>
          <w:rFonts w:ascii="Times New Roman" w:hAnsi="Times New Roman"/>
          <w:bCs/>
          <w:szCs w:val="24"/>
          <w:lang w:val="en-IE"/>
        </w:rPr>
        <w:t>equal treatment</w:t>
      </w:r>
      <w:r w:rsidRPr="00957414">
        <w:rPr>
          <w:rFonts w:ascii="Times New Roman" w:hAnsi="Times New Roman"/>
          <w:bCs/>
          <w:szCs w:val="24"/>
          <w:lang w:val="en-IE"/>
        </w:rPr>
        <w:t xml:space="preserve"> Directives, including the Council Directive 2000/43/EC implementing the principle of equal treatment between persons irrespective of racial or ethnic origin, and the Council Directive 2000/78/EC of 27 November 2000 establishing a general framework for equal treatment in employment and occupation. As a part of this monitoring exercise, the Commission regularly reports on the application of the equal</w:t>
      </w:r>
      <w:r>
        <w:rPr>
          <w:rFonts w:ascii="Times New Roman" w:hAnsi="Times New Roman"/>
          <w:bCs/>
          <w:szCs w:val="24"/>
          <w:lang w:val="en-IE"/>
        </w:rPr>
        <w:t xml:space="preserve"> treatment</w:t>
      </w:r>
      <w:r w:rsidRPr="00957414">
        <w:rPr>
          <w:rFonts w:ascii="Times New Roman" w:hAnsi="Times New Roman"/>
          <w:bCs/>
          <w:szCs w:val="24"/>
          <w:lang w:val="en-IE"/>
        </w:rPr>
        <w:t xml:space="preserve"> Directives. The last joint report on the Racial Equality Directive and the Employment Equality Directive was adopted in 2021</w:t>
      </w:r>
      <w:r>
        <w:rPr>
          <w:rFonts w:ascii="Times New Roman" w:hAnsi="Times New Roman"/>
          <w:bCs/>
          <w:szCs w:val="24"/>
          <w:lang w:val="en-IE"/>
        </w:rPr>
        <w:t xml:space="preserve"> (</w:t>
      </w:r>
      <w:proofErr w:type="gramStart"/>
      <w:r w:rsidRPr="00230C90">
        <w:rPr>
          <w:rFonts w:ascii="Times New Roman" w:hAnsi="Times New Roman"/>
          <w:bCs/>
          <w:szCs w:val="24"/>
          <w:lang w:val="en-IE"/>
        </w:rPr>
        <w:t>COM</w:t>
      </w:r>
      <w:r>
        <w:rPr>
          <w:rFonts w:ascii="Times New Roman" w:hAnsi="Times New Roman"/>
          <w:bCs/>
          <w:szCs w:val="24"/>
          <w:lang w:val="en-IE"/>
        </w:rPr>
        <w:t>(</w:t>
      </w:r>
      <w:proofErr w:type="gramEnd"/>
      <w:r w:rsidRPr="00230C90">
        <w:rPr>
          <w:rFonts w:ascii="Times New Roman" w:hAnsi="Times New Roman"/>
          <w:bCs/>
          <w:szCs w:val="24"/>
          <w:lang w:val="en-IE"/>
        </w:rPr>
        <w:t>2021</w:t>
      </w:r>
      <w:r>
        <w:rPr>
          <w:rFonts w:ascii="Times New Roman" w:hAnsi="Times New Roman"/>
          <w:bCs/>
          <w:szCs w:val="24"/>
          <w:lang w:val="en-IE"/>
        </w:rPr>
        <w:t xml:space="preserve">) </w:t>
      </w:r>
      <w:r w:rsidRPr="00230C90">
        <w:rPr>
          <w:rFonts w:ascii="Times New Roman" w:hAnsi="Times New Roman"/>
          <w:bCs/>
          <w:szCs w:val="24"/>
          <w:lang w:val="en-IE"/>
        </w:rPr>
        <w:t>139</w:t>
      </w:r>
      <w:r>
        <w:rPr>
          <w:rFonts w:ascii="Times New Roman" w:hAnsi="Times New Roman"/>
          <w:bCs/>
          <w:szCs w:val="24"/>
          <w:lang w:val="en-IE"/>
        </w:rPr>
        <w:t>)</w:t>
      </w:r>
      <w:r w:rsidRPr="00957414">
        <w:rPr>
          <w:rFonts w:ascii="Times New Roman" w:hAnsi="Times New Roman"/>
          <w:bCs/>
          <w:szCs w:val="24"/>
          <w:lang w:val="en-IE"/>
        </w:rPr>
        <w:t>.</w:t>
      </w:r>
    </w:p>
    <w:p w14:paraId="43AB39B1" w14:textId="77777777" w:rsidR="00FB0214" w:rsidRPr="00957414" w:rsidRDefault="00FB0214" w:rsidP="00FB0214">
      <w:pPr>
        <w:widowControl w:val="0"/>
        <w:spacing w:after="120"/>
        <w:rPr>
          <w:rFonts w:ascii="Times New Roman" w:hAnsi="Times New Roman"/>
          <w:lang w:val="en-US"/>
        </w:rPr>
      </w:pPr>
      <w:r w:rsidRPr="065B018F">
        <w:rPr>
          <w:rFonts w:ascii="Times New Roman" w:hAnsi="Times New Roman"/>
          <w:lang w:val="en-IE"/>
        </w:rPr>
        <w:t>The infringement procedure is an ultima ratio which the Commission does not hesitate to use when identifying</w:t>
      </w:r>
      <w:r w:rsidRPr="065B018F">
        <w:rPr>
          <w:rFonts w:ascii="Times New Roman" w:hAnsi="Times New Roman"/>
        </w:rPr>
        <w:t xml:space="preserve"> infringements of EU law.</w:t>
      </w:r>
    </w:p>
    <w:p w14:paraId="1AD12314" w14:textId="77777777" w:rsidR="00FB0214" w:rsidRDefault="00FB0214" w:rsidP="00FB0214">
      <w:pPr>
        <w:widowControl w:val="0"/>
        <w:spacing w:after="120"/>
        <w:rPr>
          <w:rFonts w:ascii="Times New Roman" w:hAnsi="Times New Roman"/>
          <w:bCs/>
          <w:szCs w:val="24"/>
        </w:rPr>
      </w:pPr>
      <w:r w:rsidRPr="00184659">
        <w:rPr>
          <w:rFonts w:ascii="Times New Roman" w:hAnsi="Times New Roman"/>
          <w:b/>
          <w:szCs w:val="24"/>
        </w:rPr>
        <w:t>Paragraph 10</w:t>
      </w:r>
      <w:r>
        <w:rPr>
          <w:rFonts w:ascii="Times New Roman" w:hAnsi="Times New Roman"/>
          <w:bCs/>
          <w:szCs w:val="24"/>
        </w:rPr>
        <w:t xml:space="preserve"> calls</w:t>
      </w:r>
      <w:r w:rsidRPr="00CD2821">
        <w:rPr>
          <w:rFonts w:ascii="Times New Roman" w:hAnsi="Times New Roman"/>
          <w:bCs/>
          <w:szCs w:val="24"/>
        </w:rPr>
        <w:t xml:space="preserve"> on the Commission to step up efforts to promote the Charter and its correct implementation, as well as the EU anti-discrimination framework and the relevant CJEU and ECtHR case-law, in the Member States</w:t>
      </w:r>
      <w:r>
        <w:rPr>
          <w:rFonts w:ascii="Times New Roman" w:hAnsi="Times New Roman"/>
          <w:bCs/>
          <w:szCs w:val="24"/>
        </w:rPr>
        <w:t>.</w:t>
      </w:r>
    </w:p>
    <w:p w14:paraId="643B7FB2" w14:textId="77777777" w:rsidR="00FB0214" w:rsidRPr="00CC38EC" w:rsidRDefault="00FB0214" w:rsidP="00FB0214">
      <w:pPr>
        <w:widowControl w:val="0"/>
        <w:spacing w:after="120"/>
        <w:rPr>
          <w:rFonts w:ascii="Times New Roman" w:hAnsi="Times New Roman"/>
        </w:rPr>
      </w:pPr>
      <w:r w:rsidRPr="065B018F">
        <w:rPr>
          <w:rFonts w:ascii="Times New Roman" w:hAnsi="Times New Roman"/>
        </w:rPr>
        <w:t>The Commission fully agrees with the E</w:t>
      </w:r>
      <w:r>
        <w:rPr>
          <w:rFonts w:ascii="Times New Roman" w:hAnsi="Times New Roman"/>
        </w:rPr>
        <w:t xml:space="preserve">uropean </w:t>
      </w:r>
      <w:r w:rsidRPr="065B018F">
        <w:rPr>
          <w:rFonts w:ascii="Times New Roman" w:hAnsi="Times New Roman"/>
        </w:rPr>
        <w:t>P</w:t>
      </w:r>
      <w:r>
        <w:rPr>
          <w:rFonts w:ascii="Times New Roman" w:hAnsi="Times New Roman"/>
        </w:rPr>
        <w:t>arliament</w:t>
      </w:r>
      <w:r w:rsidRPr="065B018F">
        <w:rPr>
          <w:rFonts w:ascii="Times New Roman" w:hAnsi="Times New Roman"/>
        </w:rPr>
        <w:t xml:space="preserve"> on the need to step up efforts to promote the Charter and its correct implementation. In this regard, the 2020 Strategy to strengthen the application of the Charter of Fundamental Rights (</w:t>
      </w:r>
      <w:proofErr w:type="gramStart"/>
      <w:r w:rsidRPr="065B018F">
        <w:rPr>
          <w:rFonts w:ascii="Times New Roman" w:hAnsi="Times New Roman"/>
        </w:rPr>
        <w:t>COM</w:t>
      </w:r>
      <w:r>
        <w:rPr>
          <w:rFonts w:ascii="Times New Roman" w:hAnsi="Times New Roman"/>
        </w:rPr>
        <w:t>(</w:t>
      </w:r>
      <w:proofErr w:type="gramEnd"/>
      <w:r w:rsidRPr="065B018F">
        <w:rPr>
          <w:rFonts w:ascii="Times New Roman" w:hAnsi="Times New Roman"/>
        </w:rPr>
        <w:t>2020</w:t>
      </w:r>
      <w:r>
        <w:rPr>
          <w:rFonts w:ascii="Times New Roman" w:hAnsi="Times New Roman"/>
        </w:rPr>
        <w:t xml:space="preserve">) </w:t>
      </w:r>
      <w:r w:rsidRPr="065B018F">
        <w:rPr>
          <w:rFonts w:ascii="Times New Roman" w:hAnsi="Times New Roman"/>
        </w:rPr>
        <w:t xml:space="preserve">711) includes measures aimed at promoting the fundamental rights enshrined in the Charter. Under its four strands, the renewed strategy sets out actions to strengthen the application of the Charter by the Member States; by empowering civil society organisations, rights </w:t>
      </w:r>
      <w:proofErr w:type="gramStart"/>
      <w:r w:rsidRPr="065B018F">
        <w:rPr>
          <w:rFonts w:ascii="Times New Roman" w:hAnsi="Times New Roman"/>
        </w:rPr>
        <w:t>defenders</w:t>
      </w:r>
      <w:proofErr w:type="gramEnd"/>
      <w:r w:rsidRPr="065B018F">
        <w:rPr>
          <w:rFonts w:ascii="Times New Roman" w:hAnsi="Times New Roman"/>
        </w:rPr>
        <w:t xml:space="preserve"> and justice practitioners; fostering the use of the Charter by EU institutions; and strengthening people’s awareness of their rights under the Charter.</w:t>
      </w:r>
    </w:p>
    <w:p w14:paraId="599EA9CD" w14:textId="77777777" w:rsidR="00FB0214" w:rsidRPr="00CC38EC" w:rsidRDefault="00FB0214" w:rsidP="00FB0214">
      <w:pPr>
        <w:widowControl w:val="0"/>
        <w:spacing w:after="120"/>
        <w:rPr>
          <w:rFonts w:ascii="Times New Roman" w:hAnsi="Times New Roman"/>
          <w:bCs/>
          <w:szCs w:val="24"/>
        </w:rPr>
      </w:pPr>
      <w:r w:rsidRPr="00CC38EC">
        <w:rPr>
          <w:rFonts w:ascii="Times New Roman" w:hAnsi="Times New Roman"/>
          <w:bCs/>
          <w:szCs w:val="24"/>
        </w:rPr>
        <w:t>To prepare the Charter strategy, the Commission carried out a Eurobarometer survey on public awareness of the Charter</w:t>
      </w:r>
      <w:r>
        <w:rPr>
          <w:rFonts w:ascii="Times New Roman" w:hAnsi="Times New Roman"/>
          <w:bCs/>
          <w:szCs w:val="24"/>
        </w:rPr>
        <w:t xml:space="preserve"> (</w:t>
      </w:r>
      <w:r w:rsidRPr="004D1205">
        <w:rPr>
          <w:rFonts w:ascii="Times New Roman" w:hAnsi="Times New Roman"/>
          <w:i/>
          <w:iCs/>
          <w:lang w:val="en-IE"/>
        </w:rPr>
        <w:t>Special Eurobarometer 487b</w:t>
      </w:r>
      <w:r>
        <w:rPr>
          <w:rFonts w:ascii="Times New Roman" w:hAnsi="Times New Roman"/>
          <w:bCs/>
          <w:szCs w:val="24"/>
        </w:rPr>
        <w:t>), which</w:t>
      </w:r>
      <w:r w:rsidRPr="00CC38EC">
        <w:rPr>
          <w:rFonts w:ascii="Times New Roman" w:hAnsi="Times New Roman"/>
          <w:bCs/>
          <w:szCs w:val="24"/>
        </w:rPr>
        <w:t xml:space="preserve"> showed that people do not know enough about their Charter rights, but would like to get more information, including on how to seek redress.</w:t>
      </w:r>
    </w:p>
    <w:p w14:paraId="36E50B05" w14:textId="77777777" w:rsidR="00FB0214" w:rsidRPr="00F27978" w:rsidRDefault="00FB0214" w:rsidP="00FB0214">
      <w:pPr>
        <w:widowControl w:val="0"/>
        <w:spacing w:after="120"/>
        <w:rPr>
          <w:rFonts w:ascii="Times New Roman" w:hAnsi="Times New Roman"/>
          <w:bCs/>
          <w:szCs w:val="24"/>
          <w:lang w:val="en-IE"/>
        </w:rPr>
      </w:pPr>
      <w:r w:rsidRPr="00CC38EC">
        <w:rPr>
          <w:rFonts w:ascii="Times New Roman" w:hAnsi="Times New Roman"/>
          <w:bCs/>
          <w:szCs w:val="24"/>
        </w:rPr>
        <w:t xml:space="preserve">To implement the Charter strategy, the Commission continues to cooperate with relevant </w:t>
      </w:r>
      <w:r w:rsidRPr="00CC38EC">
        <w:rPr>
          <w:rFonts w:ascii="Times New Roman" w:hAnsi="Times New Roman"/>
          <w:bCs/>
          <w:szCs w:val="24"/>
        </w:rPr>
        <w:lastRenderedPageBreak/>
        <w:t>stakeholders and raise awareness about the Charter. Currently</w:t>
      </w:r>
      <w:r>
        <w:rPr>
          <w:rFonts w:ascii="Times New Roman" w:hAnsi="Times New Roman"/>
          <w:bCs/>
          <w:szCs w:val="24"/>
        </w:rPr>
        <w:t>,</w:t>
      </w:r>
      <w:r w:rsidRPr="00CC38EC">
        <w:rPr>
          <w:rFonts w:ascii="Times New Roman" w:hAnsi="Times New Roman"/>
          <w:bCs/>
          <w:szCs w:val="24"/>
        </w:rPr>
        <w:t xml:space="preserve"> 15 Member States share their best practices on strengthening the use and awareness of the Charter on the European e-Justice Portal and update related information on the Fundamental Rights Information Tool. The Commission furthermore provides training to assist the staff of EU institutions to apply the Charter effectively. It launched an information campaign in 2021 to strengthen people’s awareness of their rights under the Charter</w:t>
      </w:r>
      <w:r>
        <w:rPr>
          <w:rFonts w:ascii="Times New Roman" w:hAnsi="Times New Roman"/>
          <w:bCs/>
          <w:szCs w:val="24"/>
          <w:lang w:val="en-IE"/>
        </w:rPr>
        <w:t xml:space="preserve"> (</w:t>
      </w:r>
      <w:r w:rsidRPr="004D1205">
        <w:rPr>
          <w:rFonts w:ascii="Times New Roman" w:hAnsi="Times New Roman"/>
          <w:bCs/>
          <w:i/>
          <w:iCs/>
          <w:szCs w:val="24"/>
          <w:lang w:val="en-IE"/>
        </w:rPr>
        <w:t xml:space="preserve">Let’s unite to promote and protect our fundamental </w:t>
      </w:r>
      <w:proofErr w:type="gramStart"/>
      <w:r w:rsidRPr="004D1205">
        <w:rPr>
          <w:rFonts w:ascii="Times New Roman" w:hAnsi="Times New Roman"/>
          <w:bCs/>
          <w:i/>
          <w:iCs/>
          <w:szCs w:val="24"/>
          <w:lang w:val="en-IE"/>
        </w:rPr>
        <w:t>rights!#</w:t>
      </w:r>
      <w:proofErr w:type="spellStart"/>
      <w:proofErr w:type="gramEnd"/>
      <w:r w:rsidRPr="004D1205">
        <w:rPr>
          <w:rFonts w:ascii="Times New Roman" w:hAnsi="Times New Roman"/>
          <w:bCs/>
          <w:i/>
          <w:iCs/>
          <w:szCs w:val="24"/>
          <w:lang w:val="en-IE"/>
        </w:rPr>
        <w:t>RightHereRightNow</w:t>
      </w:r>
      <w:proofErr w:type="spellEnd"/>
      <w:r>
        <w:rPr>
          <w:rFonts w:ascii="Times New Roman" w:hAnsi="Times New Roman"/>
          <w:bCs/>
          <w:szCs w:val="24"/>
          <w:lang w:val="en-IE"/>
        </w:rPr>
        <w:t>)</w:t>
      </w:r>
      <w:r w:rsidRPr="004D1205">
        <w:rPr>
          <w:rFonts w:ascii="Times New Roman" w:hAnsi="Times New Roman"/>
          <w:bCs/>
          <w:szCs w:val="24"/>
        </w:rPr>
        <w:t>.</w:t>
      </w:r>
    </w:p>
    <w:p w14:paraId="0BE487BA" w14:textId="77777777" w:rsidR="00FB0214" w:rsidRPr="004D1205" w:rsidRDefault="00FB0214" w:rsidP="00FB0214">
      <w:pPr>
        <w:widowControl w:val="0"/>
        <w:spacing w:after="120"/>
        <w:rPr>
          <w:rFonts w:ascii="Times New Roman" w:hAnsi="Times New Roman"/>
          <w:lang w:val="en-IE"/>
        </w:rPr>
      </w:pPr>
      <w:r w:rsidRPr="4934D14E">
        <w:rPr>
          <w:rFonts w:ascii="Times New Roman" w:hAnsi="Times New Roman"/>
        </w:rPr>
        <w:t xml:space="preserve">The </w:t>
      </w:r>
      <w:r w:rsidRPr="00AB50E0">
        <w:rPr>
          <w:rFonts w:ascii="Times New Roman" w:hAnsi="Times New Roman"/>
        </w:rPr>
        <w:t xml:space="preserve">EU Fundamental Rights Agency </w:t>
      </w:r>
      <w:r>
        <w:t>(</w:t>
      </w:r>
      <w:r w:rsidRPr="4934D14E">
        <w:rPr>
          <w:rFonts w:ascii="Times New Roman" w:hAnsi="Times New Roman"/>
        </w:rPr>
        <w:t>FRA</w:t>
      </w:r>
      <w:r>
        <w:rPr>
          <w:rFonts w:ascii="Times New Roman" w:hAnsi="Times New Roman"/>
        </w:rPr>
        <w:t>)</w:t>
      </w:r>
      <w:r w:rsidRPr="4934D14E">
        <w:rPr>
          <w:rFonts w:ascii="Times New Roman" w:hAnsi="Times New Roman"/>
        </w:rPr>
        <w:t xml:space="preserve"> has made available a variety of resources relating to the application of the Charter. The FRA’s </w:t>
      </w:r>
      <w:proofErr w:type="spellStart"/>
      <w:r w:rsidRPr="4934D14E">
        <w:rPr>
          <w:rFonts w:ascii="Times New Roman" w:hAnsi="Times New Roman"/>
          <w:i/>
          <w:iCs/>
        </w:rPr>
        <w:t>Charterpedia</w:t>
      </w:r>
      <w:proofErr w:type="spellEnd"/>
      <w:r w:rsidRPr="4934D14E">
        <w:rPr>
          <w:rFonts w:ascii="Times New Roman" w:hAnsi="Times New Roman"/>
        </w:rPr>
        <w:t xml:space="preserve"> provides accessible information on the Charter and its provisions, including case law by national courts that refers to the Charter. The tool is also available as a </w:t>
      </w:r>
      <w:r w:rsidRPr="4934D14E">
        <w:rPr>
          <w:rFonts w:ascii="Times New Roman" w:hAnsi="Times New Roman"/>
          <w:i/>
          <w:iCs/>
        </w:rPr>
        <w:t>Charter-app</w:t>
      </w:r>
      <w:r w:rsidRPr="4934D14E">
        <w:rPr>
          <w:rFonts w:ascii="Times New Roman" w:hAnsi="Times New Roman"/>
        </w:rPr>
        <w:t xml:space="preserve">. E-learning on the Charter is available at </w:t>
      </w:r>
      <w:hyperlink r:id="rId12" w:history="1">
        <w:r w:rsidRPr="00FC271B">
          <w:rPr>
            <w:rStyle w:val="Hyperlink"/>
            <w:rFonts w:ascii="Times New Roman" w:hAnsi="Times New Roman"/>
          </w:rPr>
          <w:t>https://e-learning.fra.europa.eu/</w:t>
        </w:r>
      </w:hyperlink>
      <w:r w:rsidRPr="4934D14E">
        <w:rPr>
          <w:rFonts w:ascii="Times New Roman" w:hAnsi="Times New Roman"/>
        </w:rPr>
        <w:t>.</w:t>
      </w:r>
    </w:p>
    <w:p w14:paraId="593793EE" w14:textId="77777777" w:rsidR="00FB0214" w:rsidRPr="00CC38EC" w:rsidRDefault="00FB0214" w:rsidP="00FB0214">
      <w:pPr>
        <w:widowControl w:val="0"/>
        <w:spacing w:after="120"/>
        <w:rPr>
          <w:rFonts w:ascii="Times New Roman" w:hAnsi="Times New Roman"/>
        </w:rPr>
      </w:pPr>
      <w:r w:rsidRPr="065B018F">
        <w:rPr>
          <w:rFonts w:ascii="Times New Roman" w:hAnsi="Times New Roman"/>
        </w:rPr>
        <w:t xml:space="preserve">The Commission supports the implementation of the Charter also through funding. The first-ever call to promote awareness of the Charter and capacity-building on strategic litigation attracted 71 applications in 2022. With </w:t>
      </w:r>
      <w:r>
        <w:rPr>
          <w:rFonts w:ascii="Times New Roman" w:hAnsi="Times New Roman"/>
        </w:rPr>
        <w:t>a</w:t>
      </w:r>
      <w:r w:rsidRPr="065B018F">
        <w:rPr>
          <w:rFonts w:ascii="Times New Roman" w:hAnsi="Times New Roman"/>
        </w:rPr>
        <w:t xml:space="preserve"> budget of EUR 2 million, 7 projects were selected. A new call for applications </w:t>
      </w:r>
      <w:r>
        <w:rPr>
          <w:rFonts w:ascii="Times New Roman" w:hAnsi="Times New Roman"/>
        </w:rPr>
        <w:t>was</w:t>
      </w:r>
      <w:r w:rsidRPr="065B018F">
        <w:rPr>
          <w:rFonts w:ascii="Times New Roman" w:hAnsi="Times New Roman"/>
        </w:rPr>
        <w:t xml:space="preserve"> open until 25 May 2023.</w:t>
      </w:r>
    </w:p>
    <w:p w14:paraId="4432F57E" w14:textId="77777777" w:rsidR="00FB0214" w:rsidRPr="004644B1" w:rsidRDefault="00FB0214" w:rsidP="00FB0214">
      <w:pPr>
        <w:widowControl w:val="0"/>
        <w:spacing w:after="120"/>
        <w:rPr>
          <w:rFonts w:ascii="Times New Roman" w:hAnsi="Times New Roman"/>
          <w:bCs/>
          <w:szCs w:val="24"/>
        </w:rPr>
      </w:pPr>
      <w:r w:rsidRPr="00CC38EC">
        <w:rPr>
          <w:rFonts w:ascii="Times New Roman" w:hAnsi="Times New Roman"/>
          <w:bCs/>
          <w:szCs w:val="24"/>
        </w:rPr>
        <w:t>Regarding the enforcement of the Charter, t</w:t>
      </w:r>
      <w:r w:rsidRPr="00CC38EC">
        <w:rPr>
          <w:rFonts w:ascii="Times New Roman" w:hAnsi="Times New Roman"/>
          <w:szCs w:val="24"/>
        </w:rPr>
        <w:t xml:space="preserve">he Commission monitors the application of EU law and the protection of fundamental rights under the Charter, including </w:t>
      </w:r>
      <w:proofErr w:type="gramStart"/>
      <w:r w:rsidRPr="00CC38EC">
        <w:rPr>
          <w:rFonts w:ascii="Times New Roman" w:hAnsi="Times New Roman"/>
          <w:szCs w:val="24"/>
        </w:rPr>
        <w:t>through the use of</w:t>
      </w:r>
      <w:proofErr w:type="gramEnd"/>
      <w:r w:rsidRPr="00CC38EC">
        <w:rPr>
          <w:rFonts w:ascii="Times New Roman" w:hAnsi="Times New Roman"/>
          <w:szCs w:val="24"/>
        </w:rPr>
        <w:t xml:space="preserve"> infringement proceedings.</w:t>
      </w:r>
      <w:r>
        <w:rPr>
          <w:rFonts w:ascii="Times New Roman" w:hAnsi="Times New Roman"/>
          <w:szCs w:val="24"/>
        </w:rPr>
        <w:t xml:space="preserve"> </w:t>
      </w:r>
      <w:r>
        <w:rPr>
          <w:rFonts w:ascii="Times New Roman" w:hAnsi="Times New Roman"/>
          <w:lang w:val="en-IE"/>
        </w:rPr>
        <w:t>Detailed information is provided in the annual Report on the application of EU law, with the most recent edition published on 15 July 2022: “</w:t>
      </w:r>
      <w:r w:rsidRPr="005A47CB">
        <w:rPr>
          <w:rFonts w:ascii="Times New Roman" w:hAnsi="Times New Roman"/>
          <w:lang w:val="en-IE"/>
        </w:rPr>
        <w:t>Application of EU law: Upholding rights, fundamental freedoms and the rule of law</w:t>
      </w:r>
      <w:r>
        <w:rPr>
          <w:rFonts w:ascii="Times New Roman" w:hAnsi="Times New Roman"/>
          <w:lang w:val="en-IE"/>
        </w:rPr>
        <w:t>”.</w:t>
      </w:r>
    </w:p>
    <w:p w14:paraId="7200A90E" w14:textId="77777777" w:rsidR="00FB0214" w:rsidRPr="001833D4" w:rsidRDefault="00FB0214" w:rsidP="00FB0214">
      <w:pPr>
        <w:spacing w:after="120"/>
        <w:rPr>
          <w:rFonts w:ascii="Times New Roman" w:hAnsi="Times New Roman"/>
          <w:lang w:val="en-IE"/>
        </w:rPr>
      </w:pPr>
      <w:r w:rsidRPr="065B018F">
        <w:rPr>
          <w:rFonts w:ascii="Times New Roman" w:hAnsi="Times New Roman"/>
          <w:lang w:val="en-IE"/>
        </w:rPr>
        <w:t>In addition, the 2020-2025 Gender Equality strategy</w:t>
      </w:r>
      <w:r w:rsidRPr="065B018F">
        <w:rPr>
          <w:lang w:val="en-IE"/>
        </w:rPr>
        <w:t>(</w:t>
      </w:r>
      <w:r w:rsidRPr="065B018F">
        <w:rPr>
          <w:rFonts w:ascii="Times New Roman" w:hAnsi="Times New Roman"/>
          <w:lang w:val="en-IE"/>
        </w:rPr>
        <w:t>COM</w:t>
      </w:r>
      <w:r>
        <w:rPr>
          <w:rFonts w:ascii="Times New Roman" w:hAnsi="Times New Roman"/>
          <w:lang w:val="en-IE"/>
        </w:rPr>
        <w:t>(</w:t>
      </w:r>
      <w:r w:rsidRPr="065B018F">
        <w:rPr>
          <w:rFonts w:ascii="Times New Roman" w:hAnsi="Times New Roman"/>
          <w:lang w:val="en-IE"/>
        </w:rPr>
        <w:t>2020</w:t>
      </w:r>
      <w:r>
        <w:rPr>
          <w:rFonts w:ascii="Times New Roman" w:hAnsi="Times New Roman"/>
          <w:lang w:val="en-IE"/>
        </w:rPr>
        <w:t xml:space="preserve">) </w:t>
      </w:r>
      <w:r w:rsidRPr="065B018F">
        <w:rPr>
          <w:rFonts w:ascii="Times New Roman" w:hAnsi="Times New Roman"/>
          <w:lang w:val="en-IE"/>
        </w:rPr>
        <w:t>152), the 2020-2025 EU Anti-Racism Action Plan (COM</w:t>
      </w:r>
      <w:r>
        <w:rPr>
          <w:rFonts w:ascii="Times New Roman" w:hAnsi="Times New Roman"/>
          <w:lang w:val="en-IE"/>
        </w:rPr>
        <w:t>(</w:t>
      </w:r>
      <w:r w:rsidRPr="065B018F">
        <w:rPr>
          <w:rFonts w:ascii="Times New Roman" w:hAnsi="Times New Roman"/>
          <w:lang w:val="en-IE"/>
        </w:rPr>
        <w:t>2020</w:t>
      </w:r>
      <w:r>
        <w:rPr>
          <w:rFonts w:ascii="Times New Roman" w:hAnsi="Times New Roman"/>
          <w:lang w:val="en-IE"/>
        </w:rPr>
        <w:t xml:space="preserve">) </w:t>
      </w:r>
      <w:r w:rsidRPr="065B018F">
        <w:rPr>
          <w:rFonts w:ascii="Times New Roman" w:hAnsi="Times New Roman"/>
          <w:lang w:val="en-IE"/>
        </w:rPr>
        <w:t>565), the EU Roma strategic framework for equality, inclusion and participation (COM</w:t>
      </w:r>
      <w:r>
        <w:rPr>
          <w:rFonts w:ascii="Times New Roman" w:hAnsi="Times New Roman"/>
          <w:lang w:val="en-IE"/>
        </w:rPr>
        <w:t>(</w:t>
      </w:r>
      <w:r w:rsidRPr="065B018F">
        <w:rPr>
          <w:rFonts w:ascii="Times New Roman" w:hAnsi="Times New Roman"/>
          <w:lang w:val="en-IE"/>
        </w:rPr>
        <w:t>2020</w:t>
      </w:r>
      <w:r>
        <w:rPr>
          <w:rFonts w:ascii="Times New Roman" w:hAnsi="Times New Roman"/>
          <w:lang w:val="en-IE"/>
        </w:rPr>
        <w:t xml:space="preserve">) </w:t>
      </w:r>
      <w:r w:rsidRPr="065B018F">
        <w:rPr>
          <w:rFonts w:ascii="Times New Roman" w:hAnsi="Times New Roman"/>
          <w:lang w:val="en-IE"/>
        </w:rPr>
        <w:t>620), the 2021-2030 Strategy for the rights of persons with disabilities (COM</w:t>
      </w:r>
      <w:r>
        <w:rPr>
          <w:rFonts w:ascii="Times New Roman" w:hAnsi="Times New Roman"/>
          <w:lang w:val="en-IE"/>
        </w:rPr>
        <w:t>(</w:t>
      </w:r>
      <w:r w:rsidRPr="065B018F">
        <w:rPr>
          <w:rFonts w:ascii="Times New Roman" w:hAnsi="Times New Roman"/>
          <w:lang w:val="en-IE"/>
        </w:rPr>
        <w:t>2021</w:t>
      </w:r>
      <w:r>
        <w:rPr>
          <w:rFonts w:ascii="Times New Roman" w:hAnsi="Times New Roman"/>
          <w:lang w:val="en-IE"/>
        </w:rPr>
        <w:t xml:space="preserve">) </w:t>
      </w:r>
      <w:r w:rsidRPr="065B018F">
        <w:rPr>
          <w:rFonts w:ascii="Times New Roman" w:hAnsi="Times New Roman"/>
          <w:lang w:val="en-IE"/>
        </w:rPr>
        <w:t>101), the 2020-2025 LGBTIQ equality strategy (COM</w:t>
      </w:r>
      <w:r>
        <w:rPr>
          <w:rFonts w:ascii="Times New Roman" w:hAnsi="Times New Roman"/>
          <w:lang w:val="en-IE"/>
        </w:rPr>
        <w:t>(</w:t>
      </w:r>
      <w:r w:rsidRPr="065B018F">
        <w:rPr>
          <w:rFonts w:ascii="Times New Roman" w:hAnsi="Times New Roman"/>
          <w:lang w:val="en-IE"/>
        </w:rPr>
        <w:t>2020</w:t>
      </w:r>
      <w:r>
        <w:rPr>
          <w:rFonts w:ascii="Times New Roman" w:hAnsi="Times New Roman"/>
          <w:lang w:val="en-IE"/>
        </w:rPr>
        <w:t xml:space="preserve">) </w:t>
      </w:r>
      <w:r w:rsidRPr="065B018F">
        <w:rPr>
          <w:rFonts w:ascii="Times New Roman" w:hAnsi="Times New Roman"/>
          <w:lang w:val="en-IE"/>
        </w:rPr>
        <w:t>698)</w:t>
      </w:r>
      <w:r>
        <w:rPr>
          <w:rFonts w:ascii="Times New Roman" w:hAnsi="Times New Roman"/>
          <w:lang w:val="en-IE"/>
        </w:rPr>
        <w:t>, and the</w:t>
      </w:r>
      <w:r w:rsidRPr="065B018F">
        <w:rPr>
          <w:rFonts w:ascii="Times New Roman" w:hAnsi="Times New Roman"/>
          <w:lang w:val="en-IE"/>
        </w:rPr>
        <w:t xml:space="preserve"> </w:t>
      </w:r>
      <w:r w:rsidRPr="065B018F">
        <w:rPr>
          <w:rFonts w:ascii="Times New Roman" w:hAnsi="Times New Roman"/>
          <w:szCs w:val="24"/>
          <w:lang w:val="en-IE"/>
        </w:rPr>
        <w:t>EU Strategy on combating antisemitism and fostering Jewish life</w:t>
      </w:r>
      <w:r>
        <w:rPr>
          <w:rFonts w:ascii="Times New Roman" w:hAnsi="Times New Roman"/>
          <w:szCs w:val="24"/>
          <w:lang w:val="en-IE"/>
        </w:rPr>
        <w:t xml:space="preserve"> (2021-2030) (COM(2021) 615)</w:t>
      </w:r>
      <w:r w:rsidRPr="065B018F">
        <w:rPr>
          <w:rFonts w:ascii="Times New Roman" w:hAnsi="Times New Roman"/>
          <w:lang w:val="en-IE"/>
        </w:rPr>
        <w:t xml:space="preserve"> have been all put forward in this mandate to build </w:t>
      </w:r>
      <w:r>
        <w:rPr>
          <w:rFonts w:ascii="Times New Roman" w:hAnsi="Times New Roman"/>
          <w:lang w:val="en-IE"/>
        </w:rPr>
        <w:t>a</w:t>
      </w:r>
      <w:r w:rsidRPr="065B018F">
        <w:rPr>
          <w:rFonts w:ascii="Times New Roman" w:hAnsi="Times New Roman"/>
          <w:lang w:val="en-IE"/>
        </w:rPr>
        <w:t xml:space="preserve"> Union of </w:t>
      </w:r>
      <w:r>
        <w:rPr>
          <w:rFonts w:ascii="Times New Roman" w:hAnsi="Times New Roman"/>
          <w:lang w:val="en-IE"/>
        </w:rPr>
        <w:t>e</w:t>
      </w:r>
      <w:r w:rsidRPr="065B018F">
        <w:rPr>
          <w:rFonts w:ascii="Times New Roman" w:hAnsi="Times New Roman"/>
          <w:lang w:val="en-IE"/>
        </w:rPr>
        <w:t xml:space="preserve">quality. </w:t>
      </w:r>
      <w:r>
        <w:rPr>
          <w:rFonts w:ascii="Times New Roman" w:hAnsi="Times New Roman"/>
          <w:szCs w:val="24"/>
          <w:lang w:val="en-IE"/>
        </w:rPr>
        <w:t xml:space="preserve">These strategies </w:t>
      </w:r>
      <w:r w:rsidRPr="065B018F">
        <w:rPr>
          <w:rFonts w:ascii="Times New Roman" w:hAnsi="Times New Roman"/>
          <w:lang w:val="en-IE"/>
        </w:rPr>
        <w:t xml:space="preserve">stress the importance of preventing and tackling discrimination, enforcing EU law in this </w:t>
      </w:r>
      <w:proofErr w:type="gramStart"/>
      <w:r w:rsidRPr="065B018F">
        <w:rPr>
          <w:rFonts w:ascii="Times New Roman" w:hAnsi="Times New Roman"/>
          <w:lang w:val="en-IE"/>
        </w:rPr>
        <w:t>field</w:t>
      </w:r>
      <w:proofErr w:type="gramEnd"/>
      <w:r w:rsidRPr="065B018F">
        <w:rPr>
          <w:rFonts w:ascii="Times New Roman" w:hAnsi="Times New Roman"/>
          <w:lang w:val="en-IE"/>
        </w:rPr>
        <w:t xml:space="preserve"> and improving data collection. They contain concrete actions to achieve these objectives.</w:t>
      </w:r>
    </w:p>
    <w:p w14:paraId="1E626677" w14:textId="77777777" w:rsidR="00FB0214" w:rsidRPr="00395A7B" w:rsidRDefault="00FB0214" w:rsidP="00FB0214">
      <w:pPr>
        <w:widowControl w:val="0"/>
        <w:spacing w:after="120"/>
        <w:rPr>
          <w:rFonts w:ascii="Times New Roman" w:hAnsi="Times New Roman"/>
          <w:bCs/>
          <w:szCs w:val="24"/>
          <w:lang w:val="en-IE"/>
        </w:rPr>
      </w:pPr>
      <w:r w:rsidRPr="065B018F">
        <w:rPr>
          <w:rFonts w:ascii="Times New Roman" w:hAnsi="Times New Roman"/>
          <w:lang w:val="en-IE"/>
        </w:rPr>
        <w:t>The High Level Group on Non-Discrimination, Equality and Diversity was established in 2015 to accompany the development and implementation of policies and programmes at EU and national level aimed at combating discrimination, promoting equality and diversity; to deepen cooperation and coordination between Member States’ relevant authorities and the Commission on questions relating to achieving diversity and equality in practice, and eliminating discrimination, in particular through the exchange of experiences and good practices on related issues of common interest to be defined by the Group and the establishing, when appropriate, of common policy objectives; and to deepen the coherence of effort for equality and against discrimination between the members of the Group, the Presidency, the Council, the European Parliament, the European Commission, and the European Union Agency for Fundamental Rights.</w:t>
      </w:r>
    </w:p>
    <w:p w14:paraId="400197C1" w14:textId="77777777" w:rsidR="00FB0214" w:rsidRDefault="00FB0214" w:rsidP="00FB0214">
      <w:pPr>
        <w:widowControl w:val="0"/>
        <w:spacing w:after="120"/>
        <w:rPr>
          <w:rFonts w:ascii="Times New Roman" w:hAnsi="Times New Roman"/>
          <w:bCs/>
          <w:szCs w:val="24"/>
        </w:rPr>
      </w:pPr>
      <w:r w:rsidRPr="00982ACA">
        <w:rPr>
          <w:rFonts w:ascii="Times New Roman" w:hAnsi="Times New Roman"/>
          <w:b/>
          <w:szCs w:val="24"/>
          <w:lang w:val="en-IE"/>
        </w:rPr>
        <w:t>Paragraph 11</w:t>
      </w:r>
      <w:r w:rsidRPr="00982ACA">
        <w:rPr>
          <w:rFonts w:ascii="Times New Roman" w:hAnsi="Times New Roman"/>
          <w:bCs/>
          <w:szCs w:val="24"/>
        </w:rPr>
        <w:t xml:space="preserve"> </w:t>
      </w:r>
      <w:r>
        <w:rPr>
          <w:rFonts w:ascii="Times New Roman" w:hAnsi="Times New Roman"/>
          <w:bCs/>
          <w:szCs w:val="24"/>
        </w:rPr>
        <w:t xml:space="preserve">calls on the Commission </w:t>
      </w:r>
      <w:r w:rsidRPr="00C47EA0">
        <w:rPr>
          <w:rFonts w:ascii="Times New Roman" w:hAnsi="Times New Roman"/>
          <w:bCs/>
          <w:szCs w:val="24"/>
        </w:rPr>
        <w:t>to address inefficiency in the current processes and systems for reporting experiences of discrimination that do not always aid victims of discrimination in seeking redress and access to justice, which would ensure that all European citizens feel that they can safely disclose any instances of discrimination that they may have faced</w:t>
      </w:r>
      <w:r>
        <w:rPr>
          <w:rFonts w:ascii="Times New Roman" w:hAnsi="Times New Roman"/>
          <w:bCs/>
          <w:szCs w:val="24"/>
        </w:rPr>
        <w:t>.</w:t>
      </w:r>
    </w:p>
    <w:p w14:paraId="1827AD9E" w14:textId="77777777" w:rsidR="00FB0214" w:rsidRPr="00184659" w:rsidRDefault="00FB0214" w:rsidP="00FB0214">
      <w:pPr>
        <w:widowControl w:val="0"/>
        <w:spacing w:after="120"/>
        <w:rPr>
          <w:rFonts w:ascii="Times New Roman" w:hAnsi="Times New Roman"/>
          <w:bCs/>
          <w:szCs w:val="24"/>
        </w:rPr>
      </w:pPr>
      <w:r w:rsidRPr="065B018F">
        <w:rPr>
          <w:rFonts w:ascii="Times New Roman" w:hAnsi="Times New Roman"/>
          <w:lang w:val="en-IE"/>
        </w:rPr>
        <w:t>The Commission proposed, on 7 December 2022, EU legislation to strengthen the independence, resources and powers of equality bodies, the national bodies which assist victims of discrimination and promote equality</w:t>
      </w:r>
      <w:r>
        <w:rPr>
          <w:rFonts w:ascii="Times New Roman" w:hAnsi="Times New Roman"/>
          <w:lang w:val="en-IE"/>
        </w:rPr>
        <w:t xml:space="preserve"> in the Member States (</w:t>
      </w:r>
      <w:proofErr w:type="gramStart"/>
      <w:r w:rsidRPr="065B018F">
        <w:rPr>
          <w:rFonts w:ascii="Times New Roman" w:hAnsi="Times New Roman"/>
        </w:rPr>
        <w:t>COM</w:t>
      </w:r>
      <w:r>
        <w:rPr>
          <w:rFonts w:ascii="Times New Roman" w:hAnsi="Times New Roman"/>
        </w:rPr>
        <w:t>(</w:t>
      </w:r>
      <w:proofErr w:type="gramEnd"/>
      <w:r w:rsidRPr="065B018F">
        <w:rPr>
          <w:rFonts w:ascii="Times New Roman" w:hAnsi="Times New Roman"/>
        </w:rPr>
        <w:t>2022</w:t>
      </w:r>
      <w:r>
        <w:rPr>
          <w:rFonts w:ascii="Times New Roman" w:hAnsi="Times New Roman"/>
        </w:rPr>
        <w:t xml:space="preserve">) </w:t>
      </w:r>
      <w:r w:rsidRPr="065B018F">
        <w:rPr>
          <w:rFonts w:ascii="Times New Roman" w:hAnsi="Times New Roman"/>
        </w:rPr>
        <w:t>688 and COM</w:t>
      </w:r>
      <w:r>
        <w:rPr>
          <w:rFonts w:ascii="Times New Roman" w:hAnsi="Times New Roman"/>
        </w:rPr>
        <w:t>(</w:t>
      </w:r>
      <w:r w:rsidRPr="065B018F">
        <w:rPr>
          <w:rFonts w:ascii="Times New Roman" w:hAnsi="Times New Roman"/>
        </w:rPr>
        <w:t>2022</w:t>
      </w:r>
      <w:r>
        <w:rPr>
          <w:rFonts w:ascii="Times New Roman" w:hAnsi="Times New Roman"/>
        </w:rPr>
        <w:t xml:space="preserve">) </w:t>
      </w:r>
      <w:r w:rsidRPr="065B018F">
        <w:rPr>
          <w:rFonts w:ascii="Times New Roman" w:hAnsi="Times New Roman"/>
        </w:rPr>
        <w:t>689</w:t>
      </w:r>
      <w:r w:rsidRPr="065B018F">
        <w:rPr>
          <w:rFonts w:ascii="Times New Roman" w:hAnsi="Times New Roman"/>
          <w:lang w:val="en-IE"/>
        </w:rPr>
        <w:t>).</w:t>
      </w:r>
    </w:p>
    <w:p w14:paraId="453C4C75" w14:textId="77777777" w:rsidR="00FB0214" w:rsidRPr="00184659" w:rsidRDefault="00FB0214" w:rsidP="00FB0214">
      <w:pPr>
        <w:widowControl w:val="0"/>
        <w:spacing w:after="120"/>
        <w:rPr>
          <w:rFonts w:ascii="Times New Roman" w:hAnsi="Times New Roman"/>
          <w:bCs/>
          <w:szCs w:val="24"/>
        </w:rPr>
      </w:pPr>
      <w:r w:rsidRPr="065B018F">
        <w:rPr>
          <w:rFonts w:ascii="Times New Roman" w:hAnsi="Times New Roman"/>
          <w:lang w:val="en-IE"/>
        </w:rPr>
        <w:lastRenderedPageBreak/>
        <w:t xml:space="preserve">One of the purposes of the proposals is precisely to better assist victims of discrimination and to facilitate their access to justice. The proposals include provisions to address the low level of awareness of equality rights and of the services provided by equality bodies. They provide that equality bodies will advise victims on the legal framework, procedures, and how to obtain redress. Redress can take several forms, such as an amicable resolution between parties, and victims will also </w:t>
      </w:r>
      <w:proofErr w:type="gramStart"/>
      <w:r w:rsidRPr="065B018F">
        <w:rPr>
          <w:rFonts w:ascii="Times New Roman" w:hAnsi="Times New Roman"/>
          <w:lang w:val="en-IE"/>
        </w:rPr>
        <w:t>have the opportunity to</w:t>
      </w:r>
      <w:proofErr w:type="gramEnd"/>
      <w:r w:rsidRPr="065B018F">
        <w:rPr>
          <w:rFonts w:ascii="Times New Roman" w:hAnsi="Times New Roman"/>
          <w:lang w:val="en-IE"/>
        </w:rPr>
        <w:t xml:space="preserve"> seek the support of equality bodies when going to court. The proposals </w:t>
      </w:r>
      <w:r>
        <w:rPr>
          <w:rFonts w:ascii="Times New Roman" w:hAnsi="Times New Roman"/>
          <w:lang w:val="en-IE"/>
        </w:rPr>
        <w:t>require</w:t>
      </w:r>
      <w:r w:rsidRPr="065B018F">
        <w:rPr>
          <w:rFonts w:ascii="Times New Roman" w:hAnsi="Times New Roman"/>
          <w:lang w:val="en-IE"/>
        </w:rPr>
        <w:t xml:space="preserve"> Member States to ensure that equality bodies provide all their services at no cost to complainants, throughout their territory, and without barriers. </w:t>
      </w:r>
    </w:p>
    <w:p w14:paraId="354DF7FA" w14:textId="77777777" w:rsidR="00FB0214" w:rsidRDefault="00FB0214" w:rsidP="00FB0214">
      <w:pPr>
        <w:widowControl w:val="0"/>
        <w:spacing w:after="120"/>
        <w:rPr>
          <w:rFonts w:ascii="Times New Roman" w:hAnsi="Times New Roman"/>
          <w:bCs/>
          <w:szCs w:val="24"/>
        </w:rPr>
      </w:pPr>
      <w:bookmarkStart w:id="6" w:name="_Hlk133479715"/>
      <w:r w:rsidRPr="00D37490">
        <w:rPr>
          <w:rFonts w:ascii="Times New Roman" w:hAnsi="Times New Roman"/>
          <w:b/>
          <w:szCs w:val="24"/>
          <w:lang w:val="en-IE"/>
        </w:rPr>
        <w:t>Paragraph 12</w:t>
      </w:r>
      <w:r w:rsidRPr="00D37490">
        <w:rPr>
          <w:rFonts w:ascii="Times New Roman" w:hAnsi="Times New Roman"/>
          <w:bCs/>
          <w:szCs w:val="24"/>
          <w:lang w:val="en-IE"/>
        </w:rPr>
        <w:t xml:space="preserve"> </w:t>
      </w:r>
      <w:bookmarkEnd w:id="6"/>
      <w:r>
        <w:rPr>
          <w:rFonts w:ascii="Times New Roman" w:hAnsi="Times New Roman"/>
          <w:bCs/>
          <w:szCs w:val="24"/>
          <w:lang w:val="en-IE"/>
        </w:rPr>
        <w:t>calls on the Commission</w:t>
      </w:r>
      <w:r w:rsidRPr="006E6496">
        <w:rPr>
          <w:rFonts w:ascii="Times New Roman" w:hAnsi="Times New Roman"/>
          <w:bCs/>
          <w:szCs w:val="24"/>
        </w:rPr>
        <w:t xml:space="preserve"> to promote the collection and use of equality data in accordance with EU and national legislation</w:t>
      </w:r>
      <w:r>
        <w:rPr>
          <w:rFonts w:ascii="Times New Roman" w:hAnsi="Times New Roman"/>
          <w:bCs/>
          <w:szCs w:val="24"/>
        </w:rPr>
        <w:t>.</w:t>
      </w:r>
    </w:p>
    <w:p w14:paraId="0B2EF2A3" w14:textId="77777777" w:rsidR="00FB0214" w:rsidRPr="006E6496" w:rsidRDefault="00FB0214" w:rsidP="00FB0214">
      <w:pPr>
        <w:widowControl w:val="0"/>
        <w:spacing w:after="120"/>
        <w:rPr>
          <w:rFonts w:ascii="Times New Roman" w:hAnsi="Times New Roman"/>
        </w:rPr>
      </w:pPr>
      <w:r w:rsidRPr="065B018F">
        <w:rPr>
          <w:rFonts w:ascii="Times New Roman" w:hAnsi="Times New Roman"/>
        </w:rPr>
        <w:t xml:space="preserve">The Commission agrees that the mandatory collection of comparable and disaggregated equality data is necessary to ensure that discrimination is adequately documented while fully respecting the fundamental right to privacy, the protection of personal data and the relevant EU and national legislation. That has been expressed in several Commission initiatives, including the </w:t>
      </w:r>
      <w:r>
        <w:rPr>
          <w:rFonts w:ascii="Times New Roman" w:hAnsi="Times New Roman"/>
        </w:rPr>
        <w:t>equality strategies mentioned above</w:t>
      </w:r>
      <w:r w:rsidRPr="065B018F">
        <w:rPr>
          <w:rFonts w:ascii="Times New Roman" w:hAnsi="Times New Roman"/>
        </w:rPr>
        <w:t>.</w:t>
      </w:r>
    </w:p>
    <w:p w14:paraId="231F0F43" w14:textId="77777777" w:rsidR="00FB0214" w:rsidRPr="006E6496" w:rsidRDefault="00FB0214" w:rsidP="00FB0214">
      <w:pPr>
        <w:widowControl w:val="0"/>
        <w:spacing w:after="120"/>
        <w:rPr>
          <w:rFonts w:ascii="Times New Roman" w:hAnsi="Times New Roman"/>
        </w:rPr>
      </w:pPr>
      <w:r w:rsidRPr="065B018F">
        <w:rPr>
          <w:rFonts w:ascii="Times New Roman" w:hAnsi="Times New Roman"/>
        </w:rPr>
        <w:t>To improve the collection and use of equality data by Member States, in 2018 the EU High Level Group on Non-discrimination, Equality and Diversity set up a Subgroup on Equality Data, supported by FRA. The subgroup has produced “Guidelines on improving the collection and use of equality data”</w:t>
      </w:r>
      <w:r>
        <w:rPr>
          <w:rStyle w:val="FootnoteReference"/>
          <w:rFonts w:ascii="Times New Roman" w:hAnsi="Times New Roman"/>
        </w:rPr>
        <w:footnoteReference w:id="1"/>
      </w:r>
      <w:r w:rsidRPr="065B018F">
        <w:rPr>
          <w:rFonts w:ascii="Times New Roman" w:hAnsi="Times New Roman"/>
        </w:rPr>
        <w:t>, specific Guidelines on LGTBIQ data (</w:t>
      </w:r>
      <w:r>
        <w:rPr>
          <w:rFonts w:ascii="Times New Roman" w:hAnsi="Times New Roman"/>
        </w:rPr>
        <w:t>forthcoming</w:t>
      </w:r>
      <w:r w:rsidRPr="065B018F">
        <w:rPr>
          <w:rFonts w:ascii="Times New Roman" w:hAnsi="Times New Roman"/>
        </w:rPr>
        <w:t>), a “</w:t>
      </w:r>
      <w:bookmarkStart w:id="7" w:name="_Hlk136945142"/>
      <w:r w:rsidRPr="065B018F">
        <w:rPr>
          <w:rFonts w:ascii="Times New Roman" w:hAnsi="Times New Roman"/>
        </w:rPr>
        <w:t>Compendium of practices on equality data’ (2019, currently under review)</w:t>
      </w:r>
      <w:bookmarkEnd w:id="7"/>
      <w:r>
        <w:rPr>
          <w:rStyle w:val="FootnoteReference"/>
          <w:rFonts w:ascii="Times New Roman" w:hAnsi="Times New Roman"/>
        </w:rPr>
        <w:footnoteReference w:id="2"/>
      </w:r>
      <w:r w:rsidRPr="065B018F">
        <w:rPr>
          <w:rFonts w:ascii="Times New Roman" w:hAnsi="Times New Roman"/>
        </w:rPr>
        <w:t xml:space="preserve"> and a ‘</w:t>
      </w:r>
      <w:bookmarkStart w:id="8" w:name="_Hlk136945292"/>
      <w:r w:rsidRPr="065B018F">
        <w:rPr>
          <w:rFonts w:ascii="Times New Roman" w:hAnsi="Times New Roman"/>
        </w:rPr>
        <w:t>Diagnostic mapping tool’</w:t>
      </w:r>
      <w:bookmarkEnd w:id="8"/>
      <w:r>
        <w:rPr>
          <w:rStyle w:val="FootnoteReference"/>
          <w:rFonts w:ascii="Times New Roman" w:hAnsi="Times New Roman"/>
        </w:rPr>
        <w:footnoteReference w:id="3"/>
      </w:r>
      <w:r w:rsidRPr="065B018F">
        <w:rPr>
          <w:rFonts w:ascii="Times New Roman" w:hAnsi="Times New Roman"/>
        </w:rPr>
        <w:t>.</w:t>
      </w:r>
    </w:p>
    <w:p w14:paraId="79995215" w14:textId="77777777" w:rsidR="00FB0214" w:rsidRDefault="00FB0214" w:rsidP="00FB0214">
      <w:pPr>
        <w:widowControl w:val="0"/>
        <w:spacing w:after="120"/>
        <w:rPr>
          <w:rFonts w:ascii="Times New Roman" w:hAnsi="Times New Roman"/>
        </w:rPr>
      </w:pPr>
      <w:r w:rsidRPr="065B018F">
        <w:rPr>
          <w:rFonts w:ascii="Times New Roman" w:hAnsi="Times New Roman"/>
        </w:rPr>
        <w:t>FRA regularly publishes equality data</w:t>
      </w:r>
      <w:r>
        <w:rPr>
          <w:rFonts w:ascii="Times New Roman" w:hAnsi="Times New Roman"/>
        </w:rPr>
        <w:t xml:space="preserve"> on specific grounds of discrimination</w:t>
      </w:r>
      <w:r w:rsidRPr="065B018F">
        <w:rPr>
          <w:rFonts w:ascii="Times New Roman" w:hAnsi="Times New Roman"/>
        </w:rPr>
        <w:t>, and related data-collection guidelines. A recent guide on disability (“Implementing the UN Convention on the Rights of Persons with Disabilities: Human rights indicators”) helps Member States monitoring the situation of persons with disabilities. All these documents are available and easily accessible on the websites of the Commission and of FRA.</w:t>
      </w:r>
    </w:p>
    <w:p w14:paraId="09EEDA2E" w14:textId="77777777" w:rsidR="00FB0214" w:rsidRPr="006E6496" w:rsidRDefault="00FB0214" w:rsidP="00FB0214">
      <w:pPr>
        <w:widowControl w:val="0"/>
        <w:spacing w:after="120"/>
        <w:rPr>
          <w:rFonts w:ascii="Times New Roman" w:hAnsi="Times New Roman"/>
        </w:rPr>
      </w:pPr>
      <w:r w:rsidRPr="002E5FD9">
        <w:rPr>
          <w:rFonts w:ascii="Times New Roman" w:hAnsi="Times New Roman"/>
        </w:rPr>
        <w:t xml:space="preserve">On 30 September 2021, as announced in the Anti-racism Action Plan, the Commission organised a Roundtable on equality data, bringing together key stakeholders to examine obstacles to the collection of equality and identify paths to a more </w:t>
      </w:r>
      <w:r>
        <w:rPr>
          <w:rFonts w:ascii="Times New Roman" w:hAnsi="Times New Roman"/>
        </w:rPr>
        <w:t>consistent</w:t>
      </w:r>
      <w:r w:rsidRPr="002E5FD9">
        <w:rPr>
          <w:rFonts w:ascii="Times New Roman" w:hAnsi="Times New Roman"/>
        </w:rPr>
        <w:t xml:space="preserve"> approach.</w:t>
      </w:r>
    </w:p>
    <w:p w14:paraId="2B34D594" w14:textId="77777777" w:rsidR="00FB0214" w:rsidRDefault="00FB0214" w:rsidP="00FB0214">
      <w:pPr>
        <w:widowControl w:val="0"/>
        <w:spacing w:after="120"/>
        <w:rPr>
          <w:rFonts w:ascii="Times New Roman" w:hAnsi="Times New Roman"/>
        </w:rPr>
      </w:pPr>
      <w:r w:rsidRPr="065B018F">
        <w:rPr>
          <w:rFonts w:ascii="Times New Roman" w:hAnsi="Times New Roman"/>
        </w:rPr>
        <w:t xml:space="preserve">In addition, Eurostat has launched a dedicated work strand </w:t>
      </w:r>
      <w:r>
        <w:rPr>
          <w:rFonts w:ascii="Times New Roman" w:hAnsi="Times New Roman"/>
        </w:rPr>
        <w:t>on</w:t>
      </w:r>
      <w:r w:rsidRPr="065B018F">
        <w:rPr>
          <w:rFonts w:ascii="Times New Roman" w:hAnsi="Times New Roman"/>
        </w:rPr>
        <w:t xml:space="preserve"> equality data, and it</w:t>
      </w:r>
      <w:r>
        <w:rPr>
          <w:rFonts w:ascii="Times New Roman" w:hAnsi="Times New Roman"/>
        </w:rPr>
        <w:t xml:space="preserve"> i</w:t>
      </w:r>
      <w:r w:rsidRPr="065B018F">
        <w:rPr>
          <w:rFonts w:ascii="Times New Roman" w:hAnsi="Times New Roman"/>
        </w:rPr>
        <w:t>s stepping up its effort in coordination with Member States, EU agencies and other stakeholders. In February 2023 the European Statistical System Committee supported broadly the way forward for improving equality statistics as presented by Eurostat. A detailed action plan will be discussed in the meeting of European Directors of Social Statistics in June 2023, with the aim of launching a task force on equality statistics by the end of 2023.</w:t>
      </w:r>
    </w:p>
    <w:p w14:paraId="24F25174" w14:textId="77777777" w:rsidR="00FB0214" w:rsidRDefault="00FB0214" w:rsidP="00FB0214">
      <w:pPr>
        <w:widowControl w:val="0"/>
        <w:spacing w:after="120"/>
        <w:rPr>
          <w:rFonts w:ascii="Times New Roman" w:hAnsi="Times New Roman"/>
          <w:bCs/>
          <w:szCs w:val="24"/>
        </w:rPr>
      </w:pPr>
      <w:bookmarkStart w:id="9" w:name="_Hlk134002168"/>
      <w:r w:rsidRPr="006B7780">
        <w:rPr>
          <w:rFonts w:ascii="Times New Roman" w:hAnsi="Times New Roman"/>
          <w:b/>
          <w:szCs w:val="24"/>
          <w:lang w:val="en-IE"/>
        </w:rPr>
        <w:t>Paragraph 13</w:t>
      </w:r>
      <w:r>
        <w:rPr>
          <w:rFonts w:ascii="Times New Roman" w:hAnsi="Times New Roman"/>
          <w:b/>
          <w:szCs w:val="24"/>
          <w:lang w:val="en-IE"/>
        </w:rPr>
        <w:t xml:space="preserve"> </w:t>
      </w:r>
      <w:r w:rsidRPr="00B010FE">
        <w:rPr>
          <w:rFonts w:ascii="Times New Roman" w:hAnsi="Times New Roman"/>
          <w:bCs/>
          <w:szCs w:val="24"/>
          <w:lang w:val="en-IE"/>
        </w:rPr>
        <w:t>call</w:t>
      </w:r>
      <w:r>
        <w:rPr>
          <w:rFonts w:ascii="Times New Roman" w:hAnsi="Times New Roman"/>
          <w:bCs/>
          <w:szCs w:val="24"/>
          <w:lang w:val="en-IE"/>
        </w:rPr>
        <w:t>s</w:t>
      </w:r>
      <w:r w:rsidRPr="00B010FE">
        <w:rPr>
          <w:rFonts w:ascii="Times New Roman" w:hAnsi="Times New Roman"/>
          <w:bCs/>
          <w:szCs w:val="24"/>
          <w:lang w:val="en-IE"/>
        </w:rPr>
        <w:t xml:space="preserve"> on the Commission </w:t>
      </w:r>
      <w:r w:rsidRPr="00B010FE">
        <w:rPr>
          <w:rFonts w:ascii="Times New Roman" w:hAnsi="Times New Roman"/>
          <w:bCs/>
          <w:szCs w:val="24"/>
        </w:rPr>
        <w:t>to</w:t>
      </w:r>
      <w:r>
        <w:rPr>
          <w:rFonts w:ascii="Times New Roman" w:hAnsi="Times New Roman"/>
          <w:bCs/>
          <w:szCs w:val="24"/>
        </w:rPr>
        <w:t xml:space="preserve"> </w:t>
      </w:r>
      <w:r w:rsidRPr="00B010FE">
        <w:rPr>
          <w:rFonts w:ascii="Times New Roman" w:hAnsi="Times New Roman"/>
          <w:bCs/>
          <w:szCs w:val="24"/>
        </w:rPr>
        <w:t>closely monitor the growing current backlash against fundamental rights and the rise in discrimination across the EU</w:t>
      </w:r>
      <w:r>
        <w:rPr>
          <w:rFonts w:ascii="Times New Roman" w:hAnsi="Times New Roman"/>
          <w:bCs/>
          <w:szCs w:val="24"/>
        </w:rPr>
        <w:t>.</w:t>
      </w:r>
    </w:p>
    <w:bookmarkEnd w:id="9"/>
    <w:p w14:paraId="7F2B9BF0" w14:textId="77777777" w:rsidR="00FB0214" w:rsidRDefault="00FB0214" w:rsidP="00FB0214">
      <w:pPr>
        <w:widowControl w:val="0"/>
        <w:spacing w:after="120"/>
        <w:rPr>
          <w:rFonts w:ascii="Times New Roman" w:hAnsi="Times New Roman"/>
          <w:bCs/>
          <w:szCs w:val="24"/>
        </w:rPr>
      </w:pPr>
      <w:r w:rsidRPr="065B018F">
        <w:rPr>
          <w:rFonts w:ascii="Times New Roman" w:hAnsi="Times New Roman"/>
          <w:lang w:val="en-IE"/>
        </w:rPr>
        <w:t>As noted in the Charter strategy</w:t>
      </w:r>
      <w:r>
        <w:rPr>
          <w:rFonts w:ascii="Times New Roman" w:hAnsi="Times New Roman"/>
          <w:lang w:val="en-IE"/>
        </w:rPr>
        <w:t xml:space="preserve"> and in the equality strategies</w:t>
      </w:r>
      <w:r w:rsidRPr="065B018F">
        <w:rPr>
          <w:rFonts w:ascii="Times New Roman" w:hAnsi="Times New Roman"/>
          <w:lang w:val="en-IE"/>
        </w:rPr>
        <w:t>, the Commission works to integrate and mainstream the implementation of fundamental rights</w:t>
      </w:r>
      <w:r>
        <w:rPr>
          <w:rFonts w:ascii="Times New Roman" w:hAnsi="Times New Roman"/>
          <w:lang w:val="en-IE"/>
        </w:rPr>
        <w:t xml:space="preserve"> and equality </w:t>
      </w:r>
      <w:r w:rsidRPr="065B018F">
        <w:rPr>
          <w:rFonts w:ascii="Times New Roman" w:hAnsi="Times New Roman"/>
        </w:rPr>
        <w:t>into all its policies and legislative proposals. Taken together, the measures explained in relation to paragraph 10 also frame the Commission’s response to the backlash against fundamental rights and the rise in discrimination across the EU.</w:t>
      </w:r>
    </w:p>
    <w:p w14:paraId="470A4D5C" w14:textId="77777777" w:rsidR="00FB0214" w:rsidRPr="004644B1" w:rsidRDefault="00FB0214" w:rsidP="00FB0214">
      <w:pPr>
        <w:widowControl w:val="0"/>
        <w:spacing w:after="120"/>
        <w:rPr>
          <w:rFonts w:ascii="Times New Roman" w:hAnsi="Times New Roman"/>
          <w:bCs/>
          <w:szCs w:val="24"/>
        </w:rPr>
      </w:pPr>
      <w:r w:rsidRPr="006B7780">
        <w:rPr>
          <w:rFonts w:ascii="Times New Roman" w:hAnsi="Times New Roman"/>
          <w:b/>
          <w:szCs w:val="24"/>
          <w:lang w:val="en-IE"/>
        </w:rPr>
        <w:t>Paragraph 13</w:t>
      </w:r>
      <w:r>
        <w:rPr>
          <w:rFonts w:ascii="Times New Roman" w:hAnsi="Times New Roman"/>
          <w:b/>
          <w:szCs w:val="24"/>
          <w:lang w:val="en-IE"/>
        </w:rPr>
        <w:t xml:space="preserve"> </w:t>
      </w:r>
      <w:r w:rsidRPr="00B010FE">
        <w:rPr>
          <w:rFonts w:ascii="Times New Roman" w:hAnsi="Times New Roman"/>
          <w:bCs/>
          <w:szCs w:val="24"/>
          <w:lang w:val="en-IE"/>
        </w:rPr>
        <w:t>call</w:t>
      </w:r>
      <w:r>
        <w:rPr>
          <w:rFonts w:ascii="Times New Roman" w:hAnsi="Times New Roman"/>
          <w:bCs/>
          <w:szCs w:val="24"/>
          <w:lang w:val="en-IE"/>
        </w:rPr>
        <w:t>s</w:t>
      </w:r>
      <w:r w:rsidRPr="00B010FE">
        <w:rPr>
          <w:rFonts w:ascii="Times New Roman" w:hAnsi="Times New Roman"/>
          <w:bCs/>
          <w:szCs w:val="24"/>
          <w:lang w:val="en-IE"/>
        </w:rPr>
        <w:t xml:space="preserve"> on the Commission </w:t>
      </w:r>
      <w:r w:rsidRPr="00B010FE">
        <w:rPr>
          <w:rFonts w:ascii="Times New Roman" w:hAnsi="Times New Roman"/>
          <w:bCs/>
          <w:szCs w:val="24"/>
        </w:rPr>
        <w:t>to</w:t>
      </w:r>
      <w:r>
        <w:rPr>
          <w:rFonts w:ascii="Times New Roman" w:hAnsi="Times New Roman"/>
          <w:bCs/>
          <w:szCs w:val="24"/>
        </w:rPr>
        <w:t xml:space="preserve"> </w:t>
      </w:r>
      <w:r w:rsidRPr="008A71EE">
        <w:rPr>
          <w:rFonts w:ascii="Times New Roman" w:hAnsi="Times New Roman"/>
          <w:bCs/>
          <w:szCs w:val="24"/>
        </w:rPr>
        <w:t xml:space="preserve">explore all possible avenues to overcome the </w:t>
      </w:r>
      <w:r w:rsidRPr="008A71EE">
        <w:rPr>
          <w:rFonts w:ascii="Times New Roman" w:hAnsi="Times New Roman"/>
          <w:bCs/>
          <w:szCs w:val="24"/>
        </w:rPr>
        <w:lastRenderedPageBreak/>
        <w:t>political deadlock on the horizontal anti-discrimination directive and to combat all forms of discrimination in the EU with equal resolve</w:t>
      </w:r>
      <w:r>
        <w:rPr>
          <w:rFonts w:ascii="Times New Roman" w:hAnsi="Times New Roman"/>
          <w:bCs/>
          <w:szCs w:val="24"/>
        </w:rPr>
        <w:t>.</w:t>
      </w:r>
    </w:p>
    <w:p w14:paraId="71468FF8" w14:textId="77777777" w:rsidR="00FB0214" w:rsidRDefault="00FB0214" w:rsidP="00FB0214">
      <w:pPr>
        <w:widowControl w:val="0"/>
        <w:spacing w:after="120"/>
        <w:rPr>
          <w:rFonts w:ascii="Times New Roman" w:hAnsi="Times New Roman"/>
        </w:rPr>
      </w:pPr>
      <w:r w:rsidRPr="065B018F">
        <w:rPr>
          <w:rFonts w:ascii="Times New Roman" w:hAnsi="Times New Roman"/>
        </w:rPr>
        <w:t xml:space="preserve">The adoption of the proposal for a Council Directive on implementing the principle of equal treatment between persons irrespective of religion or belief, disability, </w:t>
      </w:r>
      <w:proofErr w:type="gramStart"/>
      <w:r w:rsidRPr="065B018F">
        <w:rPr>
          <w:rFonts w:ascii="Times New Roman" w:hAnsi="Times New Roman"/>
        </w:rPr>
        <w:t>age</w:t>
      </w:r>
      <w:proofErr w:type="gramEnd"/>
      <w:r w:rsidRPr="065B018F">
        <w:rPr>
          <w:rFonts w:ascii="Times New Roman" w:hAnsi="Times New Roman"/>
        </w:rPr>
        <w:t xml:space="preserve"> or sexual orientation in the areas of social protection, education and access to goods and services available to the public remains a priority for the Commission. </w:t>
      </w:r>
      <w:r>
        <w:rPr>
          <w:rFonts w:ascii="Times New Roman" w:hAnsi="Times New Roman"/>
        </w:rPr>
        <w:t>I</w:t>
      </w:r>
      <w:r w:rsidRPr="065B018F">
        <w:rPr>
          <w:rFonts w:ascii="Times New Roman" w:hAnsi="Times New Roman"/>
        </w:rPr>
        <w:t>n its Work Programme for 2023</w:t>
      </w:r>
      <w:r>
        <w:rPr>
          <w:rFonts w:ascii="Times New Roman" w:hAnsi="Times New Roman"/>
        </w:rPr>
        <w:t>, t</w:t>
      </w:r>
      <w:r w:rsidRPr="065B018F">
        <w:rPr>
          <w:rFonts w:ascii="Times New Roman" w:hAnsi="Times New Roman"/>
        </w:rPr>
        <w:t>he Commission listed the proposal among the priority legislative files.</w:t>
      </w:r>
    </w:p>
    <w:p w14:paraId="3B0E1D39" w14:textId="77777777" w:rsidR="00FB0214" w:rsidRDefault="00FB0214" w:rsidP="00FB0214">
      <w:pPr>
        <w:widowControl w:val="0"/>
        <w:spacing w:after="120"/>
        <w:rPr>
          <w:rFonts w:ascii="Times New Roman" w:hAnsi="Times New Roman"/>
        </w:rPr>
      </w:pPr>
      <w:r w:rsidRPr="065B018F">
        <w:rPr>
          <w:rFonts w:ascii="Times New Roman" w:hAnsi="Times New Roman"/>
        </w:rPr>
        <w:t>The proposal requires Council unanimity for adoption with the European Parliament’s consent (Article 19(1) of the Treaty on the Functioning of the European Union)).</w:t>
      </w:r>
    </w:p>
    <w:p w14:paraId="2783DE90" w14:textId="77777777" w:rsidR="00FB0214" w:rsidRDefault="00FB0214" w:rsidP="00FB0214">
      <w:pPr>
        <w:widowControl w:val="0"/>
        <w:spacing w:after="120"/>
        <w:rPr>
          <w:rFonts w:ascii="Times New Roman" w:hAnsi="Times New Roman"/>
        </w:rPr>
      </w:pPr>
      <w:r w:rsidRPr="065B018F">
        <w:rPr>
          <w:rFonts w:ascii="Times New Roman" w:hAnsi="Times New Roman"/>
        </w:rPr>
        <w:t xml:space="preserve">The Commission welcomes that certain progress could be achieved under the 2021 Portuguese and Czech Presidencies. The Commission also appreciates the support of the Swedish Presidency to give impetus </w:t>
      </w:r>
      <w:r>
        <w:rPr>
          <w:rFonts w:ascii="Times New Roman" w:hAnsi="Times New Roman"/>
        </w:rPr>
        <w:t>to</w:t>
      </w:r>
      <w:r w:rsidRPr="065B018F">
        <w:rPr>
          <w:rFonts w:ascii="Times New Roman" w:hAnsi="Times New Roman"/>
        </w:rPr>
        <w:t xml:space="preserve"> this important file.</w:t>
      </w:r>
    </w:p>
    <w:p w14:paraId="08FDFF66" w14:textId="77777777" w:rsidR="00FB0214" w:rsidRDefault="00FB0214" w:rsidP="00FB0214">
      <w:pPr>
        <w:widowControl w:val="0"/>
        <w:spacing w:after="120"/>
        <w:rPr>
          <w:rFonts w:ascii="Times New Roman" w:hAnsi="Times New Roman"/>
        </w:rPr>
      </w:pPr>
      <w:r w:rsidRPr="065B018F">
        <w:rPr>
          <w:rFonts w:ascii="Times New Roman" w:hAnsi="Times New Roman"/>
        </w:rPr>
        <w:t>Throughout the Council negotiations, the Commission has always actively supported the Council Presidencies and the Member States to find possible ways to</w:t>
      </w:r>
      <w:r>
        <w:rPr>
          <w:rFonts w:ascii="Times New Roman" w:hAnsi="Times New Roman"/>
        </w:rPr>
        <w:t xml:space="preserve"> </w:t>
      </w:r>
      <w:r w:rsidRPr="065B018F">
        <w:rPr>
          <w:rFonts w:ascii="Times New Roman" w:hAnsi="Times New Roman"/>
        </w:rPr>
        <w:t>make progress on the file. The Commission will continue to offer support in technical and legal questions.</w:t>
      </w:r>
    </w:p>
    <w:p w14:paraId="133BB1AB" w14:textId="77777777" w:rsidR="00FB0214" w:rsidRDefault="00FB0214" w:rsidP="00FB0214">
      <w:pPr>
        <w:widowControl w:val="0"/>
        <w:spacing w:after="120"/>
        <w:rPr>
          <w:rFonts w:ascii="Times New Roman" w:hAnsi="Times New Roman"/>
          <w:bCs/>
          <w:szCs w:val="24"/>
        </w:rPr>
      </w:pPr>
      <w:r w:rsidRPr="00AD2108">
        <w:rPr>
          <w:rFonts w:ascii="Times New Roman" w:hAnsi="Times New Roman"/>
        </w:rPr>
        <w:t xml:space="preserve">The Commission is open to discuss changes that could support progress towards the required unanimity in the Council, </w:t>
      </w:r>
      <w:proofErr w:type="gramStart"/>
      <w:r w:rsidRPr="00AD2108">
        <w:rPr>
          <w:rFonts w:ascii="Times New Roman" w:hAnsi="Times New Roman"/>
        </w:rPr>
        <w:t>taking into account</w:t>
      </w:r>
      <w:proofErr w:type="gramEnd"/>
      <w:r w:rsidRPr="00AD2108">
        <w:rPr>
          <w:rFonts w:ascii="Times New Roman" w:hAnsi="Times New Roman"/>
        </w:rPr>
        <w:t xml:space="preserve"> developments in EU law since the proposal was made.</w:t>
      </w:r>
      <w:r>
        <w:rPr>
          <w:rFonts w:ascii="Times New Roman" w:hAnsi="Times New Roman"/>
        </w:rPr>
        <w:t xml:space="preserve"> At the same time, particular attention will be paid as regards the potential implications of any possible weakening of the provisions related to persons with disabilities.</w:t>
      </w:r>
    </w:p>
    <w:p w14:paraId="741B96C7" w14:textId="77777777" w:rsidR="00FB0214" w:rsidRDefault="00FB0214" w:rsidP="00FB0214">
      <w:pPr>
        <w:widowControl w:val="0"/>
        <w:spacing w:after="120"/>
        <w:rPr>
          <w:rFonts w:ascii="Times New Roman" w:hAnsi="Times New Roman"/>
          <w:bCs/>
          <w:szCs w:val="24"/>
          <w:lang w:val="en-IE"/>
        </w:rPr>
      </w:pPr>
      <w:r w:rsidRPr="0023702B">
        <w:rPr>
          <w:rFonts w:ascii="Times New Roman" w:hAnsi="Times New Roman"/>
          <w:b/>
          <w:szCs w:val="24"/>
          <w:lang w:val="en-IE"/>
        </w:rPr>
        <w:t>Paragraph 14</w:t>
      </w:r>
      <w:r w:rsidRPr="002C4EEE">
        <w:rPr>
          <w:rFonts w:ascii="Times New Roman" w:hAnsi="Times New Roman"/>
          <w:bCs/>
          <w:szCs w:val="24"/>
          <w:lang w:val="en-IE"/>
        </w:rPr>
        <w:t xml:space="preserve"> </w:t>
      </w:r>
      <w:r>
        <w:rPr>
          <w:rFonts w:ascii="Times New Roman" w:hAnsi="Times New Roman"/>
          <w:bCs/>
          <w:szCs w:val="24"/>
          <w:lang w:val="en-IE"/>
        </w:rPr>
        <w:t xml:space="preserve">states that any update of the proposal for a horizontal anti-discrimination directive by the Commission must build on Parliament’s position, address intersectional </w:t>
      </w:r>
      <w:proofErr w:type="gramStart"/>
      <w:r>
        <w:rPr>
          <w:rFonts w:ascii="Times New Roman" w:hAnsi="Times New Roman"/>
          <w:bCs/>
          <w:szCs w:val="24"/>
          <w:lang w:val="en-IE"/>
        </w:rPr>
        <w:t>discrimination</w:t>
      </w:r>
      <w:proofErr w:type="gramEnd"/>
      <w:r>
        <w:rPr>
          <w:rFonts w:ascii="Times New Roman" w:hAnsi="Times New Roman"/>
          <w:bCs/>
          <w:szCs w:val="24"/>
          <w:lang w:val="en-IE"/>
        </w:rPr>
        <w:t xml:space="preserve"> and explicitly prohibit discrimination on any combination of grounds listed in the Charter.</w:t>
      </w:r>
    </w:p>
    <w:p w14:paraId="61745032" w14:textId="77777777" w:rsidR="00FB0214" w:rsidRDefault="00FB0214" w:rsidP="00FB0214">
      <w:pPr>
        <w:widowControl w:val="0"/>
        <w:spacing w:after="120"/>
        <w:rPr>
          <w:rFonts w:ascii="Times New Roman" w:hAnsi="Times New Roman"/>
        </w:rPr>
      </w:pPr>
      <w:r w:rsidRPr="065B018F">
        <w:rPr>
          <w:rFonts w:ascii="Times New Roman" w:hAnsi="Times New Roman"/>
          <w:lang w:val="en-IE"/>
        </w:rPr>
        <w:t>T</w:t>
      </w:r>
      <w:r w:rsidRPr="065B018F">
        <w:rPr>
          <w:rFonts w:ascii="Times New Roman" w:hAnsi="Times New Roman"/>
        </w:rPr>
        <w:t xml:space="preserve">he </w:t>
      </w:r>
      <w:r>
        <w:rPr>
          <w:rFonts w:ascii="Times New Roman" w:hAnsi="Times New Roman"/>
        </w:rPr>
        <w:t xml:space="preserve">adoption of the </w:t>
      </w:r>
      <w:r w:rsidRPr="065B018F">
        <w:rPr>
          <w:rFonts w:ascii="Times New Roman" w:hAnsi="Times New Roman"/>
        </w:rPr>
        <w:t xml:space="preserve">EU Equal Treatment Directive continues to be a priority for the Commission as it would fill a legislative gap in the protection against discrimination at EU level. The Commission continues to support the legislator in its efforts to adopt the </w:t>
      </w:r>
      <w:r>
        <w:rPr>
          <w:rFonts w:ascii="Times New Roman" w:hAnsi="Times New Roman"/>
        </w:rPr>
        <w:t xml:space="preserve">proposed </w:t>
      </w:r>
      <w:r w:rsidRPr="065B018F">
        <w:rPr>
          <w:rFonts w:ascii="Times New Roman" w:hAnsi="Times New Roman"/>
        </w:rPr>
        <w:t xml:space="preserve">legislation. </w:t>
      </w:r>
    </w:p>
    <w:sectPr w:rsidR="00FB0214" w:rsidSect="000A07D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40C2" w14:textId="77777777" w:rsidR="00BE75F9" w:rsidRDefault="00BE75F9">
      <w:r>
        <w:separator/>
      </w:r>
    </w:p>
  </w:endnote>
  <w:endnote w:type="continuationSeparator" w:id="0">
    <w:p w14:paraId="6A6E8350" w14:textId="77777777" w:rsidR="00BE75F9" w:rsidRDefault="00BE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786"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31B7E941"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4435"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noProof/>
      </w:rPr>
      <w:t>3</w:t>
    </w:r>
    <w:r>
      <w:rPr>
        <w:rStyle w:val="PageNumber"/>
      </w:rPr>
      <w:fldChar w:fldCharType="end"/>
    </w:r>
  </w:p>
  <w:p w14:paraId="183397AC"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AB9" w14:textId="5A8FBCEF" w:rsidR="005E6EC2" w:rsidRPr="00B75D92" w:rsidRDefault="005E6EC2" w:rsidP="00B7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F6EC" w14:textId="77777777" w:rsidR="00BE75F9" w:rsidRDefault="00BE75F9">
      <w:r>
        <w:separator/>
      </w:r>
    </w:p>
  </w:footnote>
  <w:footnote w:type="continuationSeparator" w:id="0">
    <w:p w14:paraId="2457A1E9" w14:textId="77777777" w:rsidR="00BE75F9" w:rsidRDefault="00BE75F9">
      <w:r>
        <w:continuationSeparator/>
      </w:r>
    </w:p>
  </w:footnote>
  <w:footnote w:id="1">
    <w:p w14:paraId="4A182F29" w14:textId="77777777" w:rsidR="00FB0214" w:rsidRPr="00690AF5" w:rsidRDefault="00FB0214" w:rsidP="00FB0214">
      <w:pPr>
        <w:pStyle w:val="FootnoteText"/>
        <w:spacing w:after="0"/>
        <w:rPr>
          <w:rFonts w:ascii="Times New Roman" w:hAnsi="Times New Roman"/>
          <w:lang w:val="en-IE"/>
        </w:rPr>
      </w:pPr>
      <w:r w:rsidRPr="00690AF5">
        <w:rPr>
          <w:rStyle w:val="FootnoteReference"/>
          <w:rFonts w:ascii="Times New Roman" w:hAnsi="Times New Roman"/>
        </w:rPr>
        <w:footnoteRef/>
      </w:r>
      <w:r w:rsidRPr="00690AF5">
        <w:rPr>
          <w:rFonts w:ascii="Times New Roman" w:hAnsi="Times New Roman"/>
        </w:rPr>
        <w:t xml:space="preserve"> </w:t>
      </w:r>
      <w:r>
        <w:rPr>
          <w:rFonts w:ascii="Times New Roman" w:hAnsi="Times New Roman"/>
        </w:rPr>
        <w:tab/>
      </w:r>
      <w:hyperlink r:id="rId1" w:history="1">
        <w:r w:rsidRPr="00690AF5">
          <w:rPr>
            <w:rStyle w:val="Hyperlink"/>
            <w:rFonts w:ascii="Times New Roman" w:hAnsi="Times New Roman"/>
          </w:rPr>
          <w:t>Guidelines on improving the collection and use of equality data</w:t>
        </w:r>
      </w:hyperlink>
      <w:r w:rsidRPr="00690AF5">
        <w:rPr>
          <w:rFonts w:ascii="Times New Roman" w:hAnsi="Times New Roman"/>
        </w:rPr>
        <w:t xml:space="preserve"> (2021)</w:t>
      </w:r>
    </w:p>
  </w:footnote>
  <w:footnote w:id="2">
    <w:p w14:paraId="1CD6121C" w14:textId="77777777" w:rsidR="00FB0214" w:rsidRPr="00690AF5" w:rsidRDefault="00FB0214" w:rsidP="00FB0214">
      <w:pPr>
        <w:pStyle w:val="FootnoteText"/>
        <w:spacing w:after="0"/>
        <w:rPr>
          <w:rFonts w:ascii="Times New Roman" w:hAnsi="Times New Roman"/>
          <w:lang w:val="en-IE"/>
        </w:rPr>
      </w:pPr>
      <w:r w:rsidRPr="00690AF5">
        <w:rPr>
          <w:rStyle w:val="FootnoteReference"/>
          <w:rFonts w:ascii="Times New Roman" w:hAnsi="Times New Roman"/>
        </w:rPr>
        <w:footnoteRef/>
      </w:r>
      <w:r w:rsidRPr="00690AF5">
        <w:rPr>
          <w:rFonts w:ascii="Times New Roman" w:hAnsi="Times New Roman"/>
        </w:rPr>
        <w:t xml:space="preserve"> </w:t>
      </w:r>
      <w:r>
        <w:rPr>
          <w:rFonts w:ascii="Times New Roman" w:hAnsi="Times New Roman"/>
        </w:rPr>
        <w:tab/>
      </w:r>
      <w:hyperlink r:id="rId2" w:history="1">
        <w:r w:rsidRPr="00690AF5">
          <w:rPr>
            <w:rStyle w:val="Hyperlink"/>
            <w:rFonts w:ascii="Times New Roman" w:hAnsi="Times New Roman"/>
          </w:rPr>
          <w:t>Compendium of practices on equality data’</w:t>
        </w:r>
      </w:hyperlink>
      <w:r w:rsidRPr="00690AF5">
        <w:rPr>
          <w:rFonts w:ascii="Times New Roman" w:hAnsi="Times New Roman"/>
        </w:rPr>
        <w:t xml:space="preserve"> (2019)</w:t>
      </w:r>
    </w:p>
  </w:footnote>
  <w:footnote w:id="3">
    <w:p w14:paraId="5B818A52" w14:textId="77777777" w:rsidR="00FB0214" w:rsidRPr="00690AF5" w:rsidRDefault="00FB0214" w:rsidP="00FB0214">
      <w:pPr>
        <w:pStyle w:val="FootnoteText"/>
        <w:spacing w:after="0"/>
        <w:rPr>
          <w:lang w:val="en-IE"/>
        </w:rPr>
      </w:pPr>
      <w:r w:rsidRPr="00690AF5">
        <w:rPr>
          <w:rStyle w:val="FootnoteReference"/>
          <w:rFonts w:ascii="Times New Roman" w:hAnsi="Times New Roman"/>
        </w:rPr>
        <w:footnoteRef/>
      </w:r>
      <w:r w:rsidRPr="00690AF5">
        <w:rPr>
          <w:rFonts w:ascii="Times New Roman" w:hAnsi="Times New Roman"/>
        </w:rPr>
        <w:t xml:space="preserve"> </w:t>
      </w:r>
      <w:r>
        <w:rPr>
          <w:rFonts w:ascii="Times New Roman" w:hAnsi="Times New Roman"/>
        </w:rPr>
        <w:tab/>
      </w:r>
      <w:hyperlink r:id="rId3" w:anchor="diagnostic-tool" w:history="1">
        <w:r w:rsidRPr="00690AF5">
          <w:rPr>
            <w:rStyle w:val="Hyperlink"/>
            <w:rFonts w:ascii="Times New Roman" w:hAnsi="Times New Roman"/>
          </w:rPr>
          <w:t>Diagnostic mapping tool</w:t>
        </w:r>
      </w:hyperlink>
      <w:r w:rsidRPr="00690AF5">
        <w:rPr>
          <w:rFonts w:ascii="Times New Roman" w:hAnsi="Times New Roman"/>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80D1" w14:textId="77777777" w:rsidR="00B75D92" w:rsidRDefault="00B7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BFAC" w14:textId="77777777" w:rsidR="00B75D92" w:rsidRDefault="00B75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4931" w14:textId="77777777" w:rsidR="00B75D92" w:rsidRDefault="00B7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7B4B54"/>
    <w:multiLevelType w:val="hybridMultilevel"/>
    <w:tmpl w:val="9A68092A"/>
    <w:lvl w:ilvl="0" w:tplc="1B2CE8A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787E2A"/>
    <w:multiLevelType w:val="hybridMultilevel"/>
    <w:tmpl w:val="E11A2112"/>
    <w:lvl w:ilvl="0" w:tplc="AEA6BD9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8ED15D6"/>
    <w:multiLevelType w:val="hybridMultilevel"/>
    <w:tmpl w:val="BBB22746"/>
    <w:lvl w:ilvl="0" w:tplc="98825AEE">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1852415"/>
    <w:multiLevelType w:val="hybridMultilevel"/>
    <w:tmpl w:val="CDAE29B0"/>
    <w:lvl w:ilvl="0" w:tplc="3228B35C">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91DC0"/>
    <w:multiLevelType w:val="hybridMultilevel"/>
    <w:tmpl w:val="5CD4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931312846">
    <w:abstractNumId w:val="6"/>
  </w:num>
  <w:num w:numId="2" w16cid:durableId="487021018">
    <w:abstractNumId w:val="1"/>
  </w:num>
  <w:num w:numId="3" w16cid:durableId="1324819437">
    <w:abstractNumId w:val="36"/>
  </w:num>
  <w:num w:numId="4" w16cid:durableId="412288413">
    <w:abstractNumId w:val="13"/>
  </w:num>
  <w:num w:numId="5" w16cid:durableId="81610084">
    <w:abstractNumId w:val="30"/>
  </w:num>
  <w:num w:numId="6" w16cid:durableId="1383793475">
    <w:abstractNumId w:val="11"/>
  </w:num>
  <w:num w:numId="7" w16cid:durableId="593167694">
    <w:abstractNumId w:val="5"/>
  </w:num>
  <w:num w:numId="8" w16cid:durableId="1067924071">
    <w:abstractNumId w:val="18"/>
  </w:num>
  <w:num w:numId="9" w16cid:durableId="560291655">
    <w:abstractNumId w:val="35"/>
  </w:num>
  <w:num w:numId="10" w16cid:durableId="903681621">
    <w:abstractNumId w:val="25"/>
  </w:num>
  <w:num w:numId="11" w16cid:durableId="1171531636">
    <w:abstractNumId w:val="27"/>
  </w:num>
  <w:num w:numId="12" w16cid:durableId="876506555">
    <w:abstractNumId w:val="12"/>
  </w:num>
  <w:num w:numId="13" w16cid:durableId="401295290">
    <w:abstractNumId w:val="20"/>
  </w:num>
  <w:num w:numId="14" w16cid:durableId="2055500385">
    <w:abstractNumId w:val="31"/>
  </w:num>
  <w:num w:numId="15" w16cid:durableId="1397584408">
    <w:abstractNumId w:val="17"/>
  </w:num>
  <w:num w:numId="16" w16cid:durableId="1116364060">
    <w:abstractNumId w:val="37"/>
  </w:num>
  <w:num w:numId="17" w16cid:durableId="1131292450">
    <w:abstractNumId w:val="34"/>
  </w:num>
  <w:num w:numId="18" w16cid:durableId="664361649">
    <w:abstractNumId w:val="22"/>
  </w:num>
  <w:num w:numId="19" w16cid:durableId="1877737618">
    <w:abstractNumId w:val="24"/>
  </w:num>
  <w:num w:numId="20" w16cid:durableId="751778910">
    <w:abstractNumId w:val="28"/>
  </w:num>
  <w:num w:numId="21" w16cid:durableId="1347095881">
    <w:abstractNumId w:val="3"/>
  </w:num>
  <w:num w:numId="22" w16cid:durableId="372265989">
    <w:abstractNumId w:val="4"/>
  </w:num>
  <w:num w:numId="23" w16cid:durableId="2087919978">
    <w:abstractNumId w:val="21"/>
  </w:num>
  <w:num w:numId="24" w16cid:durableId="1155147096">
    <w:abstractNumId w:val="32"/>
  </w:num>
  <w:num w:numId="25" w16cid:durableId="1488670198">
    <w:abstractNumId w:val="10"/>
  </w:num>
  <w:num w:numId="26" w16cid:durableId="1065758192">
    <w:abstractNumId w:val="33"/>
  </w:num>
  <w:num w:numId="27" w16cid:durableId="2021858548">
    <w:abstractNumId w:val="8"/>
  </w:num>
  <w:num w:numId="28" w16cid:durableId="1608385313">
    <w:abstractNumId w:val="2"/>
  </w:num>
  <w:num w:numId="29" w16cid:durableId="1007486905">
    <w:abstractNumId w:val="14"/>
  </w:num>
  <w:num w:numId="30" w16cid:durableId="512035658">
    <w:abstractNumId w:val="26"/>
  </w:num>
  <w:num w:numId="31" w16cid:durableId="1078941712">
    <w:abstractNumId w:val="36"/>
  </w:num>
  <w:num w:numId="32" w16cid:durableId="1315833280">
    <w:abstractNumId w:val="15"/>
  </w:num>
  <w:num w:numId="33" w16cid:durableId="863371307">
    <w:abstractNumId w:val="15"/>
  </w:num>
  <w:num w:numId="34" w16cid:durableId="25256546">
    <w:abstractNumId w:val="15"/>
  </w:num>
  <w:num w:numId="35" w16cid:durableId="413598065">
    <w:abstractNumId w:val="9"/>
  </w:num>
  <w:num w:numId="36" w16cid:durableId="814297803">
    <w:abstractNumId w:val="19"/>
  </w:num>
  <w:num w:numId="37" w16cid:durableId="1561747843">
    <w:abstractNumId w:val="29"/>
  </w:num>
  <w:num w:numId="38" w16cid:durableId="1889755387">
    <w:abstractNumId w:val="16"/>
  </w:num>
  <w:num w:numId="39" w16cid:durableId="1064569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177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909"/>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292"/>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97D"/>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2A4A"/>
    <w:rsid w:val="00052E90"/>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0F"/>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85D"/>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047"/>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04F"/>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3C8"/>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241"/>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CD5"/>
    <w:rsid w:val="00113E69"/>
    <w:rsid w:val="00113F1A"/>
    <w:rsid w:val="00114480"/>
    <w:rsid w:val="00114568"/>
    <w:rsid w:val="0011485F"/>
    <w:rsid w:val="001148C2"/>
    <w:rsid w:val="00114954"/>
    <w:rsid w:val="00114C21"/>
    <w:rsid w:val="001153C8"/>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94A"/>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EFF"/>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5B"/>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550"/>
    <w:rsid w:val="0017264A"/>
    <w:rsid w:val="00172D10"/>
    <w:rsid w:val="00172D59"/>
    <w:rsid w:val="00172ED9"/>
    <w:rsid w:val="00172F37"/>
    <w:rsid w:val="00172F62"/>
    <w:rsid w:val="00173099"/>
    <w:rsid w:val="001730C2"/>
    <w:rsid w:val="001730D9"/>
    <w:rsid w:val="001738A9"/>
    <w:rsid w:val="00173BC9"/>
    <w:rsid w:val="00173BFF"/>
    <w:rsid w:val="00173E07"/>
    <w:rsid w:val="001744B3"/>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3D4"/>
    <w:rsid w:val="00183592"/>
    <w:rsid w:val="0018363F"/>
    <w:rsid w:val="00183764"/>
    <w:rsid w:val="001839A0"/>
    <w:rsid w:val="00183A22"/>
    <w:rsid w:val="00183EF3"/>
    <w:rsid w:val="001843EF"/>
    <w:rsid w:val="001844BB"/>
    <w:rsid w:val="001844C3"/>
    <w:rsid w:val="00184659"/>
    <w:rsid w:val="00184870"/>
    <w:rsid w:val="00184950"/>
    <w:rsid w:val="00184A12"/>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6F88"/>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308"/>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78C"/>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789"/>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17FA1"/>
    <w:rsid w:val="00220EC6"/>
    <w:rsid w:val="002210AF"/>
    <w:rsid w:val="002212B8"/>
    <w:rsid w:val="002216B1"/>
    <w:rsid w:val="002219CE"/>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C90"/>
    <w:rsid w:val="00230D30"/>
    <w:rsid w:val="00230DC9"/>
    <w:rsid w:val="00230F07"/>
    <w:rsid w:val="0023153C"/>
    <w:rsid w:val="0023194F"/>
    <w:rsid w:val="002319B1"/>
    <w:rsid w:val="00231DFE"/>
    <w:rsid w:val="0023205A"/>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02B"/>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5F"/>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B44"/>
    <w:rsid w:val="00261C78"/>
    <w:rsid w:val="00261D2F"/>
    <w:rsid w:val="00261DD1"/>
    <w:rsid w:val="00261FEE"/>
    <w:rsid w:val="002625B1"/>
    <w:rsid w:val="002625CD"/>
    <w:rsid w:val="0026269C"/>
    <w:rsid w:val="00262833"/>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6D2D"/>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4EEE"/>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5FD9"/>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3DD"/>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0F4"/>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11B"/>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CFD"/>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4A5"/>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8BB"/>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A7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74F"/>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4A0"/>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612"/>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7F3"/>
    <w:rsid w:val="0040483C"/>
    <w:rsid w:val="00404BD5"/>
    <w:rsid w:val="00404C60"/>
    <w:rsid w:val="00404F0C"/>
    <w:rsid w:val="00404FF8"/>
    <w:rsid w:val="00405095"/>
    <w:rsid w:val="0040521E"/>
    <w:rsid w:val="00405329"/>
    <w:rsid w:val="00405562"/>
    <w:rsid w:val="00405755"/>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13D"/>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59"/>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1AB"/>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4B1"/>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74"/>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9B"/>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205"/>
    <w:rsid w:val="004D12D5"/>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516"/>
    <w:rsid w:val="004E18DF"/>
    <w:rsid w:val="004E1905"/>
    <w:rsid w:val="004E1992"/>
    <w:rsid w:val="004E1A4A"/>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7AB"/>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A85"/>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D78"/>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869"/>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302"/>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E0E"/>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49C"/>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7CB"/>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222"/>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12"/>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8CB"/>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C96"/>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CC0"/>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627"/>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9F9"/>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925"/>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8A0"/>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010"/>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29E"/>
    <w:rsid w:val="0069071A"/>
    <w:rsid w:val="00690823"/>
    <w:rsid w:val="00690A1B"/>
    <w:rsid w:val="00690AF5"/>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0E73"/>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6D5"/>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780"/>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BF"/>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1F8"/>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255"/>
    <w:rsid w:val="006E5332"/>
    <w:rsid w:val="006E533F"/>
    <w:rsid w:val="006E53A3"/>
    <w:rsid w:val="006E5696"/>
    <w:rsid w:val="006E5BBA"/>
    <w:rsid w:val="006E6338"/>
    <w:rsid w:val="006E6496"/>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068"/>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7A0"/>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0FA9"/>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10E"/>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5A7"/>
    <w:rsid w:val="007B2840"/>
    <w:rsid w:val="007B28B4"/>
    <w:rsid w:val="007B2980"/>
    <w:rsid w:val="007B2A4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394"/>
    <w:rsid w:val="007C056D"/>
    <w:rsid w:val="007C05EB"/>
    <w:rsid w:val="007C0F4F"/>
    <w:rsid w:val="007C1743"/>
    <w:rsid w:val="007C1AA2"/>
    <w:rsid w:val="007C1F3A"/>
    <w:rsid w:val="007C2114"/>
    <w:rsid w:val="007C231D"/>
    <w:rsid w:val="007C23AE"/>
    <w:rsid w:val="007C261E"/>
    <w:rsid w:val="007C2806"/>
    <w:rsid w:val="007C29FA"/>
    <w:rsid w:val="007C2AEF"/>
    <w:rsid w:val="007C2DEB"/>
    <w:rsid w:val="007C2E0E"/>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54"/>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B6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647"/>
    <w:rsid w:val="0080578D"/>
    <w:rsid w:val="008058F6"/>
    <w:rsid w:val="00805C7D"/>
    <w:rsid w:val="00805FB9"/>
    <w:rsid w:val="00806141"/>
    <w:rsid w:val="00806932"/>
    <w:rsid w:val="00806B10"/>
    <w:rsid w:val="00806BF8"/>
    <w:rsid w:val="00807252"/>
    <w:rsid w:val="00807383"/>
    <w:rsid w:val="00807419"/>
    <w:rsid w:val="0080742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3B"/>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32B"/>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9A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01"/>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8E1"/>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6DED"/>
    <w:rsid w:val="008A71EE"/>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06C"/>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3B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AD7"/>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414"/>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0D9"/>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ACA"/>
    <w:rsid w:val="00982B80"/>
    <w:rsid w:val="00982CBB"/>
    <w:rsid w:val="00982E2B"/>
    <w:rsid w:val="00982E47"/>
    <w:rsid w:val="009830E6"/>
    <w:rsid w:val="0098325C"/>
    <w:rsid w:val="00983580"/>
    <w:rsid w:val="00983A39"/>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921"/>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03"/>
    <w:rsid w:val="009C1694"/>
    <w:rsid w:val="009C181E"/>
    <w:rsid w:val="009C18C4"/>
    <w:rsid w:val="009C1A28"/>
    <w:rsid w:val="009C1CBC"/>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EE8"/>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C76"/>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16B"/>
    <w:rsid w:val="00A41371"/>
    <w:rsid w:val="00A41400"/>
    <w:rsid w:val="00A41797"/>
    <w:rsid w:val="00A41DD3"/>
    <w:rsid w:val="00A41F51"/>
    <w:rsid w:val="00A42067"/>
    <w:rsid w:val="00A42165"/>
    <w:rsid w:val="00A4218D"/>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CB"/>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1FA"/>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08B"/>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559"/>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0E0"/>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AFB"/>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CB7"/>
    <w:rsid w:val="00AE2E4E"/>
    <w:rsid w:val="00AE2EA0"/>
    <w:rsid w:val="00AE368F"/>
    <w:rsid w:val="00AE386E"/>
    <w:rsid w:val="00AE41B1"/>
    <w:rsid w:val="00AE4240"/>
    <w:rsid w:val="00AE43E9"/>
    <w:rsid w:val="00AE45D5"/>
    <w:rsid w:val="00AE46C8"/>
    <w:rsid w:val="00AE47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B2"/>
    <w:rsid w:val="00AF6CF2"/>
    <w:rsid w:val="00AF744E"/>
    <w:rsid w:val="00AF74C2"/>
    <w:rsid w:val="00AF79E5"/>
    <w:rsid w:val="00AF7A9B"/>
    <w:rsid w:val="00AF7E92"/>
    <w:rsid w:val="00B00018"/>
    <w:rsid w:val="00B000BE"/>
    <w:rsid w:val="00B0030E"/>
    <w:rsid w:val="00B00879"/>
    <w:rsid w:val="00B00938"/>
    <w:rsid w:val="00B00C29"/>
    <w:rsid w:val="00B00D80"/>
    <w:rsid w:val="00B010FE"/>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640"/>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16"/>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B8"/>
    <w:rsid w:val="00B34AF9"/>
    <w:rsid w:val="00B34CE5"/>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0DF2"/>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D92"/>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36"/>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9F7"/>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2E5C"/>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20B"/>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5F9"/>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6FE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3FC8"/>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437"/>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05"/>
    <w:rsid w:val="00C47A2C"/>
    <w:rsid w:val="00C47AA1"/>
    <w:rsid w:val="00C47C2D"/>
    <w:rsid w:val="00C47EA0"/>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57EB1"/>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CD7"/>
    <w:rsid w:val="00C62E15"/>
    <w:rsid w:val="00C62E42"/>
    <w:rsid w:val="00C62F90"/>
    <w:rsid w:val="00C63051"/>
    <w:rsid w:val="00C630A4"/>
    <w:rsid w:val="00C632C3"/>
    <w:rsid w:val="00C63315"/>
    <w:rsid w:val="00C633C1"/>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6FA"/>
    <w:rsid w:val="00C66878"/>
    <w:rsid w:val="00C66ABC"/>
    <w:rsid w:val="00C66B3A"/>
    <w:rsid w:val="00C66C0D"/>
    <w:rsid w:val="00C66F28"/>
    <w:rsid w:val="00C67001"/>
    <w:rsid w:val="00C67495"/>
    <w:rsid w:val="00C67507"/>
    <w:rsid w:val="00C67515"/>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CA"/>
    <w:rsid w:val="00C850F8"/>
    <w:rsid w:val="00C85145"/>
    <w:rsid w:val="00C85608"/>
    <w:rsid w:val="00C859B5"/>
    <w:rsid w:val="00C85B6F"/>
    <w:rsid w:val="00C86183"/>
    <w:rsid w:val="00C86245"/>
    <w:rsid w:val="00C86370"/>
    <w:rsid w:val="00C867AE"/>
    <w:rsid w:val="00C867E1"/>
    <w:rsid w:val="00C86D7B"/>
    <w:rsid w:val="00C86DF2"/>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149"/>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890"/>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1E41"/>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8EC"/>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821"/>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5D6"/>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6FBB"/>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490"/>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4F"/>
    <w:rsid w:val="00D54BF9"/>
    <w:rsid w:val="00D54E5B"/>
    <w:rsid w:val="00D5500B"/>
    <w:rsid w:val="00D5547D"/>
    <w:rsid w:val="00D55572"/>
    <w:rsid w:val="00D5560D"/>
    <w:rsid w:val="00D557C6"/>
    <w:rsid w:val="00D557D4"/>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C8"/>
    <w:rsid w:val="00D63CDA"/>
    <w:rsid w:val="00D643C5"/>
    <w:rsid w:val="00D64791"/>
    <w:rsid w:val="00D64A46"/>
    <w:rsid w:val="00D64B5A"/>
    <w:rsid w:val="00D64CE8"/>
    <w:rsid w:val="00D64F53"/>
    <w:rsid w:val="00D65064"/>
    <w:rsid w:val="00D6563A"/>
    <w:rsid w:val="00D656B9"/>
    <w:rsid w:val="00D658E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67E20"/>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033"/>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1CE"/>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4E1D"/>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6F46"/>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B1"/>
    <w:rsid w:val="00DE4ED8"/>
    <w:rsid w:val="00DE5337"/>
    <w:rsid w:val="00DE534B"/>
    <w:rsid w:val="00DE5DAE"/>
    <w:rsid w:val="00DE5F9A"/>
    <w:rsid w:val="00DE6364"/>
    <w:rsid w:val="00DE63B4"/>
    <w:rsid w:val="00DE6412"/>
    <w:rsid w:val="00DE6922"/>
    <w:rsid w:val="00DE6BE1"/>
    <w:rsid w:val="00DE6CE1"/>
    <w:rsid w:val="00DE72D8"/>
    <w:rsid w:val="00DE72E1"/>
    <w:rsid w:val="00DE740C"/>
    <w:rsid w:val="00DE748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AD7"/>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6B"/>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546"/>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CC7"/>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5B8"/>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46F"/>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257"/>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1A8"/>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69F"/>
    <w:rsid w:val="00ED78C3"/>
    <w:rsid w:val="00ED7A53"/>
    <w:rsid w:val="00ED7AE2"/>
    <w:rsid w:val="00ED7B5E"/>
    <w:rsid w:val="00ED7F43"/>
    <w:rsid w:val="00EE035C"/>
    <w:rsid w:val="00EE05F4"/>
    <w:rsid w:val="00EE0926"/>
    <w:rsid w:val="00EE0932"/>
    <w:rsid w:val="00EE0A27"/>
    <w:rsid w:val="00EE0AA0"/>
    <w:rsid w:val="00EE0D82"/>
    <w:rsid w:val="00EE0DA7"/>
    <w:rsid w:val="00EE0ED5"/>
    <w:rsid w:val="00EE1019"/>
    <w:rsid w:val="00EE10D5"/>
    <w:rsid w:val="00EE161B"/>
    <w:rsid w:val="00EE1622"/>
    <w:rsid w:val="00EE1951"/>
    <w:rsid w:val="00EE1B3E"/>
    <w:rsid w:val="00EE1BB6"/>
    <w:rsid w:val="00EE1E5C"/>
    <w:rsid w:val="00EE204E"/>
    <w:rsid w:val="00EE21AE"/>
    <w:rsid w:val="00EE21ED"/>
    <w:rsid w:val="00EE272B"/>
    <w:rsid w:val="00EE27E9"/>
    <w:rsid w:val="00EE281B"/>
    <w:rsid w:val="00EE2938"/>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09"/>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019"/>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AD7"/>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1"/>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78"/>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689"/>
    <w:rsid w:val="00F35A7F"/>
    <w:rsid w:val="00F35DC8"/>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775"/>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46"/>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B74"/>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6D3F"/>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9AD"/>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214"/>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599"/>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679"/>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183"/>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142"/>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F6F42C"/>
    <w:rsid w:val="04C5BB55"/>
    <w:rsid w:val="062EE2D2"/>
    <w:rsid w:val="065B018F"/>
    <w:rsid w:val="072F9FBD"/>
    <w:rsid w:val="074C0837"/>
    <w:rsid w:val="086635B0"/>
    <w:rsid w:val="0BCD136F"/>
    <w:rsid w:val="102DF842"/>
    <w:rsid w:val="1215057C"/>
    <w:rsid w:val="1794C849"/>
    <w:rsid w:val="18578E43"/>
    <w:rsid w:val="18844700"/>
    <w:rsid w:val="1F620ED1"/>
    <w:rsid w:val="1FEBE732"/>
    <w:rsid w:val="201FADA1"/>
    <w:rsid w:val="20B1944A"/>
    <w:rsid w:val="220D56C0"/>
    <w:rsid w:val="22523C1F"/>
    <w:rsid w:val="25990F1B"/>
    <w:rsid w:val="27D934FF"/>
    <w:rsid w:val="28C2279C"/>
    <w:rsid w:val="28CD2C65"/>
    <w:rsid w:val="294B50CB"/>
    <w:rsid w:val="2B836202"/>
    <w:rsid w:val="2C94461D"/>
    <w:rsid w:val="2D25BAD0"/>
    <w:rsid w:val="2E487683"/>
    <w:rsid w:val="2EABD92E"/>
    <w:rsid w:val="30A6CE0B"/>
    <w:rsid w:val="3118ECE4"/>
    <w:rsid w:val="3133B7CE"/>
    <w:rsid w:val="31406098"/>
    <w:rsid w:val="335590A3"/>
    <w:rsid w:val="369FC9F5"/>
    <w:rsid w:val="3C370097"/>
    <w:rsid w:val="3CDD36AD"/>
    <w:rsid w:val="3D49769A"/>
    <w:rsid w:val="3E32F30C"/>
    <w:rsid w:val="489575B8"/>
    <w:rsid w:val="4934D14E"/>
    <w:rsid w:val="4C17B7EB"/>
    <w:rsid w:val="4CA6E871"/>
    <w:rsid w:val="4E6B45E4"/>
    <w:rsid w:val="51F5082B"/>
    <w:rsid w:val="5286F96F"/>
    <w:rsid w:val="528A6124"/>
    <w:rsid w:val="54E34FA1"/>
    <w:rsid w:val="564EA4F0"/>
    <w:rsid w:val="573ACD5F"/>
    <w:rsid w:val="57F78836"/>
    <w:rsid w:val="595D8D51"/>
    <w:rsid w:val="5E79C705"/>
    <w:rsid w:val="628BE262"/>
    <w:rsid w:val="62A50ABF"/>
    <w:rsid w:val="62C3548A"/>
    <w:rsid w:val="6A9413C0"/>
    <w:rsid w:val="72150DE2"/>
    <w:rsid w:val="72B74AAB"/>
    <w:rsid w:val="73451334"/>
    <w:rsid w:val="767141D9"/>
    <w:rsid w:val="79277776"/>
    <w:rsid w:val="7A21A2A0"/>
    <w:rsid w:val="7A809880"/>
    <w:rsid w:val="7CD7D83D"/>
    <w:rsid w:val="7D241BDE"/>
    <w:rsid w:val="7E9A3A1E"/>
    <w:rsid w:val="7EBF5369"/>
    <w:rsid w:val="7ED8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8D10C"/>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414"/>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Heading 2_sj,Report Para,E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basedOn w:val="DefaultParagraphFont"/>
    <w:uiPriority w:val="99"/>
    <w:semiHidden/>
    <w:unhideWhenUsed/>
    <w:rsid w:val="0079310E"/>
    <w:rPr>
      <w:color w:val="605E5C"/>
      <w:shd w:val="clear" w:color="auto" w:fill="E1DFDD"/>
    </w:rPr>
  </w:style>
  <w:style w:type="paragraph" w:customStyle="1" w:styleId="LegalNumPar">
    <w:name w:val="LegalNumPar"/>
    <w:basedOn w:val="Normal"/>
    <w:rsid w:val="0004697D"/>
    <w:pPr>
      <w:numPr>
        <w:numId w:val="34"/>
      </w:numPr>
      <w:spacing w:line="360" w:lineRule="auto"/>
    </w:pPr>
  </w:style>
  <w:style w:type="paragraph" w:customStyle="1" w:styleId="LegalNumPar2">
    <w:name w:val="LegalNumPar2"/>
    <w:basedOn w:val="Normal"/>
    <w:rsid w:val="0004697D"/>
    <w:pPr>
      <w:numPr>
        <w:ilvl w:val="1"/>
        <w:numId w:val="34"/>
      </w:numPr>
      <w:spacing w:line="360" w:lineRule="auto"/>
    </w:pPr>
  </w:style>
  <w:style w:type="paragraph" w:customStyle="1" w:styleId="LegalNumPar3">
    <w:name w:val="LegalNumPar3"/>
    <w:basedOn w:val="Normal"/>
    <w:rsid w:val="0004697D"/>
    <w:pPr>
      <w:numPr>
        <w:ilvl w:val="2"/>
        <w:numId w:val="34"/>
      </w:numPr>
      <w:spacing w:line="360" w:lineRule="auto"/>
    </w:pPr>
  </w:style>
  <w:style w:type="character" w:customStyle="1" w:styleId="footnotereference0">
    <w:name w:val="footnotereference"/>
    <w:basedOn w:val="DefaultParagraphFont"/>
    <w:rsid w:val="00814D3B"/>
  </w:style>
  <w:style w:type="character" w:customStyle="1" w:styleId="DateChar">
    <w:name w:val="Date Char"/>
    <w:basedOn w:val="DefaultParagraphFont"/>
    <w:link w:val="Date"/>
    <w:rsid w:val="00FB0214"/>
    <w:rPr>
      <w:rFonts w:ascii="Courier New" w:hAnsi="Courier New"/>
      <w:sz w:val="24"/>
    </w:rPr>
  </w:style>
  <w:style w:type="paragraph" w:customStyle="1" w:styleId="ZFlag">
    <w:name w:val="Z_Flag"/>
    <w:basedOn w:val="Normal"/>
    <w:next w:val="Normal"/>
    <w:uiPriority w:val="99"/>
    <w:semiHidden/>
    <w:rsid w:val="00FB0214"/>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FB0214"/>
    <w:rPr>
      <w:sz w:val="24"/>
      <w:lang w:eastAsia="fr-BE"/>
    </w:rPr>
    <w:tblPr>
      <w:tblInd w:w="0" w:type="nil"/>
      <w:tblCellMar>
        <w:left w:w="0" w:type="dxa"/>
        <w:bottom w:w="340" w:type="dxa"/>
        <w:right w:w="0" w:type="dxa"/>
      </w:tblCellMar>
    </w:tbl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FB0214"/>
    <w:rPr>
      <w:rFonts w:ascii="Calibri" w:eastAsia="Calibri" w:hAnsi="Calibri"/>
      <w:sz w:val="22"/>
      <w:szCs w:val="22"/>
      <w:lang w:val="en-US" w:eastAsia="en-US"/>
    </w:rPr>
  </w:style>
  <w:style w:type="character" w:customStyle="1" w:styleId="HeaderChar">
    <w:name w:val="Header Char"/>
    <w:basedOn w:val="DefaultParagraphFont"/>
    <w:link w:val="Header"/>
    <w:rsid w:val="00FB021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2164">
      <w:bodyDiv w:val="1"/>
      <w:marLeft w:val="0"/>
      <w:marRight w:val="0"/>
      <w:marTop w:val="0"/>
      <w:marBottom w:val="0"/>
      <w:divBdr>
        <w:top w:val="none" w:sz="0" w:space="0" w:color="auto"/>
        <w:left w:val="none" w:sz="0" w:space="0" w:color="auto"/>
        <w:bottom w:val="none" w:sz="0" w:space="0" w:color="auto"/>
        <w:right w:val="none" w:sz="0" w:space="0" w:color="auto"/>
      </w:divBdr>
    </w:div>
    <w:div w:id="959923201">
      <w:bodyDiv w:val="1"/>
      <w:marLeft w:val="0"/>
      <w:marRight w:val="0"/>
      <w:marTop w:val="0"/>
      <w:marBottom w:val="0"/>
      <w:divBdr>
        <w:top w:val="none" w:sz="0" w:space="0" w:color="auto"/>
        <w:left w:val="none" w:sz="0" w:space="0" w:color="auto"/>
        <w:bottom w:val="none" w:sz="0" w:space="0" w:color="auto"/>
        <w:right w:val="none" w:sz="0" w:space="0" w:color="auto"/>
      </w:divBdr>
    </w:div>
    <w:div w:id="1415740986">
      <w:bodyDiv w:val="1"/>
      <w:marLeft w:val="0"/>
      <w:marRight w:val="0"/>
      <w:marTop w:val="0"/>
      <w:marBottom w:val="0"/>
      <w:divBdr>
        <w:top w:val="none" w:sz="0" w:space="0" w:color="auto"/>
        <w:left w:val="none" w:sz="0" w:space="0" w:color="auto"/>
        <w:bottom w:val="none" w:sz="0" w:space="0" w:color="auto"/>
        <w:right w:val="none" w:sz="0" w:space="0" w:color="auto"/>
      </w:divBdr>
    </w:div>
    <w:div w:id="1430084004">
      <w:bodyDiv w:val="1"/>
      <w:marLeft w:val="0"/>
      <w:marRight w:val="0"/>
      <w:marTop w:val="0"/>
      <w:marBottom w:val="0"/>
      <w:divBdr>
        <w:top w:val="none" w:sz="0" w:space="0" w:color="auto"/>
        <w:left w:val="none" w:sz="0" w:space="0" w:color="auto"/>
        <w:bottom w:val="none" w:sz="0" w:space="0" w:color="auto"/>
        <w:right w:val="none" w:sz="0" w:space="0" w:color="auto"/>
      </w:divBdr>
    </w:div>
    <w:div w:id="1688824285">
      <w:bodyDiv w:val="1"/>
      <w:marLeft w:val="0"/>
      <w:marRight w:val="0"/>
      <w:marTop w:val="0"/>
      <w:marBottom w:val="0"/>
      <w:divBdr>
        <w:top w:val="none" w:sz="0" w:space="0" w:color="auto"/>
        <w:left w:val="none" w:sz="0" w:space="0" w:color="auto"/>
        <w:bottom w:val="none" w:sz="0" w:space="0" w:color="auto"/>
        <w:right w:val="none" w:sz="0" w:space="0" w:color="auto"/>
      </w:divBdr>
    </w:div>
    <w:div w:id="17240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earning.fr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il.secure.europarl.europa.eu/oeil/popups/ficheprocedure.do?lang=en&amp;reference=2023/2582(R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en/themes/equality-non-discrimination-and-racism/about-compendium" TargetMode="External"/><Relationship Id="rId2" Type="http://schemas.openxmlformats.org/officeDocument/2006/relationships/hyperlink" Target="https://fra.europa.eu/fr/promising-practices-list" TargetMode="External"/><Relationship Id="rId1" Type="http://schemas.openxmlformats.org/officeDocument/2006/relationships/hyperlink" Target="file:///C:\Users\bridema\AppData\Local\Microsoft\Windows\INetCache\Content.Outlook\OAM2NPQ0\Guidelines%20on%20improving%20the%20collection%20and%20use%20of%20equality%20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8" ma:contentTypeDescription="Create a new document." ma:contentTypeScope="" ma:versionID="85f5c216a14ad46c5f718776a53e2fec">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d225fce4ab3cbb65b281e99370d76c81"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_Flow_SignoffStatus xmlns="b21a4a1d-4eb8-49d3-b465-be101281b0f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CD364-563C-4966-B387-007513D21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4D88F-7D6B-47B7-A9D6-679E49DDCC6A}">
  <ds:schemaRefs>
    <ds:schemaRef ds:uri="http://schemas.microsoft.com/office/2006/metadata/properties"/>
    <ds:schemaRef ds:uri="http://schemas.microsoft.com/office/infopath/2007/PartnerControls"/>
    <ds:schemaRef ds:uri="b21a4a1d-4eb8-49d3-b465-be101281b0f3"/>
  </ds:schemaRefs>
</ds:datastoreItem>
</file>

<file path=customXml/itemProps3.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customXml/itemProps4.xml><?xml version="1.0" encoding="utf-8"?>
<ds:datastoreItem xmlns:ds="http://schemas.openxmlformats.org/officeDocument/2006/customXml" ds:itemID="{7116EEEF-C0D4-47EF-A4C1-796D93297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Template>
  <TotalTime>3</TotalTime>
  <Pages>5</Pages>
  <Words>2572</Words>
  <Characters>14739</Characters>
  <Application>Microsoft Office Word</Application>
  <DocSecurity>0</DocSecurity>
  <PresentationFormat>Microsoft Word 8.0b</PresentationFormat>
  <Lines>233</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ALMEIDA Maria Jose (SG)</cp:lastModifiedBy>
  <cp:revision>5</cp:revision>
  <cp:lastPrinted>2017-11-23T08:32:00Z</cp:lastPrinted>
  <dcterms:created xsi:type="dcterms:W3CDTF">2023-06-07T05:23:00Z</dcterms:created>
  <dcterms:modified xsi:type="dcterms:W3CDTF">2023-06-13T14:37:00Z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2023-04-26T15:55:45Z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9d0a470d-e083-4475-90ea-cc3cf5c5553a</vt:lpwstr>
  </property>
  <property fmtid="{D5CDD505-2E9C-101B-9397-08002B2CF9AE}" pid="19" name="MSIP_Label_6bd9ddd1-4d20-43f6-abfa-fc3c07406f94_ContentBits">
    <vt:lpwstr>0</vt:lpwstr>
  </property>
  <property fmtid="{D5CDD505-2E9C-101B-9397-08002B2CF9AE}" pid="20" name="ContentTypeId">
    <vt:lpwstr>0x010100724FDE23FB365D4CB8B2901107175F9F</vt:lpwstr>
  </property>
</Properties>
</file>