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0443" w14:textId="77777777" w:rsidR="00651401" w:rsidRPr="00B2453C" w:rsidRDefault="00651401" w:rsidP="00651401">
      <w:pPr>
        <w:spacing w:after="600"/>
        <w:jc w:val="center"/>
        <w:rPr>
          <w:rFonts w:ascii="Times New Roman" w:eastAsia="Calibri" w:hAnsi="Times New Roman"/>
          <w:b/>
          <w:bCs/>
          <w:color w:val="000000"/>
          <w:szCs w:val="24"/>
          <w:lang w:val="en-IE" w:eastAsia="en-US"/>
        </w:rPr>
      </w:pPr>
      <w:bookmarkStart w:id="0" w:name="Security"/>
      <w:r w:rsidRPr="00B2453C">
        <w:rPr>
          <w:rFonts w:ascii="Times New Roman" w:eastAsia="Calibri" w:hAnsi="Times New Roman"/>
          <w:b/>
          <w:bCs/>
          <w:color w:val="000000"/>
          <w:szCs w:val="24"/>
          <w:lang w:val="en-IE" w:eastAsia="en-US"/>
        </w:rPr>
        <w:t xml:space="preserve">Follow up to the European Parliament </w:t>
      </w:r>
      <w:r w:rsidRPr="00B2453C">
        <w:rPr>
          <w:rFonts w:ascii="Times New Roman" w:hAnsi="Times New Roman"/>
          <w:b/>
          <w:szCs w:val="24"/>
          <w:lang w:val="en-IE"/>
        </w:rPr>
        <w:t xml:space="preserve">non-legislative </w:t>
      </w:r>
      <w:r w:rsidRPr="00B2453C">
        <w:rPr>
          <w:rFonts w:ascii="Times New Roman" w:eastAsia="Calibri" w:hAnsi="Times New Roman"/>
          <w:b/>
          <w:bCs/>
          <w:color w:val="000000"/>
          <w:szCs w:val="24"/>
          <w:lang w:val="en-IE" w:eastAsia="en-US"/>
        </w:rPr>
        <w:t xml:space="preserve">resolution on </w:t>
      </w:r>
      <w:bookmarkStart w:id="1" w:name="_Hlk138403151"/>
      <w:r>
        <w:rPr>
          <w:rFonts w:ascii="Times New Roman" w:eastAsia="Calibri" w:hAnsi="Times New Roman"/>
          <w:b/>
          <w:bCs/>
          <w:color w:val="000000"/>
          <w:szCs w:val="24"/>
          <w:lang w:val="en-IE" w:eastAsia="en-US"/>
        </w:rPr>
        <w:t>Critical technologies for security and defence: state of play and future challenges</w:t>
      </w:r>
      <w:bookmarkEnd w:id="1"/>
    </w:p>
    <w:bookmarkEnd w:id="0"/>
    <w:p w14:paraId="27B1728E" w14:textId="77777777" w:rsidR="00651401" w:rsidRPr="00CB25BE" w:rsidRDefault="00651401" w:rsidP="00651401">
      <w:pPr>
        <w:ind w:left="567" w:hanging="567"/>
        <w:rPr>
          <w:rFonts w:ascii="Times New Roman" w:eastAsia="SimSun" w:hAnsi="Times New Roman"/>
          <w:szCs w:val="24"/>
          <w:lang w:val="fr-BE" w:eastAsia="ko-KR"/>
        </w:rPr>
      </w:pPr>
      <w:r w:rsidRPr="00CB25BE">
        <w:rPr>
          <w:rFonts w:ascii="Times New Roman" w:eastAsia="SimSun" w:hAnsi="Times New Roman"/>
          <w:b/>
          <w:szCs w:val="24"/>
          <w:lang w:val="fr-BE" w:eastAsia="ko-KR"/>
        </w:rPr>
        <w:t>1.</w:t>
      </w:r>
      <w:r w:rsidRPr="00CB25BE">
        <w:rPr>
          <w:rFonts w:ascii="Times New Roman" w:eastAsia="SimSun" w:hAnsi="Times New Roman"/>
          <w:b/>
          <w:szCs w:val="24"/>
          <w:lang w:val="fr-BE" w:eastAsia="ko-KR"/>
        </w:rPr>
        <w:tab/>
        <w:t xml:space="preserve">Rapporteur: </w:t>
      </w:r>
      <w:r w:rsidRPr="00CB25BE">
        <w:rPr>
          <w:rFonts w:ascii="Times New Roman" w:eastAsia="SimSun" w:hAnsi="Times New Roman"/>
          <w:szCs w:val="24"/>
          <w:lang w:val="fr-BE" w:eastAsia="ko-KR"/>
        </w:rPr>
        <w:t>Riho TERRAS (EPP / EE)</w:t>
      </w:r>
    </w:p>
    <w:p w14:paraId="5D8480DC" w14:textId="77777777" w:rsidR="00651401" w:rsidRPr="0024051D" w:rsidRDefault="00651401" w:rsidP="00651401">
      <w:pPr>
        <w:ind w:left="567" w:hanging="567"/>
        <w:rPr>
          <w:rFonts w:ascii="Times New Roman" w:eastAsia="SimSun" w:hAnsi="Times New Roman"/>
          <w:bCs/>
          <w:szCs w:val="24"/>
          <w:lang w:val="en-IE"/>
        </w:rPr>
      </w:pPr>
      <w:r w:rsidRPr="00B2453C">
        <w:rPr>
          <w:rFonts w:ascii="Times New Roman" w:eastAsia="SimSun" w:hAnsi="Times New Roman"/>
          <w:b/>
          <w:szCs w:val="24"/>
          <w:lang w:val="en-IE" w:eastAsia="ko-KR"/>
        </w:rPr>
        <w:t>2.</w:t>
      </w:r>
      <w:r w:rsidRPr="00B2453C">
        <w:rPr>
          <w:rFonts w:ascii="Times New Roman" w:eastAsia="SimSun" w:hAnsi="Times New Roman"/>
          <w:b/>
          <w:szCs w:val="24"/>
          <w:lang w:val="en-IE" w:eastAsia="ko-KR"/>
        </w:rPr>
        <w:tab/>
        <w:t xml:space="preserve">Reference numbers: </w:t>
      </w:r>
      <w:r w:rsidRPr="00B2453C">
        <w:rPr>
          <w:rFonts w:ascii="Times New Roman" w:eastAsia="SimSun" w:hAnsi="Times New Roman"/>
          <w:szCs w:val="24"/>
          <w:lang w:val="en-IE" w:eastAsia="ko-KR"/>
        </w:rPr>
        <w:t>2022/2</w:t>
      </w:r>
      <w:r>
        <w:rPr>
          <w:rFonts w:ascii="Times New Roman" w:eastAsia="SimSun" w:hAnsi="Times New Roman"/>
          <w:szCs w:val="24"/>
          <w:lang w:val="en-IE" w:eastAsia="ko-KR"/>
        </w:rPr>
        <w:t>079</w:t>
      </w:r>
      <w:r w:rsidRPr="00B2453C">
        <w:rPr>
          <w:rFonts w:ascii="Times New Roman" w:eastAsia="SimSun" w:hAnsi="Times New Roman"/>
          <w:szCs w:val="24"/>
          <w:lang w:val="en-IE" w:eastAsia="ko-KR"/>
        </w:rPr>
        <w:t xml:space="preserve"> (INI)</w:t>
      </w:r>
      <w:r>
        <w:rPr>
          <w:rFonts w:ascii="Times New Roman" w:eastAsia="SimSun" w:hAnsi="Times New Roman"/>
          <w:szCs w:val="24"/>
          <w:lang w:val="en-IE" w:eastAsia="ko-KR"/>
        </w:rPr>
        <w:t xml:space="preserve"> / A9-0120/2023 / </w:t>
      </w:r>
      <w:r w:rsidRPr="000D3478">
        <w:rPr>
          <w:rFonts w:ascii="Times New Roman" w:eastAsia="SimSun" w:hAnsi="Times New Roman"/>
          <w:szCs w:val="24"/>
          <w:lang w:eastAsia="ko-KR"/>
        </w:rPr>
        <w:t>P9_TA(2023)0</w:t>
      </w:r>
      <w:r>
        <w:rPr>
          <w:rFonts w:ascii="Times New Roman" w:eastAsia="SimSun" w:hAnsi="Times New Roman"/>
          <w:szCs w:val="24"/>
          <w:lang w:eastAsia="ko-KR"/>
        </w:rPr>
        <w:t>131</w:t>
      </w:r>
    </w:p>
    <w:p w14:paraId="3F505881" w14:textId="77777777" w:rsidR="00651401" w:rsidRPr="00B2453C" w:rsidRDefault="00651401" w:rsidP="00651401">
      <w:pPr>
        <w:ind w:left="567" w:hanging="567"/>
        <w:rPr>
          <w:rFonts w:ascii="Times New Roman" w:eastAsia="SimSun" w:hAnsi="Times New Roman"/>
          <w:szCs w:val="24"/>
          <w:lang w:val="en-IE" w:eastAsia="ko-KR"/>
        </w:rPr>
      </w:pPr>
      <w:r w:rsidRPr="00B2453C">
        <w:rPr>
          <w:rFonts w:ascii="Times New Roman" w:eastAsia="SimSun" w:hAnsi="Times New Roman"/>
          <w:b/>
          <w:szCs w:val="24"/>
          <w:lang w:val="en-IE" w:eastAsia="ko-KR"/>
        </w:rPr>
        <w:t>3.</w:t>
      </w:r>
      <w:r w:rsidRPr="00B2453C">
        <w:rPr>
          <w:rFonts w:ascii="Times New Roman" w:eastAsia="SimSun" w:hAnsi="Times New Roman"/>
          <w:b/>
          <w:szCs w:val="24"/>
          <w:lang w:val="en-IE" w:eastAsia="ko-KR"/>
        </w:rPr>
        <w:tab/>
        <w:t xml:space="preserve">Date of adoption of the resolution: </w:t>
      </w:r>
      <w:r>
        <w:rPr>
          <w:rFonts w:ascii="Times New Roman" w:eastAsia="SimSun" w:hAnsi="Times New Roman"/>
          <w:szCs w:val="24"/>
          <w:lang w:val="en-IE" w:eastAsia="ko-KR"/>
        </w:rPr>
        <w:t>9</w:t>
      </w:r>
      <w:r w:rsidRPr="00B2453C">
        <w:rPr>
          <w:rFonts w:ascii="Times New Roman" w:eastAsia="SimSun" w:hAnsi="Times New Roman"/>
          <w:szCs w:val="24"/>
          <w:lang w:val="en-IE" w:eastAsia="ko-KR"/>
        </w:rPr>
        <w:t xml:space="preserve"> Ma</w:t>
      </w:r>
      <w:r>
        <w:rPr>
          <w:rFonts w:ascii="Times New Roman" w:eastAsia="SimSun" w:hAnsi="Times New Roman"/>
          <w:szCs w:val="24"/>
          <w:lang w:val="en-IE" w:eastAsia="ko-KR"/>
        </w:rPr>
        <w:t>y</w:t>
      </w:r>
      <w:r w:rsidRPr="00B2453C">
        <w:rPr>
          <w:rFonts w:ascii="Times New Roman" w:eastAsia="SimSun" w:hAnsi="Times New Roman"/>
          <w:szCs w:val="24"/>
          <w:lang w:val="en-IE" w:eastAsia="ko-KR"/>
        </w:rPr>
        <w:t xml:space="preserve"> 202</w:t>
      </w:r>
      <w:r>
        <w:rPr>
          <w:rFonts w:ascii="Times New Roman" w:eastAsia="SimSun" w:hAnsi="Times New Roman"/>
          <w:szCs w:val="24"/>
          <w:lang w:val="en-IE" w:eastAsia="ko-KR"/>
        </w:rPr>
        <w:t>3</w:t>
      </w:r>
    </w:p>
    <w:p w14:paraId="08602BE0" w14:textId="77777777" w:rsidR="00651401" w:rsidRPr="00B2453C" w:rsidRDefault="00651401" w:rsidP="00651401">
      <w:pPr>
        <w:autoSpaceDE w:val="0"/>
        <w:autoSpaceDN w:val="0"/>
        <w:adjustRightInd w:val="0"/>
        <w:ind w:left="567" w:hanging="567"/>
        <w:rPr>
          <w:rFonts w:ascii="Times New Roman" w:eastAsia="SimSun" w:hAnsi="Times New Roman"/>
          <w:bCs/>
          <w:szCs w:val="24"/>
          <w:lang w:val="en-IE"/>
        </w:rPr>
      </w:pPr>
      <w:r w:rsidRPr="00B2453C">
        <w:rPr>
          <w:rFonts w:ascii="Times New Roman" w:eastAsia="SimSun" w:hAnsi="Times New Roman"/>
          <w:b/>
          <w:bCs/>
          <w:szCs w:val="24"/>
          <w:lang w:val="en-IE"/>
        </w:rPr>
        <w:t>4.</w:t>
      </w:r>
      <w:r w:rsidRPr="00B2453C">
        <w:rPr>
          <w:rFonts w:ascii="Times New Roman" w:eastAsia="SimSun" w:hAnsi="Times New Roman"/>
          <w:b/>
          <w:bCs/>
          <w:szCs w:val="24"/>
          <w:lang w:val="en-IE"/>
        </w:rPr>
        <w:tab/>
        <w:t xml:space="preserve">Competent Parliamentary Committee: </w:t>
      </w:r>
      <w:r w:rsidRPr="00690D3E">
        <w:rPr>
          <w:rFonts w:ascii="Times New Roman" w:eastAsia="SimSun" w:hAnsi="Times New Roman"/>
          <w:bCs/>
          <w:szCs w:val="24"/>
          <w:lang w:val="en-IE"/>
        </w:rPr>
        <w:t>Committee on Industry, Research and Energy (ITRE)</w:t>
      </w:r>
    </w:p>
    <w:p w14:paraId="6C7FF023" w14:textId="77777777" w:rsidR="00651401" w:rsidRPr="00B2453C" w:rsidRDefault="00651401" w:rsidP="00651401">
      <w:pPr>
        <w:spacing w:after="120"/>
        <w:ind w:left="567" w:hanging="567"/>
        <w:rPr>
          <w:rFonts w:ascii="Times New Roman" w:hAnsi="Times New Roman"/>
          <w:szCs w:val="24"/>
          <w:lang w:val="en-IE"/>
        </w:rPr>
      </w:pPr>
      <w:r w:rsidRPr="00B2453C">
        <w:rPr>
          <w:rFonts w:ascii="Times New Roman" w:hAnsi="Times New Roman"/>
          <w:b/>
          <w:szCs w:val="24"/>
          <w:lang w:val="en-IE"/>
        </w:rPr>
        <w:t>5.</w:t>
      </w:r>
      <w:r w:rsidRPr="00B2453C">
        <w:rPr>
          <w:rFonts w:ascii="Times New Roman" w:hAnsi="Times New Roman"/>
          <w:b/>
          <w:szCs w:val="24"/>
          <w:lang w:val="en-IE"/>
        </w:rPr>
        <w:tab/>
        <w:t>Brief analysis/ assessment of the resolution and of requests made in it</w:t>
      </w:r>
      <w:r w:rsidRPr="00B2453C">
        <w:rPr>
          <w:rFonts w:ascii="Times New Roman" w:hAnsi="Times New Roman"/>
          <w:szCs w:val="24"/>
          <w:lang w:val="en-IE"/>
        </w:rPr>
        <w:t xml:space="preserve">: </w:t>
      </w:r>
    </w:p>
    <w:p w14:paraId="032C5EA9" w14:textId="77777777" w:rsidR="00651401" w:rsidRDefault="00651401" w:rsidP="00651401">
      <w:pPr>
        <w:spacing w:before="120" w:after="120"/>
        <w:ind w:left="567" w:hanging="567"/>
        <w:rPr>
          <w:rFonts w:ascii="Times New Roman" w:hAnsi="Times New Roman"/>
          <w:b/>
          <w:i/>
          <w:szCs w:val="24"/>
          <w:lang w:val="en-IE"/>
        </w:rPr>
      </w:pPr>
      <w:r>
        <w:rPr>
          <w:rFonts w:ascii="Times New Roman" w:hAnsi="Times New Roman"/>
          <w:b/>
          <w:i/>
          <w:szCs w:val="24"/>
          <w:lang w:val="en-IE"/>
        </w:rPr>
        <w:t>The growing importance of critical technologies for security and defence</w:t>
      </w:r>
    </w:p>
    <w:p w14:paraId="58383B41" w14:textId="77777777" w:rsidR="00651401" w:rsidRPr="00DB6637" w:rsidRDefault="00651401" w:rsidP="00651401">
      <w:pPr>
        <w:spacing w:after="120"/>
        <w:rPr>
          <w:rFonts w:ascii="Times New Roman" w:hAnsi="Times New Roman"/>
          <w:szCs w:val="24"/>
          <w:lang w:val="en-IE"/>
        </w:rPr>
      </w:pPr>
      <w:r>
        <w:rPr>
          <w:rFonts w:ascii="Times New Roman" w:hAnsi="Times New Roman"/>
          <w:szCs w:val="24"/>
          <w:lang w:val="en-IE"/>
        </w:rPr>
        <w:t xml:space="preserve">The Parliament recognises that cutting-edge digital technologies, structured support for innovation and stable supply of critical raw materials and technologies are vital for Europe’s defence sector. The Parliament is concerned about the lack of investment in new, disruptive technologies despite the general acknowledgement that </w:t>
      </w:r>
      <w:r w:rsidRPr="00DB6637">
        <w:rPr>
          <w:rFonts w:ascii="Times New Roman" w:hAnsi="Times New Roman"/>
          <w:szCs w:val="24"/>
          <w:lang w:val="en-IE"/>
        </w:rPr>
        <w:t xml:space="preserve">Russia’s war against Ukraine has repeatedly demonstrated the effectiveness of </w:t>
      </w:r>
      <w:r>
        <w:rPr>
          <w:rFonts w:ascii="Times New Roman" w:hAnsi="Times New Roman"/>
          <w:szCs w:val="24"/>
          <w:lang w:val="en-IE"/>
        </w:rPr>
        <w:t>these</w:t>
      </w:r>
      <w:r w:rsidRPr="00DB6637">
        <w:rPr>
          <w:rFonts w:ascii="Times New Roman" w:hAnsi="Times New Roman"/>
          <w:szCs w:val="24"/>
          <w:lang w:val="en-IE"/>
        </w:rPr>
        <w:t xml:space="preserve"> technologies</w:t>
      </w:r>
      <w:r>
        <w:rPr>
          <w:rFonts w:ascii="Times New Roman" w:hAnsi="Times New Roman"/>
          <w:szCs w:val="24"/>
          <w:lang w:val="en-IE"/>
        </w:rPr>
        <w:t>. The Parliament e</w:t>
      </w:r>
      <w:r w:rsidRPr="00DB6637">
        <w:rPr>
          <w:rFonts w:ascii="Times New Roman" w:hAnsi="Times New Roman"/>
          <w:szCs w:val="24"/>
          <w:lang w:val="en-IE"/>
        </w:rPr>
        <w:t>mphasises the need for better dual-use of existing civilian technologies and for cross</w:t>
      </w:r>
      <w:r>
        <w:rPr>
          <w:rFonts w:ascii="Times New Roman" w:hAnsi="Times New Roman"/>
          <w:szCs w:val="24"/>
          <w:lang w:val="en-IE"/>
        </w:rPr>
        <w:t>-</w:t>
      </w:r>
      <w:r w:rsidRPr="00DB6637">
        <w:rPr>
          <w:rFonts w:ascii="Times New Roman" w:hAnsi="Times New Roman"/>
          <w:szCs w:val="24"/>
          <w:lang w:val="en-IE"/>
        </w:rPr>
        <w:t>fertilisation among civilian, military and dual-use innovation in the field of critical technologies</w:t>
      </w:r>
      <w:r>
        <w:rPr>
          <w:rFonts w:ascii="Times New Roman" w:hAnsi="Times New Roman"/>
          <w:szCs w:val="24"/>
          <w:lang w:val="en-IE"/>
        </w:rPr>
        <w:t xml:space="preserve">. </w:t>
      </w:r>
    </w:p>
    <w:p w14:paraId="00461FDC" w14:textId="77777777" w:rsidR="00651401" w:rsidRPr="002F7614" w:rsidRDefault="00651401" w:rsidP="00651401">
      <w:pPr>
        <w:spacing w:before="120" w:after="120"/>
        <w:ind w:left="567" w:hanging="567"/>
        <w:rPr>
          <w:rFonts w:ascii="Times New Roman" w:hAnsi="Times New Roman"/>
          <w:b/>
          <w:i/>
          <w:szCs w:val="24"/>
          <w:lang w:val="en-IE"/>
        </w:rPr>
      </w:pPr>
      <w:r w:rsidRPr="002F7614">
        <w:rPr>
          <w:rFonts w:ascii="Times New Roman" w:hAnsi="Times New Roman"/>
          <w:b/>
          <w:i/>
          <w:szCs w:val="24"/>
          <w:lang w:val="en-IE"/>
        </w:rPr>
        <w:t>The risks of overdependence and insufficient financing</w:t>
      </w:r>
    </w:p>
    <w:p w14:paraId="1D40ECFA" w14:textId="77777777" w:rsidR="00651401" w:rsidRPr="00DB595A" w:rsidRDefault="00651401" w:rsidP="00651401">
      <w:pPr>
        <w:spacing w:after="120"/>
        <w:rPr>
          <w:rFonts w:ascii="Times New Roman" w:hAnsi="Times New Roman"/>
          <w:szCs w:val="24"/>
          <w:lang w:val="en-IE"/>
        </w:rPr>
      </w:pPr>
      <w:r>
        <w:rPr>
          <w:rFonts w:ascii="Times New Roman" w:hAnsi="Times New Roman"/>
          <w:szCs w:val="24"/>
          <w:lang w:val="en-IE"/>
        </w:rPr>
        <w:t>The Parliament i</w:t>
      </w:r>
      <w:r w:rsidRPr="002F7614">
        <w:rPr>
          <w:rFonts w:ascii="Times New Roman" w:hAnsi="Times New Roman"/>
          <w:szCs w:val="24"/>
          <w:lang w:val="en-IE"/>
        </w:rPr>
        <w:t xml:space="preserve">s concerned about the insufficient level of financing for defence and security </w:t>
      </w:r>
      <w:r>
        <w:rPr>
          <w:rFonts w:ascii="Times New Roman" w:hAnsi="Times New Roman"/>
          <w:szCs w:val="24"/>
          <w:lang w:val="en-IE"/>
        </w:rPr>
        <w:t>and fears</w:t>
      </w:r>
      <w:r w:rsidRPr="00543C93">
        <w:rPr>
          <w:rFonts w:ascii="Times New Roman" w:hAnsi="Times New Roman"/>
          <w:szCs w:val="24"/>
          <w:lang w:val="en-IE"/>
        </w:rPr>
        <w:t xml:space="preserve"> that the current Multiannual Financial Framework (MFF) will not be able to provide sufficient resources to boost EU defence collaboration to an appropriate level. The Parliament</w:t>
      </w:r>
      <w:r w:rsidRPr="002F7614">
        <w:rPr>
          <w:rFonts w:ascii="Times New Roman" w:hAnsi="Times New Roman"/>
          <w:szCs w:val="24"/>
          <w:lang w:val="en-IE"/>
        </w:rPr>
        <w:t xml:space="preserve"> </w:t>
      </w:r>
      <w:r>
        <w:rPr>
          <w:rFonts w:ascii="Times New Roman" w:hAnsi="Times New Roman"/>
          <w:szCs w:val="24"/>
          <w:lang w:val="en-IE"/>
        </w:rPr>
        <w:t>r</w:t>
      </w:r>
      <w:r w:rsidRPr="002F7614">
        <w:rPr>
          <w:rFonts w:ascii="Times New Roman" w:hAnsi="Times New Roman"/>
          <w:szCs w:val="24"/>
          <w:lang w:val="en-IE"/>
        </w:rPr>
        <w:t>egrets that the combined defence research and technology spending of the Member States in 2020 amounted to only 1,2 % of their total defence spending</w:t>
      </w:r>
      <w:r>
        <w:rPr>
          <w:rFonts w:ascii="Times New Roman" w:hAnsi="Times New Roman"/>
          <w:szCs w:val="24"/>
          <w:lang w:val="en-IE"/>
        </w:rPr>
        <w:t>. The Parliament u</w:t>
      </w:r>
      <w:r w:rsidRPr="00DB6637">
        <w:rPr>
          <w:rFonts w:ascii="Times New Roman" w:hAnsi="Times New Roman"/>
          <w:szCs w:val="24"/>
          <w:lang w:val="en-IE"/>
        </w:rPr>
        <w:t>nderlines the need to increase investments in ‘green’ defence</w:t>
      </w:r>
      <w:r>
        <w:rPr>
          <w:rFonts w:ascii="Times New Roman" w:hAnsi="Times New Roman"/>
          <w:szCs w:val="24"/>
          <w:lang w:val="en-IE"/>
        </w:rPr>
        <w:t xml:space="preserve"> </w:t>
      </w:r>
      <w:r w:rsidRPr="00DB6637">
        <w:rPr>
          <w:rFonts w:ascii="Times New Roman" w:hAnsi="Times New Roman"/>
          <w:szCs w:val="24"/>
          <w:lang w:val="en-IE"/>
        </w:rPr>
        <w:t xml:space="preserve">by dedicating a higher share of EU-financed </w:t>
      </w:r>
      <w:r>
        <w:rPr>
          <w:rFonts w:ascii="Times New Roman" w:hAnsi="Times New Roman"/>
          <w:szCs w:val="24"/>
          <w:lang w:val="en-IE"/>
        </w:rPr>
        <w:t>research and development (</w:t>
      </w:r>
      <w:r w:rsidRPr="00DB6637">
        <w:rPr>
          <w:rFonts w:ascii="Times New Roman" w:hAnsi="Times New Roman"/>
          <w:szCs w:val="24"/>
          <w:lang w:val="en-IE"/>
        </w:rPr>
        <w:t>R&amp;D</w:t>
      </w:r>
      <w:r>
        <w:rPr>
          <w:rFonts w:ascii="Times New Roman" w:hAnsi="Times New Roman"/>
          <w:szCs w:val="24"/>
          <w:lang w:val="en-IE"/>
        </w:rPr>
        <w:t>)</w:t>
      </w:r>
      <w:r w:rsidRPr="00DB6637">
        <w:rPr>
          <w:rFonts w:ascii="Times New Roman" w:hAnsi="Times New Roman"/>
          <w:szCs w:val="24"/>
          <w:lang w:val="en-IE"/>
        </w:rPr>
        <w:t xml:space="preserve"> to carbon-neutral fuels and propulsion systems for </w:t>
      </w:r>
      <w:r>
        <w:rPr>
          <w:rFonts w:ascii="Times New Roman" w:hAnsi="Times New Roman"/>
          <w:szCs w:val="24"/>
          <w:lang w:val="en-IE"/>
        </w:rPr>
        <w:t>defence users,</w:t>
      </w:r>
      <w:r w:rsidRPr="00DB6637">
        <w:rPr>
          <w:rFonts w:ascii="Times New Roman" w:hAnsi="Times New Roman"/>
          <w:szCs w:val="24"/>
          <w:lang w:val="en-IE"/>
        </w:rPr>
        <w:t xml:space="preserve"> </w:t>
      </w:r>
      <w:r>
        <w:rPr>
          <w:rFonts w:ascii="Times New Roman" w:hAnsi="Times New Roman"/>
          <w:szCs w:val="24"/>
          <w:lang w:val="en-IE"/>
        </w:rPr>
        <w:t xml:space="preserve">to </w:t>
      </w:r>
      <w:r w:rsidRPr="00DB6637">
        <w:rPr>
          <w:rFonts w:ascii="Times New Roman" w:hAnsi="Times New Roman"/>
          <w:szCs w:val="24"/>
          <w:lang w:val="en-IE"/>
        </w:rPr>
        <w:t xml:space="preserve">sustainable security and defence technologies and </w:t>
      </w:r>
      <w:r>
        <w:rPr>
          <w:rFonts w:ascii="Times New Roman" w:hAnsi="Times New Roman"/>
          <w:szCs w:val="24"/>
          <w:lang w:val="en-IE"/>
        </w:rPr>
        <w:t>to measures that reduce</w:t>
      </w:r>
      <w:r w:rsidRPr="00DB6637">
        <w:rPr>
          <w:rFonts w:ascii="Times New Roman" w:hAnsi="Times New Roman"/>
          <w:szCs w:val="24"/>
          <w:lang w:val="en-IE"/>
        </w:rPr>
        <w:t xml:space="preserve"> the dependence of the EU’s security and defence industries on fossil fuels</w:t>
      </w:r>
      <w:r>
        <w:rPr>
          <w:rFonts w:ascii="Times New Roman" w:hAnsi="Times New Roman"/>
          <w:szCs w:val="24"/>
          <w:lang w:val="en-IE"/>
        </w:rPr>
        <w:t>.</w:t>
      </w:r>
    </w:p>
    <w:p w14:paraId="5ECFF32F" w14:textId="77777777" w:rsidR="00651401" w:rsidRPr="002F7614" w:rsidRDefault="00651401" w:rsidP="00651401">
      <w:pPr>
        <w:spacing w:before="120" w:after="120"/>
        <w:ind w:left="567" w:hanging="567"/>
        <w:rPr>
          <w:rFonts w:ascii="Times New Roman" w:hAnsi="Times New Roman"/>
          <w:b/>
          <w:i/>
          <w:szCs w:val="24"/>
          <w:lang w:val="en-IE"/>
        </w:rPr>
      </w:pPr>
      <w:r w:rsidRPr="002F7614">
        <w:rPr>
          <w:rFonts w:ascii="Times New Roman" w:hAnsi="Times New Roman"/>
          <w:b/>
          <w:i/>
          <w:szCs w:val="24"/>
          <w:lang w:val="en-IE"/>
        </w:rPr>
        <w:t>The opportunities offered by newly established EU instruments</w:t>
      </w:r>
    </w:p>
    <w:p w14:paraId="6AB13B6C" w14:textId="77777777" w:rsidR="00651401" w:rsidRPr="002A18BA" w:rsidRDefault="00651401" w:rsidP="00651401">
      <w:pPr>
        <w:spacing w:after="120"/>
        <w:rPr>
          <w:rFonts w:ascii="Times New Roman" w:hAnsi="Times New Roman"/>
          <w:szCs w:val="24"/>
          <w:lang w:val="en-IE"/>
        </w:rPr>
      </w:pPr>
      <w:r>
        <w:rPr>
          <w:rFonts w:ascii="Times New Roman" w:hAnsi="Times New Roman"/>
          <w:szCs w:val="24"/>
          <w:lang w:val="en-IE"/>
        </w:rPr>
        <w:t>The Parliament strongly supports the Commission’s recent initiatives in this area. The Parliament w</w:t>
      </w:r>
      <w:r w:rsidRPr="002A18BA">
        <w:rPr>
          <w:rFonts w:ascii="Times New Roman" w:hAnsi="Times New Roman"/>
          <w:szCs w:val="24"/>
          <w:lang w:val="en-IE"/>
        </w:rPr>
        <w:t>elcomes the Commission’s proposal to overcome the current division between civil, defence and security research, development and innovation an</w:t>
      </w:r>
      <w:r>
        <w:rPr>
          <w:rFonts w:ascii="Times New Roman" w:hAnsi="Times New Roman"/>
          <w:szCs w:val="24"/>
          <w:lang w:val="en-IE"/>
        </w:rPr>
        <w:t>d</w:t>
      </w:r>
      <w:r w:rsidRPr="002A18BA">
        <w:rPr>
          <w:rFonts w:ascii="Times New Roman" w:hAnsi="Times New Roman"/>
          <w:szCs w:val="24"/>
          <w:lang w:val="en-IE"/>
        </w:rPr>
        <w:t xml:space="preserve"> calls on the Commission to better connect EU civil, defence and security programmes and instruments with the relevant stakeholders. </w:t>
      </w:r>
      <w:r>
        <w:rPr>
          <w:rFonts w:ascii="Times New Roman" w:hAnsi="Times New Roman"/>
          <w:szCs w:val="24"/>
          <w:lang w:val="en-IE"/>
        </w:rPr>
        <w:t xml:space="preserve">The Parliament </w:t>
      </w:r>
      <w:r w:rsidRPr="002A18BA">
        <w:rPr>
          <w:rFonts w:ascii="Times New Roman" w:hAnsi="Times New Roman"/>
          <w:szCs w:val="24"/>
          <w:lang w:val="en-IE"/>
        </w:rPr>
        <w:t xml:space="preserve">welcomes the establishment of </w:t>
      </w:r>
      <w:r>
        <w:rPr>
          <w:rFonts w:ascii="Times New Roman" w:hAnsi="Times New Roman"/>
          <w:szCs w:val="24"/>
          <w:lang w:val="en-IE"/>
        </w:rPr>
        <w:t>the</w:t>
      </w:r>
      <w:r w:rsidRPr="002A18BA">
        <w:rPr>
          <w:rFonts w:ascii="Times New Roman" w:hAnsi="Times New Roman"/>
          <w:szCs w:val="24"/>
          <w:lang w:val="en-IE"/>
        </w:rPr>
        <w:t xml:space="preserve"> observatory of critical technologies. The Parliament welcomes the creation of the EU defence innovation scheme and the ongoing work with various tools relating to defence and new and dual-use technologies in order to help innovative start-ups and </w:t>
      </w:r>
      <w:r>
        <w:rPr>
          <w:rFonts w:ascii="Times New Roman" w:hAnsi="Times New Roman"/>
          <w:szCs w:val="24"/>
          <w:lang w:val="en-IE"/>
        </w:rPr>
        <w:t>small and medium-sized enterprises (S</w:t>
      </w:r>
      <w:r w:rsidRPr="002A18BA">
        <w:rPr>
          <w:rFonts w:ascii="Times New Roman" w:hAnsi="Times New Roman"/>
          <w:szCs w:val="24"/>
          <w:lang w:val="en-IE"/>
        </w:rPr>
        <w:t>MEs</w:t>
      </w:r>
      <w:r>
        <w:rPr>
          <w:rFonts w:ascii="Times New Roman" w:hAnsi="Times New Roman"/>
          <w:szCs w:val="24"/>
          <w:lang w:val="en-IE"/>
        </w:rPr>
        <w:t>)</w:t>
      </w:r>
      <w:r w:rsidRPr="002A18BA">
        <w:rPr>
          <w:rFonts w:ascii="Times New Roman" w:hAnsi="Times New Roman"/>
          <w:szCs w:val="24"/>
          <w:lang w:val="en-IE"/>
        </w:rPr>
        <w:t xml:space="preserve"> overcome high technological, administrative, financial, regulatory and market entry hurdles.</w:t>
      </w:r>
      <w:r>
        <w:rPr>
          <w:rFonts w:ascii="Times New Roman" w:hAnsi="Times New Roman"/>
          <w:szCs w:val="24"/>
          <w:lang w:val="en-IE"/>
        </w:rPr>
        <w:t xml:space="preserve"> The Parliament </w:t>
      </w:r>
      <w:r w:rsidRPr="002F7614">
        <w:rPr>
          <w:rFonts w:ascii="Times New Roman" w:hAnsi="Times New Roman"/>
          <w:szCs w:val="24"/>
          <w:lang w:val="en-IE"/>
        </w:rPr>
        <w:t>calls on the Commission to further develop existing funding schemes and alternatives to significantly increase funding for critical technologies for security and defence under the current MFF</w:t>
      </w:r>
      <w:r>
        <w:rPr>
          <w:rFonts w:ascii="Times New Roman" w:hAnsi="Times New Roman"/>
          <w:szCs w:val="24"/>
          <w:lang w:val="en-IE"/>
        </w:rPr>
        <w:t>, by closely aligning</w:t>
      </w:r>
      <w:r w:rsidRPr="00DB595A">
        <w:rPr>
          <w:rFonts w:ascii="Times New Roman" w:hAnsi="Times New Roman"/>
          <w:szCs w:val="24"/>
          <w:lang w:val="en-IE"/>
        </w:rPr>
        <w:t xml:space="preserve"> the various EU research and innovation programmes</w:t>
      </w:r>
      <w:r>
        <w:rPr>
          <w:rFonts w:ascii="Times New Roman" w:hAnsi="Times New Roman"/>
          <w:szCs w:val="24"/>
          <w:lang w:val="en-IE"/>
        </w:rPr>
        <w:t>.</w:t>
      </w:r>
    </w:p>
    <w:p w14:paraId="2C4186E9" w14:textId="77777777" w:rsidR="00651401" w:rsidRPr="004007F7" w:rsidRDefault="00651401" w:rsidP="00651401">
      <w:pPr>
        <w:keepNext/>
        <w:spacing w:before="240" w:after="120"/>
        <w:ind w:left="567" w:hanging="567"/>
        <w:rPr>
          <w:rFonts w:ascii="Times New Roman" w:eastAsia="SimSun" w:hAnsi="Times New Roman"/>
          <w:b/>
          <w:szCs w:val="24"/>
          <w:lang w:val="en-IE" w:eastAsia="ko-KR"/>
        </w:rPr>
      </w:pPr>
      <w:r w:rsidRPr="004007F7">
        <w:rPr>
          <w:rFonts w:ascii="Times New Roman" w:eastAsia="SimSun" w:hAnsi="Times New Roman"/>
          <w:b/>
          <w:szCs w:val="24"/>
          <w:lang w:val="en-IE" w:eastAsia="ko-KR"/>
        </w:rPr>
        <w:lastRenderedPageBreak/>
        <w:t>6.</w:t>
      </w:r>
      <w:r w:rsidRPr="004007F7">
        <w:rPr>
          <w:rFonts w:ascii="Times New Roman" w:eastAsia="SimSun" w:hAnsi="Times New Roman"/>
          <w:b/>
          <w:szCs w:val="24"/>
          <w:lang w:val="en-IE" w:eastAsia="ko-KR"/>
        </w:rPr>
        <w:tab/>
        <w:t>Response to requests and overview of action taken, or intended to be taken, by the Commission:</w:t>
      </w:r>
    </w:p>
    <w:p w14:paraId="68E168F7" w14:textId="77777777" w:rsidR="00651401" w:rsidRDefault="00651401" w:rsidP="00651401">
      <w:pPr>
        <w:spacing w:before="120" w:after="120"/>
        <w:ind w:left="567" w:hanging="567"/>
        <w:rPr>
          <w:rFonts w:ascii="Times New Roman" w:hAnsi="Times New Roman"/>
          <w:b/>
          <w:i/>
          <w:szCs w:val="24"/>
          <w:lang w:val="en-IE"/>
        </w:rPr>
      </w:pPr>
      <w:r>
        <w:rPr>
          <w:rFonts w:ascii="Times New Roman" w:hAnsi="Times New Roman"/>
          <w:b/>
          <w:i/>
          <w:szCs w:val="24"/>
          <w:lang w:val="en-IE"/>
        </w:rPr>
        <w:t>The growing importance of critical technologies for security and defence</w:t>
      </w:r>
    </w:p>
    <w:p w14:paraId="2A84C125" w14:textId="77777777" w:rsidR="00651401" w:rsidRDefault="00651401" w:rsidP="00651401">
      <w:pPr>
        <w:spacing w:after="120"/>
        <w:rPr>
          <w:rFonts w:ascii="Times New Roman" w:eastAsiaTheme="minorHAnsi" w:hAnsi="Times New Roman"/>
          <w:szCs w:val="24"/>
          <w:u w:val="single"/>
          <w:lang w:val="en-IE" w:eastAsia="en-US"/>
        </w:rPr>
      </w:pPr>
      <w:r>
        <w:rPr>
          <w:rFonts w:ascii="Times New Roman" w:eastAsiaTheme="minorHAnsi" w:hAnsi="Times New Roman"/>
          <w:szCs w:val="24"/>
          <w:u w:val="single"/>
          <w:lang w:val="en-IE" w:eastAsia="en-US"/>
        </w:rPr>
        <w:t>Observatory of critical technologies (paragraph 6)</w:t>
      </w:r>
    </w:p>
    <w:p w14:paraId="41F2741F" w14:textId="77777777" w:rsidR="00651401" w:rsidRPr="00120903" w:rsidRDefault="00651401" w:rsidP="00651401">
      <w:pPr>
        <w:spacing w:after="120"/>
        <w:rPr>
          <w:rFonts w:ascii="Times New Roman" w:eastAsiaTheme="minorHAnsi" w:hAnsi="Times New Roman"/>
          <w:szCs w:val="24"/>
          <w:lang w:val="en-IE" w:eastAsia="en-US"/>
        </w:rPr>
      </w:pPr>
      <w:r>
        <w:rPr>
          <w:rFonts w:ascii="Times New Roman" w:eastAsiaTheme="minorHAnsi" w:hAnsi="Times New Roman"/>
          <w:szCs w:val="24"/>
          <w:lang w:val="en-IE" w:eastAsia="en-US"/>
        </w:rPr>
        <w:t>The Commission set up the observatory of critical technologies (OCT) in 2021 with the aim to</w:t>
      </w:r>
      <w:r w:rsidRPr="00AA1379">
        <w:rPr>
          <w:rFonts w:ascii="Times New Roman" w:eastAsiaTheme="minorHAnsi" w:hAnsi="Times New Roman"/>
          <w:szCs w:val="24"/>
          <w:lang w:val="en-IE" w:eastAsia="en-US"/>
        </w:rPr>
        <w:t xml:space="preserve">: (i) identify critical technologies in the interplay between the civil, space, and defence industries; (ii) identify and monitor risks associated with strategic dependencies (technologies and their associated value chains and actors); and (iii) perform technology watch to identify emerging critical and potentially disruptive technologies with a significant potential impact on space and defence innovation and EU strategic interests. </w:t>
      </w:r>
      <w:r>
        <w:rPr>
          <w:rFonts w:ascii="Times New Roman" w:eastAsiaTheme="minorHAnsi" w:hAnsi="Times New Roman"/>
          <w:szCs w:val="24"/>
          <w:lang w:val="en-IE" w:eastAsia="en-US"/>
        </w:rPr>
        <w:t xml:space="preserve">The Commission will present its first classified report to Member States in the second half of 2023. It will focus on </w:t>
      </w:r>
      <w:r w:rsidRPr="00AA1379">
        <w:rPr>
          <w:rFonts w:ascii="Times New Roman" w:eastAsiaTheme="minorHAnsi" w:hAnsi="Times New Roman"/>
          <w:szCs w:val="24"/>
          <w:lang w:val="en-IE" w:eastAsia="en-US"/>
        </w:rPr>
        <w:t>two selected cases</w:t>
      </w:r>
      <w:r>
        <w:rPr>
          <w:rFonts w:ascii="Times New Roman" w:eastAsiaTheme="minorHAnsi" w:hAnsi="Times New Roman"/>
          <w:szCs w:val="24"/>
          <w:lang w:val="en-IE" w:eastAsia="en-US"/>
        </w:rPr>
        <w:t xml:space="preserve">: </w:t>
      </w:r>
      <w:r w:rsidRPr="00AA1379">
        <w:rPr>
          <w:rFonts w:ascii="Times New Roman" w:eastAsiaTheme="minorHAnsi" w:hAnsi="Times New Roman"/>
          <w:szCs w:val="24"/>
          <w:lang w:val="en-IE" w:eastAsia="en-US"/>
        </w:rPr>
        <w:t xml:space="preserve">autonomous systems and semiconductors for defence. </w:t>
      </w:r>
      <w:r>
        <w:rPr>
          <w:rFonts w:ascii="Times New Roman" w:eastAsiaTheme="minorHAnsi" w:hAnsi="Times New Roman"/>
          <w:szCs w:val="24"/>
          <w:lang w:val="en-IE" w:eastAsia="en-US"/>
        </w:rPr>
        <w:t>Further critical technologies</w:t>
      </w:r>
      <w:r w:rsidRPr="00AA1379">
        <w:rPr>
          <w:rFonts w:ascii="Times New Roman" w:eastAsiaTheme="minorHAnsi" w:hAnsi="Times New Roman"/>
          <w:szCs w:val="24"/>
          <w:lang w:val="en-IE" w:eastAsia="en-US"/>
        </w:rPr>
        <w:t xml:space="preserve"> will be selected </w:t>
      </w:r>
      <w:r>
        <w:rPr>
          <w:rFonts w:ascii="Times New Roman" w:eastAsiaTheme="minorHAnsi" w:hAnsi="Times New Roman"/>
          <w:szCs w:val="24"/>
          <w:lang w:val="en-IE" w:eastAsia="en-US"/>
        </w:rPr>
        <w:t>for analysis in</w:t>
      </w:r>
      <w:r w:rsidRPr="00AA1379">
        <w:rPr>
          <w:rFonts w:ascii="Times New Roman" w:eastAsiaTheme="minorHAnsi" w:hAnsi="Times New Roman"/>
          <w:szCs w:val="24"/>
          <w:lang w:val="en-IE" w:eastAsia="en-US"/>
        </w:rPr>
        <w:t xml:space="preserve"> the future.</w:t>
      </w:r>
    </w:p>
    <w:p w14:paraId="0D5D8E46" w14:textId="77777777" w:rsidR="00651401" w:rsidRDefault="00651401" w:rsidP="00651401">
      <w:pPr>
        <w:spacing w:after="120"/>
        <w:rPr>
          <w:rFonts w:ascii="Times New Roman" w:eastAsiaTheme="minorHAnsi" w:hAnsi="Times New Roman"/>
          <w:szCs w:val="24"/>
          <w:u w:val="single"/>
          <w:lang w:val="en-IE" w:eastAsia="en-US"/>
        </w:rPr>
      </w:pPr>
      <w:r w:rsidRPr="00494E97">
        <w:rPr>
          <w:rFonts w:ascii="Times New Roman" w:eastAsiaTheme="minorHAnsi" w:hAnsi="Times New Roman"/>
          <w:szCs w:val="24"/>
          <w:u w:val="single"/>
          <w:lang w:val="en-IE" w:eastAsia="en-US"/>
        </w:rPr>
        <w:t xml:space="preserve">Encouraging Member States to review all </w:t>
      </w:r>
      <w:r>
        <w:rPr>
          <w:rFonts w:ascii="Times New Roman" w:eastAsiaTheme="minorHAnsi" w:hAnsi="Times New Roman"/>
          <w:szCs w:val="24"/>
          <w:u w:val="single"/>
          <w:lang w:val="en-IE" w:eastAsia="en-US"/>
        </w:rPr>
        <w:t xml:space="preserve">their </w:t>
      </w:r>
      <w:r w:rsidRPr="00494E97">
        <w:rPr>
          <w:rFonts w:ascii="Times New Roman" w:eastAsiaTheme="minorHAnsi" w:hAnsi="Times New Roman"/>
          <w:szCs w:val="24"/>
          <w:u w:val="single"/>
          <w:lang w:val="en-IE" w:eastAsia="en-US"/>
        </w:rPr>
        <w:t>defence programmes and policy tools</w:t>
      </w:r>
      <w:r>
        <w:rPr>
          <w:rFonts w:ascii="Times New Roman" w:eastAsiaTheme="minorHAnsi" w:hAnsi="Times New Roman"/>
          <w:szCs w:val="24"/>
          <w:u w:val="single"/>
          <w:lang w:val="en-IE" w:eastAsia="en-US"/>
        </w:rPr>
        <w:t xml:space="preserve"> with a specific focus on critical technologies (paragraph 7)</w:t>
      </w:r>
    </w:p>
    <w:p w14:paraId="5927D212" w14:textId="77777777" w:rsidR="00651401" w:rsidRDefault="00651401" w:rsidP="00651401">
      <w:pPr>
        <w:spacing w:after="120"/>
        <w:rPr>
          <w:rFonts w:ascii="Times New Roman" w:eastAsiaTheme="minorHAnsi" w:hAnsi="Times New Roman"/>
          <w:szCs w:val="24"/>
          <w:lang w:val="en-IE" w:eastAsia="en-US"/>
        </w:rPr>
      </w:pPr>
      <w:r>
        <w:rPr>
          <w:rFonts w:ascii="Times New Roman" w:eastAsiaTheme="minorHAnsi" w:hAnsi="Times New Roman"/>
          <w:szCs w:val="24"/>
          <w:lang w:val="en-IE" w:eastAsia="en-US"/>
        </w:rPr>
        <w:t>In 2022, t</w:t>
      </w:r>
      <w:r w:rsidRPr="001F31B8">
        <w:rPr>
          <w:rFonts w:ascii="Times New Roman" w:eastAsiaTheme="minorHAnsi" w:hAnsi="Times New Roman"/>
          <w:szCs w:val="24"/>
          <w:lang w:val="en-IE" w:eastAsia="en-US"/>
        </w:rPr>
        <w:t>he Commission established a dedicated expert group wi</w:t>
      </w:r>
      <w:r>
        <w:rPr>
          <w:rFonts w:ascii="Times New Roman" w:eastAsiaTheme="minorHAnsi" w:hAnsi="Times New Roman"/>
          <w:szCs w:val="24"/>
          <w:lang w:val="en-IE" w:eastAsia="en-US"/>
        </w:rPr>
        <w:t>th Member States in support of the observatory of critical technologies. In addition, the Commission set up a group with industrial experts on critical technologies, as a subgroup on the expert group on aerospace and defence. Finally, the Commission is working closely with the European Defence Agency to ensure the alignment and cross-feeding of respective work on critical technologies.</w:t>
      </w:r>
    </w:p>
    <w:p w14:paraId="67B2D0AE" w14:textId="77777777" w:rsidR="00651401" w:rsidRPr="00AB47C7" w:rsidRDefault="00651401" w:rsidP="00651401">
      <w:pPr>
        <w:spacing w:after="120"/>
        <w:rPr>
          <w:rFonts w:ascii="Times New Roman" w:eastAsiaTheme="minorHAnsi" w:hAnsi="Times New Roman"/>
          <w:szCs w:val="24"/>
          <w:u w:val="single"/>
          <w:lang w:val="en-IE" w:eastAsia="en-US"/>
        </w:rPr>
      </w:pPr>
      <w:r w:rsidRPr="00AB47C7">
        <w:rPr>
          <w:rFonts w:ascii="Times New Roman" w:eastAsiaTheme="minorHAnsi" w:hAnsi="Times New Roman"/>
          <w:szCs w:val="24"/>
          <w:u w:val="single"/>
          <w:lang w:val="en-IE" w:eastAsia="en-US"/>
        </w:rPr>
        <w:t>EU procurement directives</w:t>
      </w:r>
      <w:r>
        <w:rPr>
          <w:rFonts w:ascii="Times New Roman" w:eastAsiaTheme="minorHAnsi" w:hAnsi="Times New Roman"/>
          <w:szCs w:val="24"/>
          <w:u w:val="single"/>
          <w:lang w:val="en-IE" w:eastAsia="en-US"/>
        </w:rPr>
        <w:t xml:space="preserve"> </w:t>
      </w:r>
      <w:r w:rsidRPr="00AB47C7">
        <w:rPr>
          <w:rFonts w:ascii="Times New Roman" w:eastAsiaTheme="minorHAnsi" w:hAnsi="Times New Roman"/>
          <w:szCs w:val="24"/>
          <w:u w:val="single"/>
          <w:lang w:val="en-IE" w:eastAsia="en-US"/>
        </w:rPr>
        <w:t>with regard to barriers for start-ups and small businesses (paragraph 12)</w:t>
      </w:r>
    </w:p>
    <w:p w14:paraId="51FCA2BD" w14:textId="77777777" w:rsidR="00651401" w:rsidRPr="008F63CE" w:rsidRDefault="00651401" w:rsidP="00651401">
      <w:pPr>
        <w:autoSpaceDE w:val="0"/>
        <w:autoSpaceDN w:val="0"/>
        <w:adjustRightInd w:val="0"/>
        <w:spacing w:after="120"/>
        <w:rPr>
          <w:rFonts w:ascii="Times New Roman" w:hAnsi="Times New Roman"/>
          <w:szCs w:val="24"/>
        </w:rPr>
      </w:pPr>
      <w:r>
        <w:rPr>
          <w:rFonts w:ascii="Times New Roman" w:hAnsi="Times New Roman"/>
          <w:szCs w:val="24"/>
        </w:rPr>
        <w:t>T</w:t>
      </w:r>
      <w:r w:rsidRPr="008F63CE">
        <w:rPr>
          <w:rFonts w:ascii="Times New Roman" w:hAnsi="Times New Roman"/>
          <w:szCs w:val="24"/>
        </w:rPr>
        <w:t xml:space="preserve">he Commission attaches great importance to </w:t>
      </w:r>
      <w:r>
        <w:rPr>
          <w:rFonts w:ascii="Times New Roman" w:hAnsi="Times New Roman"/>
          <w:szCs w:val="24"/>
        </w:rPr>
        <w:t xml:space="preserve">enhancing </w:t>
      </w:r>
      <w:r w:rsidRPr="008F63CE">
        <w:rPr>
          <w:rFonts w:ascii="Times New Roman" w:hAnsi="Times New Roman"/>
          <w:szCs w:val="24"/>
        </w:rPr>
        <w:t xml:space="preserve">the participation of SMEs in the defence sector </w:t>
      </w:r>
      <w:r>
        <w:rPr>
          <w:rFonts w:ascii="Times New Roman" w:hAnsi="Times New Roman"/>
          <w:szCs w:val="24"/>
        </w:rPr>
        <w:t xml:space="preserve">as they </w:t>
      </w:r>
      <w:r w:rsidRPr="008F63CE">
        <w:rPr>
          <w:rFonts w:ascii="Times New Roman" w:hAnsi="Times New Roman"/>
          <w:szCs w:val="24"/>
        </w:rPr>
        <w:t>are a critically important part of supply chains</w:t>
      </w:r>
      <w:r>
        <w:rPr>
          <w:rFonts w:ascii="Times New Roman" w:hAnsi="Times New Roman"/>
          <w:szCs w:val="24"/>
        </w:rPr>
        <w:t xml:space="preserve"> and </w:t>
      </w:r>
      <w:r w:rsidRPr="008F63CE">
        <w:rPr>
          <w:rFonts w:ascii="Times New Roman" w:hAnsi="Times New Roman"/>
          <w:szCs w:val="24"/>
        </w:rPr>
        <w:t>key enablers of innovation and growth, able to conduct essential research, technology and innovation activities.</w:t>
      </w:r>
    </w:p>
    <w:p w14:paraId="63FC0C57" w14:textId="77777777" w:rsidR="00651401" w:rsidRPr="008F63CE" w:rsidRDefault="00651401" w:rsidP="00651401">
      <w:pPr>
        <w:widowControl w:val="0"/>
        <w:spacing w:after="120"/>
        <w:rPr>
          <w:rFonts w:ascii="Times New Roman" w:hAnsi="Times New Roman"/>
          <w:szCs w:val="24"/>
        </w:rPr>
      </w:pPr>
      <w:r>
        <w:rPr>
          <w:rFonts w:ascii="Times New Roman" w:hAnsi="Times New Roman"/>
          <w:szCs w:val="24"/>
          <w:lang w:val="en-US"/>
        </w:rPr>
        <w:t>T</w:t>
      </w:r>
      <w:r w:rsidRPr="008F63CE">
        <w:rPr>
          <w:rFonts w:ascii="Times New Roman" w:hAnsi="Times New Roman"/>
          <w:szCs w:val="24"/>
        </w:rPr>
        <w:t xml:space="preserve">he Commission issued in 2018 a </w:t>
      </w:r>
      <w:r>
        <w:rPr>
          <w:rFonts w:ascii="Times New Roman" w:hAnsi="Times New Roman"/>
          <w:szCs w:val="24"/>
        </w:rPr>
        <w:t>r</w:t>
      </w:r>
      <w:r w:rsidRPr="008F63CE">
        <w:rPr>
          <w:rFonts w:ascii="Times New Roman" w:hAnsi="Times New Roman"/>
          <w:szCs w:val="24"/>
        </w:rPr>
        <w:t xml:space="preserve">ecommendation on cross-border market access for sub-suppliers and SMEs in the defence sector. </w:t>
      </w:r>
      <w:r>
        <w:rPr>
          <w:rFonts w:ascii="Times New Roman" w:hAnsi="Times New Roman"/>
        </w:rPr>
        <w:t>T</w:t>
      </w:r>
      <w:r w:rsidRPr="008F63CE">
        <w:rPr>
          <w:rFonts w:ascii="Times New Roman" w:hAnsi="Times New Roman"/>
          <w:szCs w:val="24"/>
        </w:rPr>
        <w:t xml:space="preserve">he </w:t>
      </w:r>
      <w:r>
        <w:rPr>
          <w:rFonts w:ascii="Times New Roman" w:hAnsi="Times New Roman"/>
          <w:szCs w:val="24"/>
        </w:rPr>
        <w:t>recommendation has been largely implemented by the Member States. The Commission, together with the Member States, is regularly examining and exchanging good practices on different aspects concerning the involvement of SMEs in defence procurement as part of the work of the Commission’s expert group on Defence and Security Procurement. The continued substantial participation of SMEs in the European Defence Fund (EDF) and its preparatory programmes is testament to the Commission’s efforts to this end.</w:t>
      </w:r>
    </w:p>
    <w:p w14:paraId="57726415" w14:textId="77777777" w:rsidR="00651401" w:rsidRDefault="00651401" w:rsidP="00651401">
      <w:pPr>
        <w:spacing w:after="120"/>
        <w:rPr>
          <w:rFonts w:ascii="Times New Roman" w:eastAsiaTheme="minorHAnsi" w:hAnsi="Times New Roman"/>
          <w:szCs w:val="24"/>
          <w:u w:val="single"/>
          <w:lang w:val="en-IE" w:eastAsia="en-US"/>
        </w:rPr>
      </w:pPr>
      <w:r w:rsidRPr="00120903">
        <w:rPr>
          <w:rFonts w:ascii="Times New Roman" w:eastAsiaTheme="minorHAnsi" w:hAnsi="Times New Roman"/>
          <w:szCs w:val="24"/>
          <w:u w:val="single"/>
          <w:lang w:val="en-IE" w:eastAsia="en-US"/>
        </w:rPr>
        <w:t>Sustainable security &amp; defence technologies, resilience of industry and ‘green defence’ (paragraphs 23 and 24)</w:t>
      </w:r>
    </w:p>
    <w:p w14:paraId="5A766AD8" w14:textId="77777777" w:rsidR="00651401" w:rsidRPr="00120903" w:rsidRDefault="00651401" w:rsidP="00651401">
      <w:pPr>
        <w:spacing w:after="120"/>
        <w:rPr>
          <w:rFonts w:ascii="Times New Roman" w:eastAsiaTheme="minorHAnsi" w:hAnsi="Times New Roman"/>
          <w:szCs w:val="24"/>
          <w:lang w:val="en-IE" w:eastAsia="en-US"/>
        </w:rPr>
      </w:pPr>
      <w:r>
        <w:rPr>
          <w:rFonts w:ascii="Times New Roman" w:eastAsiaTheme="minorHAnsi" w:hAnsi="Times New Roman"/>
          <w:szCs w:val="24"/>
          <w:lang w:val="en-IE" w:eastAsia="en-US"/>
        </w:rPr>
        <w:t xml:space="preserve">The Commission, together with the High Representative, tabled </w:t>
      </w:r>
      <w:r w:rsidRPr="001F31B8">
        <w:rPr>
          <w:rFonts w:ascii="Times New Roman" w:eastAsiaTheme="minorHAnsi" w:hAnsi="Times New Roman"/>
          <w:szCs w:val="24"/>
          <w:lang w:val="en-IE" w:eastAsia="en-US"/>
        </w:rPr>
        <w:t>a</w:t>
      </w:r>
      <w:r>
        <w:rPr>
          <w:rFonts w:ascii="Times New Roman" w:eastAsiaTheme="minorHAnsi" w:hAnsi="Times New Roman"/>
          <w:szCs w:val="24"/>
          <w:lang w:val="en-IE" w:eastAsia="en-US"/>
        </w:rPr>
        <w:t xml:space="preserve"> </w:t>
      </w:r>
      <w:r w:rsidRPr="001F31B8">
        <w:rPr>
          <w:rFonts w:ascii="Times New Roman" w:eastAsiaTheme="minorHAnsi" w:hAnsi="Times New Roman"/>
          <w:szCs w:val="24"/>
          <w:lang w:val="en-IE" w:eastAsia="en-US"/>
        </w:rPr>
        <w:t xml:space="preserve">Joint Communication on </w:t>
      </w:r>
      <w:r>
        <w:rPr>
          <w:rFonts w:ascii="Times New Roman" w:eastAsiaTheme="minorHAnsi" w:hAnsi="Times New Roman"/>
          <w:szCs w:val="24"/>
          <w:lang w:val="en-IE" w:eastAsia="en-US"/>
        </w:rPr>
        <w:t>c</w:t>
      </w:r>
      <w:r w:rsidRPr="001F31B8">
        <w:rPr>
          <w:rFonts w:ascii="Times New Roman" w:eastAsiaTheme="minorHAnsi" w:hAnsi="Times New Roman"/>
          <w:szCs w:val="24"/>
          <w:lang w:val="en-IE" w:eastAsia="en-US"/>
        </w:rPr>
        <w:t xml:space="preserve">limate </w:t>
      </w:r>
      <w:r>
        <w:rPr>
          <w:rFonts w:ascii="Times New Roman" w:eastAsiaTheme="minorHAnsi" w:hAnsi="Times New Roman"/>
          <w:szCs w:val="24"/>
          <w:lang w:val="en-IE" w:eastAsia="en-US"/>
        </w:rPr>
        <w:t>c</w:t>
      </w:r>
      <w:r w:rsidRPr="001F31B8">
        <w:rPr>
          <w:rFonts w:ascii="Times New Roman" w:eastAsiaTheme="minorHAnsi" w:hAnsi="Times New Roman"/>
          <w:szCs w:val="24"/>
          <w:lang w:val="en-IE" w:eastAsia="en-US"/>
        </w:rPr>
        <w:t xml:space="preserve">hange, </w:t>
      </w:r>
      <w:r>
        <w:rPr>
          <w:rFonts w:ascii="Times New Roman" w:eastAsiaTheme="minorHAnsi" w:hAnsi="Times New Roman"/>
          <w:szCs w:val="24"/>
          <w:lang w:val="en-IE" w:eastAsia="en-US"/>
        </w:rPr>
        <w:t>e</w:t>
      </w:r>
      <w:r w:rsidRPr="001F31B8">
        <w:rPr>
          <w:rFonts w:ascii="Times New Roman" w:eastAsiaTheme="minorHAnsi" w:hAnsi="Times New Roman"/>
          <w:szCs w:val="24"/>
          <w:lang w:val="en-IE" w:eastAsia="en-US"/>
        </w:rPr>
        <w:t xml:space="preserve">nvironmental degradation, </w:t>
      </w:r>
      <w:r>
        <w:rPr>
          <w:rFonts w:ascii="Times New Roman" w:eastAsiaTheme="minorHAnsi" w:hAnsi="Times New Roman"/>
          <w:szCs w:val="24"/>
          <w:lang w:val="en-IE" w:eastAsia="en-US"/>
        </w:rPr>
        <w:t>s</w:t>
      </w:r>
      <w:r w:rsidRPr="001F31B8">
        <w:rPr>
          <w:rFonts w:ascii="Times New Roman" w:eastAsiaTheme="minorHAnsi" w:hAnsi="Times New Roman"/>
          <w:szCs w:val="24"/>
          <w:lang w:val="en-IE" w:eastAsia="en-US"/>
        </w:rPr>
        <w:t xml:space="preserve">ecurity and </w:t>
      </w:r>
      <w:r w:rsidRPr="00953944">
        <w:rPr>
          <w:rFonts w:ascii="Times New Roman" w:eastAsiaTheme="minorHAnsi" w:hAnsi="Times New Roman"/>
          <w:szCs w:val="24"/>
          <w:lang w:val="en-IE" w:eastAsia="en-US"/>
        </w:rPr>
        <w:t>defence in June 2023.</w:t>
      </w:r>
      <w:r w:rsidRPr="001F31B8">
        <w:rPr>
          <w:rFonts w:ascii="Times New Roman" w:eastAsiaTheme="minorHAnsi" w:hAnsi="Times New Roman"/>
          <w:szCs w:val="24"/>
          <w:lang w:val="en-IE" w:eastAsia="en-US"/>
        </w:rPr>
        <w:t xml:space="preserve"> It will build on the EU </w:t>
      </w:r>
      <w:r>
        <w:rPr>
          <w:rFonts w:ascii="Times New Roman" w:eastAsiaTheme="minorHAnsi" w:hAnsi="Times New Roman"/>
          <w:szCs w:val="24"/>
          <w:lang w:val="en-IE" w:eastAsia="en-US"/>
        </w:rPr>
        <w:t>c</w:t>
      </w:r>
      <w:r w:rsidRPr="001F31B8">
        <w:rPr>
          <w:rFonts w:ascii="Times New Roman" w:eastAsiaTheme="minorHAnsi" w:hAnsi="Times New Roman"/>
          <w:szCs w:val="24"/>
          <w:lang w:val="en-IE" w:eastAsia="en-US"/>
        </w:rPr>
        <w:t xml:space="preserve">limate </w:t>
      </w:r>
      <w:r>
        <w:rPr>
          <w:rFonts w:ascii="Times New Roman" w:eastAsiaTheme="minorHAnsi" w:hAnsi="Times New Roman"/>
          <w:szCs w:val="24"/>
          <w:lang w:val="en-IE" w:eastAsia="en-US"/>
        </w:rPr>
        <w:t>c</w:t>
      </w:r>
      <w:r w:rsidRPr="001F31B8">
        <w:rPr>
          <w:rFonts w:ascii="Times New Roman" w:eastAsiaTheme="minorHAnsi" w:hAnsi="Times New Roman"/>
          <w:szCs w:val="24"/>
          <w:lang w:val="en-IE" w:eastAsia="en-US"/>
        </w:rPr>
        <w:t xml:space="preserve">hange and </w:t>
      </w:r>
      <w:r>
        <w:rPr>
          <w:rFonts w:ascii="Times New Roman" w:eastAsiaTheme="minorHAnsi" w:hAnsi="Times New Roman"/>
          <w:szCs w:val="24"/>
          <w:lang w:val="en-IE" w:eastAsia="en-US"/>
        </w:rPr>
        <w:t>d</w:t>
      </w:r>
      <w:r w:rsidRPr="001F31B8">
        <w:rPr>
          <w:rFonts w:ascii="Times New Roman" w:eastAsiaTheme="minorHAnsi" w:hAnsi="Times New Roman"/>
          <w:szCs w:val="24"/>
          <w:lang w:val="en-IE" w:eastAsia="en-US"/>
        </w:rPr>
        <w:t xml:space="preserve">efence </w:t>
      </w:r>
      <w:r>
        <w:rPr>
          <w:rFonts w:ascii="Times New Roman" w:eastAsiaTheme="minorHAnsi" w:hAnsi="Times New Roman"/>
          <w:szCs w:val="24"/>
          <w:lang w:val="en-IE" w:eastAsia="en-US"/>
        </w:rPr>
        <w:t>r</w:t>
      </w:r>
      <w:r w:rsidRPr="001F31B8">
        <w:rPr>
          <w:rFonts w:ascii="Times New Roman" w:eastAsiaTheme="minorHAnsi" w:hAnsi="Times New Roman"/>
          <w:szCs w:val="24"/>
          <w:lang w:val="en-IE" w:eastAsia="en-US"/>
        </w:rPr>
        <w:t xml:space="preserve">oadmap (November 2020) and the Concept for an </w:t>
      </w:r>
      <w:r>
        <w:rPr>
          <w:rFonts w:ascii="Times New Roman" w:eastAsiaTheme="minorHAnsi" w:hAnsi="Times New Roman"/>
          <w:szCs w:val="24"/>
          <w:lang w:val="en-IE" w:eastAsia="en-US"/>
        </w:rPr>
        <w:t>i</w:t>
      </w:r>
      <w:r w:rsidRPr="001F31B8">
        <w:rPr>
          <w:rFonts w:ascii="Times New Roman" w:eastAsiaTheme="minorHAnsi" w:hAnsi="Times New Roman"/>
          <w:szCs w:val="24"/>
          <w:lang w:val="en-IE" w:eastAsia="en-US"/>
        </w:rPr>
        <w:t xml:space="preserve">ntegrated </w:t>
      </w:r>
      <w:r>
        <w:rPr>
          <w:rFonts w:ascii="Times New Roman" w:eastAsiaTheme="minorHAnsi" w:hAnsi="Times New Roman"/>
          <w:szCs w:val="24"/>
          <w:lang w:val="en-IE" w:eastAsia="en-US"/>
        </w:rPr>
        <w:t>a</w:t>
      </w:r>
      <w:r w:rsidRPr="001F31B8">
        <w:rPr>
          <w:rFonts w:ascii="Times New Roman" w:eastAsiaTheme="minorHAnsi" w:hAnsi="Times New Roman"/>
          <w:szCs w:val="24"/>
          <w:lang w:val="en-IE" w:eastAsia="en-US"/>
        </w:rPr>
        <w:t xml:space="preserve">pproach to </w:t>
      </w:r>
      <w:r>
        <w:rPr>
          <w:rFonts w:ascii="Times New Roman" w:eastAsiaTheme="minorHAnsi" w:hAnsi="Times New Roman"/>
          <w:szCs w:val="24"/>
          <w:lang w:val="en-IE" w:eastAsia="en-US"/>
        </w:rPr>
        <w:t>c</w:t>
      </w:r>
      <w:r w:rsidRPr="001F31B8">
        <w:rPr>
          <w:rFonts w:ascii="Times New Roman" w:eastAsiaTheme="minorHAnsi" w:hAnsi="Times New Roman"/>
          <w:szCs w:val="24"/>
          <w:lang w:val="en-IE" w:eastAsia="en-US"/>
        </w:rPr>
        <w:t xml:space="preserve">limate </w:t>
      </w:r>
      <w:r>
        <w:rPr>
          <w:rFonts w:ascii="Times New Roman" w:eastAsiaTheme="minorHAnsi" w:hAnsi="Times New Roman"/>
          <w:szCs w:val="24"/>
          <w:lang w:val="en-IE" w:eastAsia="en-US"/>
        </w:rPr>
        <w:t>c</w:t>
      </w:r>
      <w:r w:rsidRPr="001F31B8">
        <w:rPr>
          <w:rFonts w:ascii="Times New Roman" w:eastAsiaTheme="minorHAnsi" w:hAnsi="Times New Roman"/>
          <w:szCs w:val="24"/>
          <w:lang w:val="en-IE" w:eastAsia="en-US"/>
        </w:rPr>
        <w:t xml:space="preserve">hange and </w:t>
      </w:r>
      <w:r>
        <w:rPr>
          <w:rFonts w:ascii="Times New Roman" w:eastAsiaTheme="minorHAnsi" w:hAnsi="Times New Roman"/>
          <w:szCs w:val="24"/>
          <w:lang w:val="en-IE" w:eastAsia="en-US"/>
        </w:rPr>
        <w:t>s</w:t>
      </w:r>
      <w:r w:rsidRPr="001F31B8">
        <w:rPr>
          <w:rFonts w:ascii="Times New Roman" w:eastAsiaTheme="minorHAnsi" w:hAnsi="Times New Roman"/>
          <w:szCs w:val="24"/>
          <w:lang w:val="en-IE" w:eastAsia="en-US"/>
        </w:rPr>
        <w:t xml:space="preserve">ecurity (October 2021) while taking into account the Commission’s contribution to </w:t>
      </w:r>
      <w:r>
        <w:rPr>
          <w:rFonts w:ascii="Times New Roman" w:eastAsiaTheme="minorHAnsi" w:hAnsi="Times New Roman"/>
          <w:szCs w:val="24"/>
          <w:lang w:val="en-IE" w:eastAsia="en-US"/>
        </w:rPr>
        <w:t>E</w:t>
      </w:r>
      <w:r w:rsidRPr="001F31B8">
        <w:rPr>
          <w:rFonts w:ascii="Times New Roman" w:eastAsiaTheme="minorHAnsi" w:hAnsi="Times New Roman"/>
          <w:szCs w:val="24"/>
          <w:lang w:val="en-IE" w:eastAsia="en-US"/>
        </w:rPr>
        <w:t>uropean defence of February 2022</w:t>
      </w:r>
      <w:r>
        <w:rPr>
          <w:rFonts w:ascii="Times New Roman" w:eastAsiaTheme="minorHAnsi" w:hAnsi="Times New Roman"/>
          <w:szCs w:val="24"/>
          <w:lang w:val="en-IE" w:eastAsia="en-US"/>
        </w:rPr>
        <w:t xml:space="preserve"> and the </w:t>
      </w:r>
      <w:r w:rsidRPr="001F31B8">
        <w:rPr>
          <w:rFonts w:ascii="Times New Roman" w:eastAsiaTheme="minorHAnsi" w:hAnsi="Times New Roman"/>
          <w:szCs w:val="24"/>
          <w:lang w:val="en-IE" w:eastAsia="en-US"/>
        </w:rPr>
        <w:t xml:space="preserve">EU’s </w:t>
      </w:r>
      <w:r>
        <w:rPr>
          <w:rFonts w:ascii="Times New Roman" w:eastAsiaTheme="minorHAnsi" w:hAnsi="Times New Roman"/>
          <w:szCs w:val="24"/>
          <w:lang w:val="en-IE" w:eastAsia="en-US"/>
        </w:rPr>
        <w:t>S</w:t>
      </w:r>
      <w:r w:rsidRPr="001F31B8">
        <w:rPr>
          <w:rFonts w:ascii="Times New Roman" w:eastAsiaTheme="minorHAnsi" w:hAnsi="Times New Roman"/>
          <w:szCs w:val="24"/>
          <w:lang w:val="en-IE" w:eastAsia="en-US"/>
        </w:rPr>
        <w:t xml:space="preserve">trategic </w:t>
      </w:r>
      <w:r>
        <w:rPr>
          <w:rFonts w:ascii="Times New Roman" w:eastAsiaTheme="minorHAnsi" w:hAnsi="Times New Roman"/>
          <w:szCs w:val="24"/>
          <w:lang w:val="en-IE" w:eastAsia="en-US"/>
        </w:rPr>
        <w:t>C</w:t>
      </w:r>
      <w:r w:rsidRPr="001F31B8">
        <w:rPr>
          <w:rFonts w:ascii="Times New Roman" w:eastAsiaTheme="minorHAnsi" w:hAnsi="Times New Roman"/>
          <w:szCs w:val="24"/>
          <w:lang w:val="en-IE" w:eastAsia="en-US"/>
        </w:rPr>
        <w:t xml:space="preserve">ompass on </w:t>
      </w:r>
      <w:r>
        <w:rPr>
          <w:rFonts w:ascii="Times New Roman" w:eastAsiaTheme="minorHAnsi" w:hAnsi="Times New Roman"/>
          <w:szCs w:val="24"/>
          <w:lang w:val="en-IE" w:eastAsia="en-US"/>
        </w:rPr>
        <w:t>S</w:t>
      </w:r>
      <w:r w:rsidRPr="001F31B8">
        <w:rPr>
          <w:rFonts w:ascii="Times New Roman" w:eastAsiaTheme="minorHAnsi" w:hAnsi="Times New Roman"/>
          <w:szCs w:val="24"/>
          <w:lang w:val="en-IE" w:eastAsia="en-US"/>
        </w:rPr>
        <w:t xml:space="preserve">ecurity and </w:t>
      </w:r>
      <w:r>
        <w:rPr>
          <w:rFonts w:ascii="Times New Roman" w:eastAsiaTheme="minorHAnsi" w:hAnsi="Times New Roman"/>
          <w:szCs w:val="24"/>
          <w:lang w:val="en-IE" w:eastAsia="en-US"/>
        </w:rPr>
        <w:t>D</w:t>
      </w:r>
      <w:r w:rsidRPr="001F31B8">
        <w:rPr>
          <w:rFonts w:ascii="Times New Roman" w:eastAsiaTheme="minorHAnsi" w:hAnsi="Times New Roman"/>
          <w:szCs w:val="24"/>
          <w:lang w:val="en-IE" w:eastAsia="en-US"/>
        </w:rPr>
        <w:t>efence call to Member States to develop national strategies to prepare the armed force for climate change.</w:t>
      </w:r>
    </w:p>
    <w:p w14:paraId="0BEDCBEB" w14:textId="77777777" w:rsidR="00651401" w:rsidRPr="002F7614" w:rsidRDefault="00651401" w:rsidP="00651401">
      <w:pPr>
        <w:keepNext/>
        <w:keepLines/>
        <w:spacing w:before="120" w:after="120"/>
        <w:ind w:left="567" w:hanging="567"/>
        <w:rPr>
          <w:rFonts w:ascii="Times New Roman" w:hAnsi="Times New Roman"/>
          <w:b/>
          <w:i/>
          <w:szCs w:val="24"/>
          <w:lang w:val="en-IE"/>
        </w:rPr>
      </w:pPr>
      <w:r w:rsidRPr="002F7614">
        <w:rPr>
          <w:rFonts w:ascii="Times New Roman" w:hAnsi="Times New Roman"/>
          <w:b/>
          <w:i/>
          <w:szCs w:val="24"/>
          <w:lang w:val="en-IE"/>
        </w:rPr>
        <w:lastRenderedPageBreak/>
        <w:t>The risks of overdependence and insufficient financing</w:t>
      </w:r>
    </w:p>
    <w:p w14:paraId="3CB4BBFB" w14:textId="77777777" w:rsidR="00651401" w:rsidRPr="00A912DB" w:rsidRDefault="00651401" w:rsidP="00651401">
      <w:pPr>
        <w:keepNext/>
        <w:keepLines/>
        <w:spacing w:after="120"/>
        <w:rPr>
          <w:rFonts w:ascii="Times New Roman" w:eastAsiaTheme="minorHAnsi" w:hAnsi="Times New Roman"/>
          <w:szCs w:val="24"/>
          <w:u w:val="single"/>
          <w:lang w:val="en-IE" w:eastAsia="en-US"/>
        </w:rPr>
      </w:pPr>
      <w:r>
        <w:rPr>
          <w:rFonts w:ascii="Times New Roman" w:eastAsiaTheme="minorHAnsi" w:hAnsi="Times New Roman"/>
          <w:szCs w:val="24"/>
          <w:u w:val="single"/>
          <w:lang w:val="en-IE" w:eastAsia="en-US"/>
        </w:rPr>
        <w:t>Promoting circularity and increasing research on new materials so as to minimise dependence on non-EU countries (paragraph 9)</w:t>
      </w:r>
    </w:p>
    <w:p w14:paraId="7C9C5C34" w14:textId="77777777" w:rsidR="00651401" w:rsidRDefault="00651401" w:rsidP="00651401">
      <w:pPr>
        <w:spacing w:after="120"/>
        <w:rPr>
          <w:rFonts w:ascii="Times New Roman" w:hAnsi="Times New Roman"/>
          <w:iCs/>
        </w:rPr>
      </w:pPr>
      <w:r w:rsidRPr="00A270CE">
        <w:rPr>
          <w:rFonts w:ascii="Times New Roman" w:hAnsi="Times New Roman"/>
          <w:iCs/>
        </w:rPr>
        <w:t xml:space="preserve">The Commission has co-funded the Incubation Forum for Circular Economy in European Defence (IF CEED) project through the EU LIFE Programme. IF CEED is run by the </w:t>
      </w:r>
      <w:r w:rsidRPr="00493176">
        <w:rPr>
          <w:rFonts w:ascii="Times New Roman" w:hAnsi="Times New Roman"/>
          <w:iCs/>
        </w:rPr>
        <w:t>European Defence Agency</w:t>
      </w:r>
      <w:r>
        <w:rPr>
          <w:rFonts w:ascii="Times New Roman" w:hAnsi="Times New Roman"/>
          <w:iCs/>
        </w:rPr>
        <w:t xml:space="preserve"> (</w:t>
      </w:r>
      <w:r w:rsidRPr="00A270CE">
        <w:rPr>
          <w:rFonts w:ascii="Times New Roman" w:hAnsi="Times New Roman"/>
          <w:iCs/>
        </w:rPr>
        <w:t>EDA</w:t>
      </w:r>
      <w:r>
        <w:rPr>
          <w:rFonts w:ascii="Times New Roman" w:hAnsi="Times New Roman"/>
          <w:iCs/>
        </w:rPr>
        <w:t>)</w:t>
      </w:r>
      <w:r w:rsidRPr="00A270CE">
        <w:rPr>
          <w:rFonts w:ascii="Times New Roman" w:hAnsi="Times New Roman"/>
          <w:iCs/>
        </w:rPr>
        <w:t xml:space="preserve"> and pursues project ideas based on circularity principles in several fields, for example critical raw materials, additive manufacturing, materials for textiles, ecodesign and green procurement, SCIP</w:t>
      </w:r>
      <w:r>
        <w:rPr>
          <w:rFonts w:ascii="Times New Roman" w:hAnsi="Times New Roman"/>
          <w:iCs/>
        </w:rPr>
        <w:t xml:space="preserve"> ((</w:t>
      </w:r>
      <w:r w:rsidRPr="008D026A">
        <w:rPr>
          <w:rFonts w:ascii="Times New Roman" w:hAnsi="Times New Roman"/>
          <w:iCs/>
        </w:rPr>
        <w:t>Substances of Concern In articles as such or in complex objects (Products))</w:t>
      </w:r>
      <w:r w:rsidRPr="00A270CE">
        <w:rPr>
          <w:rFonts w:ascii="Times New Roman" w:hAnsi="Times New Roman"/>
          <w:iCs/>
        </w:rPr>
        <w:t xml:space="preserve">. A dedicated </w:t>
      </w:r>
      <w:r>
        <w:rPr>
          <w:rFonts w:ascii="Times New Roman" w:hAnsi="Times New Roman"/>
          <w:iCs/>
        </w:rPr>
        <w:t>p</w:t>
      </w:r>
      <w:r w:rsidRPr="00A270CE">
        <w:rPr>
          <w:rFonts w:ascii="Times New Roman" w:hAnsi="Times New Roman"/>
          <w:iCs/>
        </w:rPr>
        <w:t xml:space="preserve">roject </w:t>
      </w:r>
      <w:r>
        <w:rPr>
          <w:rFonts w:ascii="Times New Roman" w:hAnsi="Times New Roman"/>
          <w:iCs/>
        </w:rPr>
        <w:t>c</w:t>
      </w:r>
      <w:r w:rsidRPr="00A270CE">
        <w:rPr>
          <w:rFonts w:ascii="Times New Roman" w:hAnsi="Times New Roman"/>
          <w:iCs/>
        </w:rPr>
        <w:t>ircle addresses relevant Critical Raw Materials for EU defence, such as titanium, tungsten, antimony, including to foster their circularity in different sections of the supply chain.</w:t>
      </w:r>
      <w:r>
        <w:rPr>
          <w:rFonts w:ascii="Times New Roman" w:hAnsi="Times New Roman"/>
          <w:iCs/>
        </w:rPr>
        <w:t xml:space="preserve"> In addition, the defence and aerospace section (i) was one of the focus areas of the 2023 Commission’s foresight study on ‘critical raw materials for strategic technologies and sectors in the EU’ and (ii) featured prominently in the 2023 Critical Raw Materials Act.</w:t>
      </w:r>
    </w:p>
    <w:p w14:paraId="158A36CC" w14:textId="77777777" w:rsidR="00651401" w:rsidRPr="00120903" w:rsidRDefault="00651401" w:rsidP="00651401">
      <w:pPr>
        <w:spacing w:after="120"/>
        <w:rPr>
          <w:rFonts w:ascii="Times New Roman" w:eastAsiaTheme="minorHAnsi" w:hAnsi="Times New Roman"/>
          <w:szCs w:val="24"/>
          <w:u w:val="single"/>
          <w:lang w:val="en-IE" w:eastAsia="en-US"/>
        </w:rPr>
      </w:pPr>
      <w:r w:rsidRPr="00120903">
        <w:rPr>
          <w:rFonts w:ascii="Times New Roman" w:eastAsiaTheme="minorHAnsi" w:hAnsi="Times New Roman"/>
          <w:szCs w:val="24"/>
          <w:u w:val="single"/>
          <w:lang w:val="en-IE" w:eastAsia="en-US"/>
        </w:rPr>
        <w:t xml:space="preserve">Fostering investment in </w:t>
      </w:r>
      <w:r>
        <w:rPr>
          <w:rFonts w:ascii="Times New Roman" w:eastAsiaTheme="minorHAnsi" w:hAnsi="Times New Roman"/>
          <w:szCs w:val="24"/>
          <w:u w:val="single"/>
          <w:lang w:val="en-IE" w:eastAsia="en-US"/>
        </w:rPr>
        <w:t xml:space="preserve">technologies for </w:t>
      </w:r>
      <w:r w:rsidRPr="00120903">
        <w:rPr>
          <w:rFonts w:ascii="Times New Roman" w:eastAsiaTheme="minorHAnsi" w:hAnsi="Times New Roman"/>
          <w:szCs w:val="24"/>
          <w:u w:val="single"/>
          <w:lang w:val="en-IE" w:eastAsia="en-US"/>
        </w:rPr>
        <w:t>the defence industry (paragraph 14)</w:t>
      </w:r>
    </w:p>
    <w:p w14:paraId="7264E5FB" w14:textId="77777777" w:rsidR="00651401" w:rsidRDefault="00651401" w:rsidP="00651401">
      <w:pPr>
        <w:spacing w:after="120"/>
        <w:rPr>
          <w:rFonts w:ascii="Times New Roman" w:eastAsiaTheme="minorHAnsi" w:hAnsi="Times New Roman"/>
          <w:szCs w:val="24"/>
          <w:lang w:val="en-IE" w:eastAsia="en-US"/>
        </w:rPr>
      </w:pPr>
      <w:r>
        <w:rPr>
          <w:rFonts w:ascii="Times New Roman" w:eastAsiaTheme="minorHAnsi" w:hAnsi="Times New Roman"/>
          <w:szCs w:val="24"/>
          <w:lang w:val="en-IE" w:eastAsia="en-US"/>
        </w:rPr>
        <w:t>The Commission is increasingly taking ambitious steps in support of the defence industry, starting with the implementation of EDF and its precursor programmes. The Commission presented the action plan on synergies between civil, defence and space industries in February 2021, the roadmap on critical technologies for security and defence as well as a contribution to the European defence in February 2022, a defence investment gaps analysis in May 2022, a proposal for</w:t>
      </w:r>
      <w:r w:rsidRPr="00CF43E5">
        <w:rPr>
          <w:rFonts w:ascii="Times New Roman" w:eastAsiaTheme="minorHAnsi" w:hAnsi="Times New Roman"/>
          <w:szCs w:val="24"/>
          <w:lang w:val="en-IE" w:eastAsia="en-US"/>
        </w:rPr>
        <w:t xml:space="preserve"> the European Defence Industrial Reinforcement through common Procurement Act (EDIRPA) in July 2022 and a proposal for an Act in support of ammunition production </w:t>
      </w:r>
      <w:r>
        <w:rPr>
          <w:rFonts w:ascii="Times New Roman" w:eastAsiaTheme="minorHAnsi" w:hAnsi="Times New Roman"/>
          <w:szCs w:val="24"/>
          <w:lang w:val="en-IE" w:eastAsia="en-US"/>
        </w:rPr>
        <w:t xml:space="preserve">(ASAP) in May 2023. In this respect, the Commission </w:t>
      </w:r>
      <w:r w:rsidRPr="00392E0E">
        <w:rPr>
          <w:rFonts w:ascii="Times New Roman" w:eastAsiaTheme="minorHAnsi" w:hAnsi="Times New Roman"/>
          <w:szCs w:val="24"/>
          <w:lang w:val="en-IE" w:eastAsia="en-US"/>
        </w:rPr>
        <w:t>appreciat</w:t>
      </w:r>
      <w:r>
        <w:rPr>
          <w:rFonts w:ascii="Times New Roman" w:eastAsiaTheme="minorHAnsi" w:hAnsi="Times New Roman"/>
          <w:szCs w:val="24"/>
          <w:lang w:val="en-IE" w:eastAsia="en-US"/>
        </w:rPr>
        <w:t>es</w:t>
      </w:r>
      <w:r w:rsidRPr="00392E0E">
        <w:rPr>
          <w:rFonts w:ascii="Times New Roman" w:eastAsiaTheme="minorHAnsi" w:hAnsi="Times New Roman"/>
          <w:szCs w:val="24"/>
          <w:lang w:val="en-IE" w:eastAsia="en-US"/>
        </w:rPr>
        <w:t xml:space="preserve"> the progress made so far on the legislative negotiations and look</w:t>
      </w:r>
      <w:r>
        <w:rPr>
          <w:rFonts w:ascii="Times New Roman" w:eastAsiaTheme="minorHAnsi" w:hAnsi="Times New Roman"/>
          <w:szCs w:val="24"/>
          <w:lang w:val="en-IE" w:eastAsia="en-US"/>
        </w:rPr>
        <w:t>s</w:t>
      </w:r>
      <w:r w:rsidRPr="00392E0E">
        <w:rPr>
          <w:rFonts w:ascii="Times New Roman" w:eastAsiaTheme="minorHAnsi" w:hAnsi="Times New Roman"/>
          <w:szCs w:val="24"/>
          <w:lang w:val="en-IE" w:eastAsia="en-US"/>
        </w:rPr>
        <w:t xml:space="preserve"> forward their quickly adoption</w:t>
      </w:r>
      <w:r>
        <w:rPr>
          <w:rFonts w:ascii="Times New Roman" w:eastAsiaTheme="minorHAnsi" w:hAnsi="Times New Roman"/>
          <w:szCs w:val="24"/>
          <w:lang w:val="en-IE" w:eastAsia="en-US"/>
        </w:rPr>
        <w:t>. Both proposals are in the final phase of legislative negotiations: while the provisional agreement on EDIRPA has been reached, the one on ASAP as expected before the summer. In addition, the Commission presented sectorial proposals which those of predominantly civilian in nature are also of significance to the defence industry: the Chips Act, the Critical Raw Materials Act, the Union secure connectivity programme IRIS</w:t>
      </w:r>
      <w:r w:rsidRPr="00CF43E5">
        <w:rPr>
          <w:rFonts w:ascii="Times New Roman" w:eastAsiaTheme="minorHAnsi" w:hAnsi="Times New Roman"/>
          <w:szCs w:val="24"/>
          <w:vertAlign w:val="superscript"/>
          <w:lang w:val="en-IE" w:eastAsia="en-US"/>
        </w:rPr>
        <w:t>2</w:t>
      </w:r>
      <w:r>
        <w:rPr>
          <w:rFonts w:ascii="Times New Roman" w:eastAsiaTheme="minorHAnsi" w:hAnsi="Times New Roman"/>
          <w:szCs w:val="24"/>
          <w:lang w:val="en-IE" w:eastAsia="en-US"/>
        </w:rPr>
        <w:t>, (</w:t>
      </w:r>
      <w:r w:rsidRPr="00493176">
        <w:rPr>
          <w:rFonts w:ascii="Times New Roman" w:eastAsiaTheme="minorHAnsi" w:hAnsi="Times New Roman"/>
          <w:szCs w:val="24"/>
          <w:lang w:eastAsia="en-US"/>
        </w:rPr>
        <w:t>(Infrastructure for Resilience, Interconnectivity and Security by Satellite)</w:t>
      </w:r>
      <w:r>
        <w:rPr>
          <w:rFonts w:ascii="Times New Roman" w:eastAsiaTheme="minorHAnsi" w:hAnsi="Times New Roman"/>
          <w:szCs w:val="24"/>
          <w:lang w:val="en-IE" w:eastAsia="en-US"/>
        </w:rPr>
        <w:t xml:space="preserve"> or the Maritime Security Strategy.</w:t>
      </w:r>
    </w:p>
    <w:p w14:paraId="23D7BF07" w14:textId="77777777" w:rsidR="00651401" w:rsidRDefault="00651401" w:rsidP="00651401">
      <w:pPr>
        <w:spacing w:after="120"/>
        <w:rPr>
          <w:rFonts w:ascii="Times New Roman" w:eastAsiaTheme="minorHAnsi" w:hAnsi="Times New Roman"/>
          <w:szCs w:val="24"/>
          <w:u w:val="single"/>
          <w:lang w:val="en-IE" w:eastAsia="en-US"/>
        </w:rPr>
      </w:pPr>
      <w:r>
        <w:rPr>
          <w:rFonts w:ascii="Times New Roman" w:eastAsiaTheme="minorHAnsi" w:hAnsi="Times New Roman"/>
          <w:szCs w:val="24"/>
          <w:u w:val="single"/>
          <w:lang w:val="en-IE" w:eastAsia="en-US"/>
        </w:rPr>
        <w:t>Pooling national resources for R&amp;D in defence and security (paragraph 16)</w:t>
      </w:r>
    </w:p>
    <w:p w14:paraId="26C8384D" w14:textId="77777777" w:rsidR="00651401" w:rsidRDefault="00651401" w:rsidP="00651401">
      <w:pPr>
        <w:spacing w:after="120"/>
        <w:rPr>
          <w:rFonts w:ascii="Times New Roman" w:hAnsi="Times New Roman"/>
          <w:lang w:eastAsia="en-US"/>
        </w:rPr>
      </w:pPr>
      <w:r>
        <w:rPr>
          <w:rFonts w:ascii="Times New Roman" w:hAnsi="Times New Roman"/>
          <w:lang w:eastAsia="en-US"/>
        </w:rPr>
        <w:t>After two rounds of EDF funding, all major defence industrial companies are participating and SMEs already account for up to 45% of the entities participating in selected projects. So the EU industrial base already expands into the defence sphere, involving the entire EU industrial value chain. The Commission aims to achieve a right balance by providing funds for flagship defence R&amp;D initiatives to reduce the number of platforms and systems currently in operation in Europe, as well as providing funds to support new competitive and collaborative defence initiatives throughout the entire cycle of research and development. In both cases, the longer term aim of the Commission is for Member States to jointly procure these systems as well as invest in their further research and development. In this respect, the EDF aims to become a driver for pooling of national R&amp;D resources.</w:t>
      </w:r>
    </w:p>
    <w:p w14:paraId="6A24A3C2" w14:textId="77777777" w:rsidR="00651401" w:rsidRPr="001E1254" w:rsidRDefault="00651401" w:rsidP="00651401">
      <w:pPr>
        <w:spacing w:after="120"/>
        <w:rPr>
          <w:rFonts w:ascii="Times New Roman" w:eastAsiaTheme="minorHAnsi" w:hAnsi="Times New Roman"/>
          <w:szCs w:val="24"/>
          <w:lang w:val="en-IE" w:eastAsia="en-US"/>
        </w:rPr>
      </w:pPr>
      <w:r>
        <w:rPr>
          <w:rFonts w:ascii="Times New Roman" w:eastAsiaTheme="minorHAnsi" w:hAnsi="Times New Roman"/>
          <w:szCs w:val="24"/>
          <w:lang w:val="en-IE" w:eastAsia="en-US"/>
        </w:rPr>
        <w:t xml:space="preserve">In addition, Commission services are contributing to several </w:t>
      </w:r>
      <w:r w:rsidRPr="002F0C4A">
        <w:rPr>
          <w:rFonts w:ascii="Times New Roman" w:eastAsiaTheme="minorHAnsi" w:hAnsi="Times New Roman"/>
          <w:szCs w:val="24"/>
          <w:lang w:val="en-IE" w:eastAsia="en-US"/>
        </w:rPr>
        <w:t>Permanent Structured Cooperation (PESCO)</w:t>
      </w:r>
      <w:r>
        <w:rPr>
          <w:rFonts w:ascii="Times New Roman" w:eastAsiaTheme="minorHAnsi" w:hAnsi="Times New Roman"/>
          <w:szCs w:val="24"/>
          <w:lang w:val="en-IE" w:eastAsia="en-US"/>
        </w:rPr>
        <w:t xml:space="preserve"> projects</w:t>
      </w:r>
      <w:r w:rsidRPr="002F0C4A">
        <w:rPr>
          <w:rFonts w:ascii="Times New Roman" w:eastAsiaTheme="minorHAnsi" w:hAnsi="Times New Roman"/>
          <w:szCs w:val="24"/>
          <w:lang w:val="en-IE" w:eastAsia="en-US"/>
        </w:rPr>
        <w:t>, a Member State-driven initiative launched in 2017</w:t>
      </w:r>
      <w:r>
        <w:rPr>
          <w:rFonts w:ascii="Times New Roman" w:eastAsiaTheme="minorHAnsi" w:hAnsi="Times New Roman"/>
          <w:szCs w:val="24"/>
          <w:lang w:val="en-IE" w:eastAsia="en-US"/>
        </w:rPr>
        <w:t xml:space="preserve"> that offers </w:t>
      </w:r>
      <w:r w:rsidRPr="002F0C4A">
        <w:rPr>
          <w:rFonts w:ascii="Times New Roman" w:eastAsiaTheme="minorHAnsi" w:hAnsi="Times New Roman"/>
          <w:szCs w:val="24"/>
          <w:lang w:val="en-IE" w:eastAsia="en-US"/>
        </w:rPr>
        <w:t xml:space="preserve">opportunities to enhance defence cooperation between Member States (i.e. defining common requirements for future capabilities) </w:t>
      </w:r>
      <w:r>
        <w:rPr>
          <w:rFonts w:ascii="Times New Roman" w:eastAsiaTheme="minorHAnsi" w:hAnsi="Times New Roman"/>
          <w:szCs w:val="24"/>
          <w:lang w:val="en-IE" w:eastAsia="en-US"/>
        </w:rPr>
        <w:t>including in critical technologies</w:t>
      </w:r>
      <w:r w:rsidRPr="002F0C4A">
        <w:rPr>
          <w:rFonts w:ascii="Times New Roman" w:eastAsiaTheme="minorHAnsi" w:hAnsi="Times New Roman"/>
          <w:szCs w:val="24"/>
          <w:lang w:val="en-IE" w:eastAsia="en-US"/>
        </w:rPr>
        <w:t xml:space="preserve">. </w:t>
      </w:r>
      <w:r>
        <w:rPr>
          <w:rFonts w:ascii="Times New Roman" w:eastAsiaTheme="minorHAnsi" w:hAnsi="Times New Roman"/>
          <w:szCs w:val="24"/>
          <w:lang w:val="en-IE" w:eastAsia="en-US"/>
        </w:rPr>
        <w:t>Out of</w:t>
      </w:r>
      <w:r w:rsidRPr="002F0C4A">
        <w:rPr>
          <w:rFonts w:ascii="Times New Roman" w:eastAsiaTheme="minorHAnsi" w:hAnsi="Times New Roman"/>
          <w:szCs w:val="24"/>
          <w:lang w:val="en-IE" w:eastAsia="en-US"/>
        </w:rPr>
        <w:t xml:space="preserve"> the 60 PESCO projects (before the adoption of the 5th wave, </w:t>
      </w:r>
      <w:r>
        <w:rPr>
          <w:rFonts w:ascii="Times New Roman" w:eastAsiaTheme="minorHAnsi" w:hAnsi="Times New Roman"/>
          <w:szCs w:val="24"/>
          <w:lang w:val="en-IE" w:eastAsia="en-US"/>
        </w:rPr>
        <w:t xml:space="preserve">which added </w:t>
      </w:r>
      <w:r w:rsidRPr="002F0C4A">
        <w:rPr>
          <w:rFonts w:ascii="Times New Roman" w:eastAsiaTheme="minorHAnsi" w:hAnsi="Times New Roman"/>
          <w:szCs w:val="24"/>
          <w:lang w:val="en-IE" w:eastAsia="en-US"/>
        </w:rPr>
        <w:t xml:space="preserve">11 new projects), 49 are partly </w:t>
      </w:r>
      <w:r w:rsidRPr="002F0C4A">
        <w:rPr>
          <w:rFonts w:ascii="Times New Roman" w:eastAsiaTheme="minorHAnsi" w:hAnsi="Times New Roman"/>
          <w:szCs w:val="24"/>
          <w:lang w:val="en-IE" w:eastAsia="en-US"/>
        </w:rPr>
        <w:lastRenderedPageBreak/>
        <w:t>funded or request</w:t>
      </w:r>
      <w:r>
        <w:rPr>
          <w:rFonts w:ascii="Times New Roman" w:eastAsiaTheme="minorHAnsi" w:hAnsi="Times New Roman"/>
          <w:szCs w:val="24"/>
          <w:lang w:val="en-IE" w:eastAsia="en-US"/>
        </w:rPr>
        <w:t>ed</w:t>
      </w:r>
      <w:r w:rsidRPr="002F0C4A">
        <w:rPr>
          <w:rFonts w:ascii="Times New Roman" w:eastAsiaTheme="minorHAnsi" w:hAnsi="Times New Roman"/>
          <w:szCs w:val="24"/>
          <w:lang w:val="en-IE" w:eastAsia="en-US"/>
        </w:rPr>
        <w:t xml:space="preserve"> funding from the European Defence Industrial Development Programme (EDIDP), the European Defence Fund (EDF) or the Connecting Europe Facility (CEF)</w:t>
      </w:r>
      <w:r>
        <w:rPr>
          <w:rFonts w:ascii="Times New Roman" w:eastAsiaTheme="minorHAnsi" w:hAnsi="Times New Roman"/>
          <w:szCs w:val="24"/>
          <w:lang w:val="en-IE" w:eastAsia="en-US"/>
        </w:rPr>
        <w:t>.</w:t>
      </w:r>
    </w:p>
    <w:p w14:paraId="1AAB35C0" w14:textId="77777777" w:rsidR="00651401" w:rsidRPr="002F7614" w:rsidRDefault="00651401" w:rsidP="00651401">
      <w:pPr>
        <w:widowControl w:val="0"/>
        <w:spacing w:before="120" w:after="120"/>
        <w:ind w:left="567" w:hanging="567"/>
        <w:rPr>
          <w:rFonts w:ascii="Times New Roman" w:hAnsi="Times New Roman"/>
          <w:b/>
          <w:i/>
          <w:szCs w:val="24"/>
          <w:lang w:val="en-IE"/>
        </w:rPr>
      </w:pPr>
      <w:r w:rsidRPr="002F7614">
        <w:rPr>
          <w:rFonts w:ascii="Times New Roman" w:hAnsi="Times New Roman"/>
          <w:b/>
          <w:i/>
          <w:szCs w:val="24"/>
          <w:lang w:val="en-IE"/>
        </w:rPr>
        <w:t>The opportunities offered by newly established EU instruments</w:t>
      </w:r>
    </w:p>
    <w:p w14:paraId="3539CC49" w14:textId="77777777" w:rsidR="00651401" w:rsidRDefault="00651401" w:rsidP="00651401">
      <w:pPr>
        <w:widowControl w:val="0"/>
        <w:spacing w:after="120"/>
        <w:rPr>
          <w:rFonts w:ascii="Times New Roman" w:eastAsiaTheme="minorHAnsi" w:hAnsi="Times New Roman"/>
          <w:szCs w:val="24"/>
          <w:u w:val="single"/>
          <w:lang w:val="en-IE" w:eastAsia="en-US"/>
        </w:rPr>
      </w:pPr>
      <w:r w:rsidRPr="00494E97">
        <w:rPr>
          <w:rFonts w:ascii="Times New Roman" w:eastAsiaTheme="minorHAnsi" w:hAnsi="Times New Roman"/>
          <w:szCs w:val="24"/>
          <w:u w:val="single"/>
          <w:lang w:val="en-IE" w:eastAsia="en-US"/>
        </w:rPr>
        <w:t>Better connecting EU civil, defence and security programmes and instruments (paragraph 3)</w:t>
      </w:r>
    </w:p>
    <w:p w14:paraId="055ED594" w14:textId="77777777" w:rsidR="00651401" w:rsidRPr="006A2992" w:rsidRDefault="00651401" w:rsidP="00651401">
      <w:pPr>
        <w:widowControl w:val="0"/>
        <w:spacing w:after="120"/>
        <w:rPr>
          <w:rFonts w:ascii="Times New Roman" w:eastAsiaTheme="minorHAnsi" w:hAnsi="Times New Roman"/>
          <w:szCs w:val="24"/>
          <w:lang w:val="en-IE" w:eastAsia="en-US"/>
        </w:rPr>
      </w:pPr>
      <w:r>
        <w:rPr>
          <w:rFonts w:ascii="Times New Roman" w:eastAsiaTheme="minorHAnsi" w:hAnsi="Times New Roman"/>
          <w:szCs w:val="24"/>
          <w:lang w:val="en-IE" w:eastAsia="en-US"/>
        </w:rPr>
        <w:t>The Commission performed a detailed analysis of opportunities and constraints from synergies between existing EU programmes and instruments. A summary of this analysis was presented in November 2022 with the progress report on the action plan of synergies between civil, defence and space industries. In addition, the Commission took specific action by proposing the use of a mix of EU financing instruments for IRIS</w:t>
      </w:r>
      <w:r w:rsidRPr="009922F6">
        <w:rPr>
          <w:rFonts w:ascii="Times New Roman" w:eastAsiaTheme="minorHAnsi" w:hAnsi="Times New Roman"/>
          <w:szCs w:val="24"/>
          <w:vertAlign w:val="superscript"/>
          <w:lang w:val="en-IE" w:eastAsia="en-US"/>
        </w:rPr>
        <w:t>2</w:t>
      </w:r>
      <w:r>
        <w:rPr>
          <w:rFonts w:ascii="Times New Roman" w:eastAsiaTheme="minorHAnsi" w:hAnsi="Times New Roman"/>
          <w:szCs w:val="24"/>
          <w:lang w:val="en-IE" w:eastAsia="en-US"/>
        </w:rPr>
        <w:t xml:space="preserve"> and ASAP. Finally, the Commission is currently working intensively with the European Investment Bank in order to identify areas for joint support of dual use innovation and infrastructure. The </w:t>
      </w:r>
      <w:r w:rsidRPr="00F116FF">
        <w:rPr>
          <w:rFonts w:ascii="Times New Roman" w:eastAsiaTheme="minorHAnsi" w:hAnsi="Times New Roman"/>
          <w:szCs w:val="24"/>
          <w:lang w:val="en-IE" w:eastAsia="en-US"/>
        </w:rPr>
        <w:t>STEP (Strategic Technologies for Europe Platform) proposal</w:t>
      </w:r>
      <w:r>
        <w:rPr>
          <w:rFonts w:ascii="Times New Roman" w:eastAsiaTheme="minorHAnsi" w:hAnsi="Times New Roman"/>
          <w:szCs w:val="24"/>
          <w:lang w:val="en-IE" w:eastAsia="en-US"/>
        </w:rPr>
        <w:t xml:space="preserve"> of June 2023 envisages a more strategic approach to critical technologies across a number of existing funding instrument, including the EDF as regards deep and digital technologies, by creating mechanisms for complementary funding under different programmes under the system of ‘sovereignty seals’ (e.g. interaction of directly managed programmes like EDF with indirect or shared management programmes like the Recovery and resilience Facility or the cohesion funds).</w:t>
      </w:r>
    </w:p>
    <w:p w14:paraId="22344611" w14:textId="77777777" w:rsidR="00651401" w:rsidRPr="00A912DB" w:rsidRDefault="00651401" w:rsidP="00651401">
      <w:pPr>
        <w:spacing w:after="120"/>
        <w:rPr>
          <w:rFonts w:ascii="Times New Roman" w:eastAsiaTheme="minorHAnsi" w:hAnsi="Times New Roman"/>
          <w:szCs w:val="24"/>
          <w:u w:val="single"/>
          <w:lang w:val="fr-FR" w:eastAsia="en-US"/>
        </w:rPr>
      </w:pPr>
      <w:r w:rsidRPr="006A2992">
        <w:rPr>
          <w:rFonts w:ascii="Times New Roman" w:eastAsiaTheme="minorHAnsi" w:hAnsi="Times New Roman"/>
          <w:szCs w:val="24"/>
          <w:u w:val="single"/>
          <w:lang w:val="fr-FR" w:eastAsia="en-US"/>
        </w:rPr>
        <w:t>EU Defence Innovation Scheme (paragraph 11)</w:t>
      </w:r>
    </w:p>
    <w:p w14:paraId="4A70AF99" w14:textId="77777777" w:rsidR="00651401" w:rsidRPr="008B0756" w:rsidRDefault="00651401" w:rsidP="00651401">
      <w:pPr>
        <w:spacing w:after="120"/>
        <w:rPr>
          <w:rFonts w:ascii="Times New Roman" w:eastAsiaTheme="minorHAnsi" w:hAnsi="Times New Roman"/>
          <w:szCs w:val="24"/>
          <w:lang w:val="en-IE" w:eastAsia="en-US"/>
        </w:rPr>
      </w:pPr>
      <w:r w:rsidRPr="008B0756">
        <w:rPr>
          <w:rFonts w:ascii="Times New Roman" w:eastAsiaTheme="minorHAnsi" w:hAnsi="Times New Roman"/>
          <w:szCs w:val="24"/>
          <w:lang w:val="en-IE" w:eastAsia="en-US"/>
        </w:rPr>
        <w:t>The Commission announced the EU Defence Innovation Scheme</w:t>
      </w:r>
      <w:r>
        <w:rPr>
          <w:rFonts w:ascii="Times New Roman" w:eastAsiaTheme="minorHAnsi" w:hAnsi="Times New Roman"/>
          <w:szCs w:val="24"/>
          <w:lang w:val="en-IE" w:eastAsia="en-US"/>
        </w:rPr>
        <w:t xml:space="preserve"> (EUDIS) i</w:t>
      </w:r>
      <w:r w:rsidRPr="008B0756">
        <w:rPr>
          <w:rFonts w:ascii="Times New Roman" w:eastAsiaTheme="minorHAnsi" w:hAnsi="Times New Roman"/>
          <w:szCs w:val="24"/>
          <w:lang w:val="en-IE" w:eastAsia="en-US"/>
        </w:rPr>
        <w:t xml:space="preserve">n Spring 2022 and committed to dedicating approx. </w:t>
      </w:r>
      <w:r>
        <w:rPr>
          <w:rFonts w:ascii="Times New Roman" w:eastAsiaTheme="minorHAnsi" w:hAnsi="Times New Roman"/>
          <w:szCs w:val="24"/>
          <w:lang w:val="en-IE" w:eastAsia="en-US"/>
        </w:rPr>
        <w:t xml:space="preserve">EUR </w:t>
      </w:r>
      <w:r w:rsidRPr="008B0756">
        <w:rPr>
          <w:rFonts w:ascii="Times New Roman" w:eastAsiaTheme="minorHAnsi" w:hAnsi="Times New Roman"/>
          <w:szCs w:val="24"/>
          <w:lang w:val="en-IE" w:eastAsia="en-US"/>
        </w:rPr>
        <w:t>1.5</w:t>
      </w:r>
      <w:r>
        <w:rPr>
          <w:rFonts w:ascii="Times New Roman" w:eastAsiaTheme="minorHAnsi" w:hAnsi="Times New Roman"/>
          <w:szCs w:val="24"/>
          <w:lang w:val="en-IE" w:eastAsia="en-US"/>
        </w:rPr>
        <w:t xml:space="preserve"> </w:t>
      </w:r>
      <w:r w:rsidRPr="008B0756">
        <w:rPr>
          <w:rFonts w:ascii="Times New Roman" w:eastAsiaTheme="minorHAnsi" w:hAnsi="Times New Roman"/>
          <w:szCs w:val="24"/>
          <w:lang w:val="en-IE" w:eastAsia="en-US"/>
        </w:rPr>
        <w:t>b</w:t>
      </w:r>
      <w:r>
        <w:rPr>
          <w:rFonts w:ascii="Times New Roman" w:eastAsiaTheme="minorHAnsi" w:hAnsi="Times New Roman"/>
          <w:szCs w:val="24"/>
          <w:lang w:val="en-IE" w:eastAsia="en-US"/>
        </w:rPr>
        <w:t>illion</w:t>
      </w:r>
      <w:r w:rsidRPr="008B0756">
        <w:rPr>
          <w:rFonts w:ascii="Times New Roman" w:eastAsiaTheme="minorHAnsi" w:hAnsi="Times New Roman"/>
          <w:szCs w:val="24"/>
          <w:lang w:val="en-IE" w:eastAsia="en-US"/>
        </w:rPr>
        <w:t xml:space="preserve"> </w:t>
      </w:r>
      <w:r>
        <w:rPr>
          <w:rFonts w:ascii="Times New Roman" w:eastAsiaTheme="minorHAnsi" w:hAnsi="Times New Roman"/>
          <w:szCs w:val="24"/>
          <w:lang w:val="en-IE" w:eastAsia="en-US"/>
        </w:rPr>
        <w:t xml:space="preserve">under the European Defence Fund </w:t>
      </w:r>
      <w:r w:rsidRPr="008B0756">
        <w:rPr>
          <w:rFonts w:ascii="Times New Roman" w:eastAsiaTheme="minorHAnsi" w:hAnsi="Times New Roman"/>
          <w:szCs w:val="24"/>
          <w:lang w:val="en-IE" w:eastAsia="en-US"/>
        </w:rPr>
        <w:t xml:space="preserve">during the current MFF. </w:t>
      </w:r>
      <w:r>
        <w:rPr>
          <w:rFonts w:ascii="Times New Roman" w:eastAsiaTheme="minorHAnsi" w:hAnsi="Times New Roman"/>
          <w:szCs w:val="24"/>
          <w:lang w:val="en-IE" w:eastAsia="en-US"/>
        </w:rPr>
        <w:t xml:space="preserve">In 2023 the Commission </w:t>
      </w:r>
      <w:r w:rsidRPr="008B0756">
        <w:rPr>
          <w:rFonts w:ascii="Times New Roman" w:eastAsiaTheme="minorHAnsi" w:hAnsi="Times New Roman"/>
          <w:szCs w:val="24"/>
          <w:lang w:val="en-IE" w:eastAsia="en-US"/>
        </w:rPr>
        <w:t xml:space="preserve">delivered a tailored set of innovation support measures focused on SMEs, including start-ups. These measures are integrated in the EDF Work Programme 2023 in the form of calls and support actions. EUDIS measures encompass a different approach in organising R&amp;D calls (in the form of technological challenges, calls with financial support to third parties, </w:t>
      </w:r>
      <w:r w:rsidRPr="00FA21A5">
        <w:rPr>
          <w:rFonts w:ascii="Times New Roman" w:eastAsiaTheme="minorHAnsi" w:hAnsi="Times New Roman"/>
          <w:szCs w:val="24"/>
          <w:lang w:val="en-IE" w:eastAsia="en-US"/>
        </w:rPr>
        <w:t>spin-</w:t>
      </w:r>
      <w:r>
        <w:rPr>
          <w:rFonts w:ascii="Times New Roman" w:eastAsiaTheme="minorHAnsi" w:hAnsi="Times New Roman"/>
          <w:szCs w:val="24"/>
          <w:lang w:val="en-IE" w:eastAsia="en-US"/>
        </w:rPr>
        <w:t xml:space="preserve">in </w:t>
      </w:r>
      <w:r w:rsidRPr="00FA21A5">
        <w:rPr>
          <w:rFonts w:ascii="Times New Roman" w:eastAsiaTheme="minorHAnsi" w:hAnsi="Times New Roman"/>
          <w:szCs w:val="24"/>
          <w:lang w:val="en-IE" w:eastAsia="en-US"/>
        </w:rPr>
        <w:t>calls</w:t>
      </w:r>
      <w:r w:rsidRPr="008B0756">
        <w:rPr>
          <w:rFonts w:ascii="Times New Roman" w:eastAsiaTheme="minorHAnsi" w:hAnsi="Times New Roman"/>
          <w:szCs w:val="24"/>
          <w:lang w:val="en-IE" w:eastAsia="en-US"/>
        </w:rPr>
        <w:t xml:space="preserve"> to tap into the dual-potential of results generated in civil funded EU R&amp;D programmes, open R&amp;D R&amp;D calls for SMEs and disruptive technologies) and support actions in the form of SME business coaching, organisation of defence hackathons and by enabling access to equity funding for innovative defence SMEs and mid-caps through the European Investment Fund.</w:t>
      </w:r>
    </w:p>
    <w:p w14:paraId="600D6DFA" w14:textId="77777777" w:rsidR="00651401" w:rsidRPr="008B0756" w:rsidRDefault="00651401" w:rsidP="00651401">
      <w:pPr>
        <w:spacing w:after="120"/>
        <w:rPr>
          <w:rFonts w:ascii="Times New Roman" w:eastAsiaTheme="minorHAnsi" w:hAnsi="Times New Roman"/>
          <w:szCs w:val="24"/>
          <w:lang w:val="en-IE" w:eastAsia="en-US"/>
        </w:rPr>
      </w:pPr>
      <w:r w:rsidRPr="008B0756">
        <w:rPr>
          <w:rFonts w:ascii="Times New Roman" w:eastAsiaTheme="minorHAnsi" w:hAnsi="Times New Roman"/>
          <w:szCs w:val="24"/>
          <w:lang w:val="en-IE" w:eastAsia="en-US"/>
        </w:rPr>
        <w:t xml:space="preserve">Additional SME innovation support services may be </w:t>
      </w:r>
      <w:r>
        <w:rPr>
          <w:rFonts w:ascii="Times New Roman" w:eastAsiaTheme="minorHAnsi" w:hAnsi="Times New Roman"/>
          <w:szCs w:val="24"/>
          <w:lang w:val="en-IE" w:eastAsia="en-US"/>
        </w:rPr>
        <w:t>put in place</w:t>
      </w:r>
      <w:r w:rsidRPr="008B0756">
        <w:rPr>
          <w:rFonts w:ascii="Times New Roman" w:eastAsiaTheme="minorHAnsi" w:hAnsi="Times New Roman"/>
          <w:szCs w:val="24"/>
          <w:lang w:val="en-IE" w:eastAsia="en-US"/>
        </w:rPr>
        <w:t xml:space="preserve"> before 2027. This tailored approach, focusing on smaller market players aims to build a stronger EU defence innovation ecosystem throughout the EU and contribute to the EU Member States’ and Norway’s military capability development. EUDIS represents approximately 20% of the annual EDF budget. The total budget for 2023 is </w:t>
      </w:r>
      <w:r>
        <w:rPr>
          <w:rFonts w:ascii="Times New Roman" w:eastAsiaTheme="minorHAnsi" w:hAnsi="Times New Roman"/>
          <w:szCs w:val="24"/>
          <w:lang w:val="en-IE" w:eastAsia="en-US"/>
        </w:rPr>
        <w:t xml:space="preserve">EUR </w:t>
      </w:r>
      <w:r w:rsidRPr="008B0756">
        <w:rPr>
          <w:rFonts w:ascii="Times New Roman" w:eastAsiaTheme="minorHAnsi" w:hAnsi="Times New Roman"/>
          <w:szCs w:val="24"/>
          <w:lang w:val="en-IE" w:eastAsia="en-US"/>
        </w:rPr>
        <w:t xml:space="preserve">224 </w:t>
      </w:r>
      <w:r>
        <w:rPr>
          <w:rFonts w:ascii="Times New Roman" w:eastAsiaTheme="minorHAnsi" w:hAnsi="Times New Roman"/>
          <w:szCs w:val="24"/>
          <w:lang w:val="en-IE" w:eastAsia="en-US"/>
        </w:rPr>
        <w:t>million</w:t>
      </w:r>
      <w:r w:rsidRPr="008B0756">
        <w:rPr>
          <w:rFonts w:ascii="Times New Roman" w:eastAsiaTheme="minorHAnsi" w:hAnsi="Times New Roman"/>
          <w:szCs w:val="24"/>
          <w:lang w:val="en-IE" w:eastAsia="en-US"/>
        </w:rPr>
        <w:t>.</w:t>
      </w:r>
    </w:p>
    <w:p w14:paraId="7E40F126" w14:textId="77777777" w:rsidR="00651401" w:rsidRPr="00A912DB" w:rsidRDefault="00651401" w:rsidP="00651401">
      <w:pPr>
        <w:spacing w:after="120"/>
        <w:rPr>
          <w:rFonts w:ascii="Times New Roman" w:eastAsiaTheme="minorHAnsi" w:hAnsi="Times New Roman"/>
          <w:szCs w:val="24"/>
          <w:u w:val="single"/>
          <w:lang w:val="en-IE" w:eastAsia="en-US"/>
        </w:rPr>
      </w:pPr>
      <w:r w:rsidRPr="008B0756">
        <w:rPr>
          <w:rFonts w:ascii="Times New Roman" w:eastAsiaTheme="minorHAnsi" w:hAnsi="Times New Roman"/>
          <w:szCs w:val="24"/>
          <w:u w:val="single"/>
          <w:lang w:val="en-IE" w:eastAsia="en-US"/>
        </w:rPr>
        <w:t xml:space="preserve">Defining appropriate Technological Readiness Level </w:t>
      </w:r>
      <w:r>
        <w:rPr>
          <w:rFonts w:ascii="Times New Roman" w:eastAsiaTheme="minorHAnsi" w:hAnsi="Times New Roman"/>
          <w:szCs w:val="24"/>
          <w:u w:val="single"/>
          <w:lang w:val="en-IE" w:eastAsia="en-US"/>
        </w:rPr>
        <w:t xml:space="preserve">(TRL) </w:t>
      </w:r>
      <w:r w:rsidRPr="008B0756">
        <w:rPr>
          <w:rFonts w:ascii="Times New Roman" w:eastAsiaTheme="minorHAnsi" w:hAnsi="Times New Roman"/>
          <w:szCs w:val="24"/>
          <w:u w:val="single"/>
          <w:lang w:val="en-IE" w:eastAsia="en-US"/>
        </w:rPr>
        <w:t>(paragraph 17)</w:t>
      </w:r>
    </w:p>
    <w:p w14:paraId="1C703D23" w14:textId="77777777" w:rsidR="00651401" w:rsidRDefault="00651401" w:rsidP="00651401">
      <w:pPr>
        <w:spacing w:after="120"/>
        <w:rPr>
          <w:rFonts w:ascii="Times New Roman" w:eastAsiaTheme="minorHAnsi" w:hAnsi="Times New Roman"/>
          <w:szCs w:val="24"/>
          <w:lang w:val="en-IE" w:eastAsia="en-US"/>
        </w:rPr>
      </w:pPr>
      <w:r w:rsidRPr="008B0756">
        <w:rPr>
          <w:rFonts w:ascii="Times New Roman" w:eastAsiaTheme="minorHAnsi" w:hAnsi="Times New Roman"/>
          <w:szCs w:val="24"/>
          <w:lang w:val="en-IE" w:eastAsia="en-US"/>
        </w:rPr>
        <w:t>T</w:t>
      </w:r>
      <w:r>
        <w:rPr>
          <w:rFonts w:ascii="Times New Roman" w:eastAsiaTheme="minorHAnsi" w:hAnsi="Times New Roman"/>
          <w:szCs w:val="24"/>
          <w:lang w:val="en-IE" w:eastAsia="en-US"/>
        </w:rPr>
        <w:t>he C</w:t>
      </w:r>
      <w:r w:rsidRPr="008B0756">
        <w:rPr>
          <w:rFonts w:ascii="Times New Roman" w:eastAsiaTheme="minorHAnsi" w:hAnsi="Times New Roman"/>
          <w:szCs w:val="24"/>
          <w:lang w:val="en-IE" w:eastAsia="en-US"/>
        </w:rPr>
        <w:t>o</w:t>
      </w:r>
      <w:r>
        <w:rPr>
          <w:rFonts w:ascii="Times New Roman" w:eastAsiaTheme="minorHAnsi" w:hAnsi="Times New Roman"/>
          <w:szCs w:val="24"/>
          <w:lang w:val="en-IE" w:eastAsia="en-US"/>
        </w:rPr>
        <w:t>mmission believes that</w:t>
      </w:r>
      <w:r w:rsidRPr="008B0756">
        <w:rPr>
          <w:rFonts w:ascii="Times New Roman" w:eastAsiaTheme="minorHAnsi" w:hAnsi="Times New Roman"/>
          <w:szCs w:val="24"/>
          <w:lang w:val="en-IE" w:eastAsia="en-US"/>
        </w:rPr>
        <w:t xml:space="preserve"> </w:t>
      </w:r>
      <w:r>
        <w:rPr>
          <w:rFonts w:ascii="Times New Roman" w:eastAsiaTheme="minorHAnsi" w:hAnsi="Times New Roman"/>
          <w:szCs w:val="24"/>
          <w:lang w:val="en-IE" w:eastAsia="en-US"/>
        </w:rPr>
        <w:t>for</w:t>
      </w:r>
      <w:r w:rsidRPr="008B0756">
        <w:rPr>
          <w:rFonts w:ascii="Times New Roman" w:eastAsiaTheme="minorHAnsi" w:hAnsi="Times New Roman"/>
          <w:szCs w:val="24"/>
          <w:lang w:val="en-IE" w:eastAsia="en-US"/>
        </w:rPr>
        <w:t xml:space="preserve"> best possible degree of interoperability and subsequent common procurement of defence equipment by the Member States, the TRL should be at least 8, which refers to a stage in the development of the critical and disruptive defence technology where it is considered to be near completion and ready for deployment on the battlefield.</w:t>
      </w:r>
    </w:p>
    <w:p w14:paraId="18E624C9" w14:textId="77777777" w:rsidR="00651401" w:rsidRPr="00A912DB" w:rsidRDefault="00651401" w:rsidP="00651401">
      <w:pPr>
        <w:spacing w:after="120"/>
        <w:rPr>
          <w:rFonts w:ascii="Times New Roman" w:eastAsiaTheme="minorHAnsi" w:hAnsi="Times New Roman"/>
          <w:szCs w:val="24"/>
          <w:u w:val="single"/>
          <w:lang w:val="en-IE" w:eastAsia="en-US"/>
        </w:rPr>
      </w:pPr>
      <w:r w:rsidRPr="008B0756">
        <w:rPr>
          <w:rFonts w:ascii="Times New Roman" w:eastAsiaTheme="minorHAnsi" w:hAnsi="Times New Roman"/>
          <w:szCs w:val="24"/>
          <w:u w:val="single"/>
          <w:lang w:val="en-IE" w:eastAsia="en-US"/>
        </w:rPr>
        <w:t>‘Multiple helix models’ for innovation (paragraph 19)</w:t>
      </w:r>
    </w:p>
    <w:p w14:paraId="501DE7EB" w14:textId="77777777" w:rsidR="00651401" w:rsidRPr="002D005B" w:rsidRDefault="00651401" w:rsidP="00651401">
      <w:pPr>
        <w:autoSpaceDE w:val="0"/>
        <w:autoSpaceDN w:val="0"/>
        <w:spacing w:after="120"/>
        <w:rPr>
          <w:rFonts w:ascii="Calibri" w:hAnsi="Calibri" w:cs="Calibri"/>
          <w:sz w:val="22"/>
          <w:szCs w:val="22"/>
          <w:lang w:val="en-IE" w:eastAsia="en-IE"/>
        </w:rPr>
      </w:pPr>
      <w:r w:rsidRPr="002D005B">
        <w:rPr>
          <w:rFonts w:ascii="Times New Roman" w:hAnsi="Times New Roman"/>
          <w:szCs w:val="24"/>
          <w:lang w:val="en-IE" w:eastAsia="en-IE"/>
        </w:rPr>
        <w:t>Multi-helix models for innovation are framework models that emphasi</w:t>
      </w:r>
      <w:r>
        <w:rPr>
          <w:rFonts w:ascii="Times New Roman" w:hAnsi="Times New Roman"/>
          <w:szCs w:val="24"/>
          <w:lang w:val="en-IE" w:eastAsia="en-IE"/>
        </w:rPr>
        <w:t>s</w:t>
      </w:r>
      <w:r w:rsidRPr="002D005B">
        <w:rPr>
          <w:rFonts w:ascii="Times New Roman" w:hAnsi="Times New Roman"/>
          <w:szCs w:val="24"/>
          <w:lang w:val="en-IE" w:eastAsia="en-IE"/>
        </w:rPr>
        <w:t xml:space="preserve">e the collaboration and integration among various stakeholder in the innovation process. </w:t>
      </w:r>
      <w:r>
        <w:rPr>
          <w:rFonts w:ascii="Times New Roman" w:hAnsi="Times New Roman"/>
          <w:szCs w:val="24"/>
          <w:lang w:val="en-IE" w:eastAsia="en-IE"/>
        </w:rPr>
        <w:t>The triple helix model is well known and well established</w:t>
      </w:r>
      <w:r w:rsidRPr="002D005B">
        <w:rPr>
          <w:rFonts w:ascii="Times New Roman" w:hAnsi="Times New Roman"/>
          <w:szCs w:val="24"/>
          <w:lang w:val="en-IE" w:eastAsia="en-IE"/>
        </w:rPr>
        <w:t xml:space="preserve"> </w:t>
      </w:r>
      <w:r>
        <w:rPr>
          <w:rFonts w:ascii="Times New Roman" w:hAnsi="Times New Roman"/>
          <w:szCs w:val="24"/>
          <w:lang w:val="en-IE" w:eastAsia="en-IE"/>
        </w:rPr>
        <w:t>e.g. used by Dutch Ministry of Defence (MoD).</w:t>
      </w:r>
      <w:r w:rsidRPr="002D005B">
        <w:rPr>
          <w:rFonts w:ascii="Times New Roman" w:hAnsi="Times New Roman"/>
          <w:szCs w:val="24"/>
          <w:lang w:val="en-IE" w:eastAsia="en-IE"/>
        </w:rPr>
        <w:t xml:space="preserve"> </w:t>
      </w:r>
      <w:r>
        <w:rPr>
          <w:rFonts w:ascii="Times New Roman" w:hAnsi="Times New Roman"/>
          <w:szCs w:val="24"/>
          <w:lang w:val="en-IE" w:eastAsia="en-IE"/>
        </w:rPr>
        <w:t>This</w:t>
      </w:r>
      <w:r w:rsidRPr="002D005B">
        <w:rPr>
          <w:rFonts w:ascii="Times New Roman" w:hAnsi="Times New Roman"/>
          <w:szCs w:val="24"/>
          <w:lang w:val="en-IE" w:eastAsia="en-IE"/>
        </w:rPr>
        <w:t xml:space="preserve"> primarily involves: academia, industry, and the </w:t>
      </w:r>
      <w:r>
        <w:rPr>
          <w:rFonts w:ascii="Times New Roman" w:hAnsi="Times New Roman"/>
          <w:szCs w:val="24"/>
          <w:lang w:val="en-IE" w:eastAsia="en-IE"/>
        </w:rPr>
        <w:t>end-user (</w:t>
      </w:r>
      <w:r w:rsidRPr="002D005B">
        <w:rPr>
          <w:rFonts w:ascii="Times New Roman" w:hAnsi="Times New Roman"/>
          <w:szCs w:val="24"/>
          <w:lang w:val="en-IE" w:eastAsia="en-IE"/>
        </w:rPr>
        <w:t>MoD</w:t>
      </w:r>
      <w:r>
        <w:rPr>
          <w:rFonts w:ascii="Times New Roman" w:hAnsi="Times New Roman"/>
          <w:szCs w:val="24"/>
          <w:lang w:val="en-IE" w:eastAsia="en-IE"/>
        </w:rPr>
        <w:t>)</w:t>
      </w:r>
      <w:r w:rsidRPr="002D005B">
        <w:rPr>
          <w:rFonts w:ascii="Times New Roman" w:hAnsi="Times New Roman"/>
          <w:szCs w:val="24"/>
          <w:lang w:val="en-IE" w:eastAsia="en-IE"/>
        </w:rPr>
        <w:t xml:space="preserve">. The </w:t>
      </w:r>
      <w:r>
        <w:rPr>
          <w:rFonts w:ascii="Times New Roman" w:hAnsi="Times New Roman"/>
          <w:szCs w:val="24"/>
          <w:lang w:eastAsia="en-IE"/>
        </w:rPr>
        <w:t xml:space="preserve">Commission is considering deploying the </w:t>
      </w:r>
      <w:r w:rsidRPr="002D005B">
        <w:rPr>
          <w:rFonts w:ascii="Times New Roman" w:hAnsi="Times New Roman"/>
          <w:szCs w:val="24"/>
          <w:lang w:val="en-IE" w:eastAsia="en-IE"/>
        </w:rPr>
        <w:t>multi-helix model</w:t>
      </w:r>
      <w:r>
        <w:rPr>
          <w:rFonts w:ascii="Times New Roman" w:hAnsi="Times New Roman"/>
          <w:szCs w:val="24"/>
          <w:lang w:val="en-IE" w:eastAsia="en-IE"/>
        </w:rPr>
        <w:t xml:space="preserve"> under EUDIS while</w:t>
      </w:r>
      <w:r w:rsidRPr="002D005B">
        <w:rPr>
          <w:rFonts w:ascii="Times New Roman" w:hAnsi="Times New Roman"/>
          <w:szCs w:val="24"/>
          <w:lang w:val="en-IE" w:eastAsia="en-IE"/>
        </w:rPr>
        <w:t xml:space="preserve"> expand</w:t>
      </w:r>
      <w:r>
        <w:rPr>
          <w:rFonts w:ascii="Times New Roman" w:hAnsi="Times New Roman"/>
          <w:szCs w:val="24"/>
          <w:lang w:val="en-IE" w:eastAsia="en-IE"/>
        </w:rPr>
        <w:t>ing</w:t>
      </w:r>
      <w:r w:rsidRPr="002D005B">
        <w:rPr>
          <w:rFonts w:ascii="Times New Roman" w:hAnsi="Times New Roman"/>
          <w:szCs w:val="24"/>
          <w:lang w:val="en-IE" w:eastAsia="en-IE"/>
        </w:rPr>
        <w:t xml:space="preserve"> th</w:t>
      </w:r>
      <w:r>
        <w:rPr>
          <w:rFonts w:ascii="Times New Roman" w:hAnsi="Times New Roman"/>
          <w:szCs w:val="24"/>
          <w:lang w:val="en-IE" w:eastAsia="en-IE"/>
        </w:rPr>
        <w:t>e</w:t>
      </w:r>
      <w:r w:rsidRPr="002D005B">
        <w:rPr>
          <w:rFonts w:ascii="Times New Roman" w:hAnsi="Times New Roman"/>
          <w:szCs w:val="24"/>
          <w:lang w:val="en-IE" w:eastAsia="en-IE"/>
        </w:rPr>
        <w:t xml:space="preserve"> concept by adding additional strands to the helix</w:t>
      </w:r>
      <w:r>
        <w:rPr>
          <w:rFonts w:ascii="Times New Roman" w:hAnsi="Times New Roman"/>
          <w:szCs w:val="24"/>
          <w:lang w:val="en-IE" w:eastAsia="en-IE"/>
        </w:rPr>
        <w:t xml:space="preserve">, such as </w:t>
      </w:r>
      <w:r w:rsidRPr="002D005B">
        <w:rPr>
          <w:rFonts w:ascii="Times New Roman" w:hAnsi="Times New Roman"/>
          <w:szCs w:val="24"/>
          <w:lang w:val="en-IE" w:eastAsia="en-IE"/>
        </w:rPr>
        <w:t>other industrial sectors</w:t>
      </w:r>
      <w:r>
        <w:rPr>
          <w:rFonts w:ascii="Times New Roman" w:hAnsi="Times New Roman"/>
          <w:szCs w:val="24"/>
          <w:lang w:val="en-IE" w:eastAsia="en-IE"/>
        </w:rPr>
        <w:t xml:space="preserve"> or</w:t>
      </w:r>
      <w:r w:rsidRPr="002D005B">
        <w:rPr>
          <w:rFonts w:ascii="Times New Roman" w:hAnsi="Times New Roman"/>
          <w:szCs w:val="24"/>
          <w:lang w:val="en-IE" w:eastAsia="en-IE"/>
        </w:rPr>
        <w:t xml:space="preserve"> the civil society.</w:t>
      </w:r>
    </w:p>
    <w:p w14:paraId="2657055A" w14:textId="77777777" w:rsidR="00651401" w:rsidRDefault="00651401" w:rsidP="00651401">
      <w:pPr>
        <w:spacing w:after="120"/>
        <w:rPr>
          <w:rFonts w:ascii="Times New Roman" w:eastAsiaTheme="minorHAnsi" w:hAnsi="Times New Roman"/>
          <w:szCs w:val="24"/>
          <w:u w:val="single"/>
          <w:lang w:val="en-IE" w:eastAsia="en-US"/>
        </w:rPr>
      </w:pPr>
      <w:r>
        <w:rPr>
          <w:rFonts w:ascii="Times New Roman" w:eastAsiaTheme="minorHAnsi" w:hAnsi="Times New Roman"/>
          <w:szCs w:val="24"/>
          <w:u w:val="single"/>
          <w:lang w:val="en-IE" w:eastAsia="en-US"/>
        </w:rPr>
        <w:t>Further developing existing funding schemes and alternatives to increase funding for critical technologies under the current MFF (paragraph 20)</w:t>
      </w:r>
    </w:p>
    <w:p w14:paraId="73752582" w14:textId="77777777" w:rsidR="00651401" w:rsidRPr="006A2992" w:rsidRDefault="00651401" w:rsidP="00651401">
      <w:pPr>
        <w:spacing w:after="120"/>
        <w:rPr>
          <w:rFonts w:ascii="Times New Roman" w:eastAsiaTheme="minorHAnsi" w:hAnsi="Times New Roman"/>
          <w:szCs w:val="24"/>
          <w:lang w:val="en-IE" w:eastAsia="en-US"/>
        </w:rPr>
      </w:pPr>
      <w:r>
        <w:rPr>
          <w:rFonts w:ascii="Times New Roman" w:eastAsiaTheme="minorHAnsi" w:hAnsi="Times New Roman"/>
          <w:szCs w:val="24"/>
          <w:lang w:val="en-IE" w:eastAsia="en-US"/>
        </w:rPr>
        <w:t xml:space="preserve">The Commission is continuously seeking to maximise the benefits of existing funding schemes. Concrete examples include the setup of EUDIS as part of EDF with close to EUR 2 billion funding during the lifetime of the current MFF (of which EUR 1,46 billion from EDF, EUR 90 million from co-funding by Member Sates and EUR 400 to 500 million of leverage from the InvestEU programme and the European Investment Fund (EIF); the ongoing work with the European Investment Bank seeking to identify opportunities for joint funding. In addition, with EDIRPA, the Commission proposed simplified financing procedures (through innovative use of financing not linked to cost) to incentivise cooperation of Member States in defence procurement. With the Economic Security Strategy Communication of June 2023, the Commission committed to explore options to ensure adequate targeted support for R&amp;D of dual-use technologies. Finally, the Commission has proposed to increase support for </w:t>
      </w:r>
      <w:r w:rsidRPr="00F116FF">
        <w:rPr>
          <w:rFonts w:ascii="Times New Roman" w:eastAsiaTheme="minorHAnsi" w:hAnsi="Times New Roman"/>
          <w:szCs w:val="24"/>
          <w:lang w:val="en-IE" w:eastAsia="en-US"/>
        </w:rPr>
        <w:t xml:space="preserve">actions related to deep and digital technologies for defence and aerospace </w:t>
      </w:r>
      <w:r>
        <w:rPr>
          <w:rFonts w:ascii="Times New Roman" w:eastAsiaTheme="minorHAnsi" w:hAnsi="Times New Roman"/>
          <w:szCs w:val="24"/>
          <w:lang w:val="en-IE" w:eastAsia="en-US"/>
        </w:rPr>
        <w:t>with its June 2023 proposal for the MFF mid-term revision; this proposal boosts EDF funding by EUR </w:t>
      </w:r>
      <w:r w:rsidRPr="00F116FF">
        <w:rPr>
          <w:rFonts w:ascii="Times New Roman" w:eastAsiaTheme="minorHAnsi" w:hAnsi="Times New Roman"/>
          <w:szCs w:val="24"/>
          <w:lang w:val="en-IE" w:eastAsia="en-US"/>
        </w:rPr>
        <w:t>1,5</w:t>
      </w:r>
      <w:r>
        <w:rPr>
          <w:rFonts w:ascii="Times New Roman" w:eastAsiaTheme="minorHAnsi" w:hAnsi="Times New Roman"/>
          <w:szCs w:val="24"/>
          <w:lang w:val="en-IE" w:eastAsia="en-US"/>
        </w:rPr>
        <w:t> </w:t>
      </w:r>
      <w:r w:rsidRPr="00F116FF">
        <w:rPr>
          <w:rFonts w:ascii="Times New Roman" w:eastAsiaTheme="minorHAnsi" w:hAnsi="Times New Roman"/>
          <w:szCs w:val="24"/>
          <w:lang w:val="en-IE" w:eastAsia="en-US"/>
        </w:rPr>
        <w:t>billion over the remaining MFF period</w:t>
      </w:r>
      <w:r>
        <w:rPr>
          <w:rFonts w:ascii="Times New Roman" w:eastAsiaTheme="minorHAnsi" w:hAnsi="Times New Roman"/>
          <w:szCs w:val="24"/>
          <w:lang w:val="en-IE" w:eastAsia="en-US"/>
        </w:rPr>
        <w:t xml:space="preserve">, </w:t>
      </w:r>
      <w:r w:rsidRPr="00F116FF">
        <w:rPr>
          <w:rFonts w:ascii="Times New Roman" w:eastAsiaTheme="minorHAnsi" w:hAnsi="Times New Roman"/>
          <w:szCs w:val="24"/>
          <w:lang w:val="en-IE" w:eastAsia="en-US"/>
        </w:rPr>
        <w:t>linked to the provisions in the STEP (Strategic Technologies for Europe Platform) proposal covering critical technologies</w:t>
      </w:r>
      <w:r>
        <w:rPr>
          <w:rFonts w:ascii="Times New Roman" w:eastAsiaTheme="minorHAnsi" w:hAnsi="Times New Roman"/>
          <w:szCs w:val="24"/>
          <w:lang w:val="en-IE" w:eastAsia="en-US"/>
        </w:rPr>
        <w:t>.</w:t>
      </w:r>
    </w:p>
    <w:sectPr w:rsidR="00651401" w:rsidRPr="006A299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7CBA" w14:textId="77777777" w:rsidR="003969EA" w:rsidRDefault="003969EA">
      <w:pPr>
        <w:spacing w:after="0"/>
      </w:pPr>
      <w:r>
        <w:separator/>
      </w:r>
    </w:p>
  </w:endnote>
  <w:endnote w:type="continuationSeparator" w:id="0">
    <w:p w14:paraId="7B21BA49" w14:textId="77777777" w:rsidR="003969EA" w:rsidRDefault="003969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014772"/>
      <w:docPartObj>
        <w:docPartGallery w:val="Page Numbers (Bottom of Page)"/>
        <w:docPartUnique/>
      </w:docPartObj>
    </w:sdtPr>
    <w:sdtEndPr>
      <w:rPr>
        <w:noProof/>
      </w:rPr>
    </w:sdtEndPr>
    <w:sdtContent>
      <w:p w14:paraId="2F72287C" w14:textId="7FBE1824" w:rsidR="00DA3A7D" w:rsidRDefault="00DA3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2A4BDF" w14:textId="77777777" w:rsidR="001E2BE5" w:rsidRPr="00110CA5" w:rsidRDefault="00490DFA">
    <w:pPr>
      <w:pStyle w:val="Foo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3176" w14:textId="77777777" w:rsidR="003969EA" w:rsidRDefault="003969EA">
      <w:pPr>
        <w:spacing w:after="0"/>
      </w:pPr>
      <w:r>
        <w:separator/>
      </w:r>
    </w:p>
  </w:footnote>
  <w:footnote w:type="continuationSeparator" w:id="0">
    <w:p w14:paraId="736671EC" w14:textId="77777777" w:rsidR="003969EA" w:rsidRDefault="003969E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6722C9"/>
    <w:rsid w:val="00004F7C"/>
    <w:rsid w:val="0001086C"/>
    <w:rsid w:val="0001589A"/>
    <w:rsid w:val="00016F60"/>
    <w:rsid w:val="000203B2"/>
    <w:rsid w:val="000313F2"/>
    <w:rsid w:val="00033502"/>
    <w:rsid w:val="00045CB8"/>
    <w:rsid w:val="000572C9"/>
    <w:rsid w:val="000A033E"/>
    <w:rsid w:val="000A0EC3"/>
    <w:rsid w:val="000A183A"/>
    <w:rsid w:val="000B3D2C"/>
    <w:rsid w:val="000B4C6F"/>
    <w:rsid w:val="000C423F"/>
    <w:rsid w:val="000C4A6A"/>
    <w:rsid w:val="000D2ADC"/>
    <w:rsid w:val="000D3478"/>
    <w:rsid w:val="000D6E04"/>
    <w:rsid w:val="000E26D6"/>
    <w:rsid w:val="000E4D94"/>
    <w:rsid w:val="000E56F7"/>
    <w:rsid w:val="000E6676"/>
    <w:rsid w:val="000F2664"/>
    <w:rsid w:val="001143EC"/>
    <w:rsid w:val="00120903"/>
    <w:rsid w:val="00120D95"/>
    <w:rsid w:val="00123598"/>
    <w:rsid w:val="00124F15"/>
    <w:rsid w:val="001317B7"/>
    <w:rsid w:val="0013547E"/>
    <w:rsid w:val="00162458"/>
    <w:rsid w:val="00174331"/>
    <w:rsid w:val="001779F3"/>
    <w:rsid w:val="00183ACD"/>
    <w:rsid w:val="001924ED"/>
    <w:rsid w:val="00195F5D"/>
    <w:rsid w:val="001A7459"/>
    <w:rsid w:val="001B0B40"/>
    <w:rsid w:val="001B2779"/>
    <w:rsid w:val="001B65B7"/>
    <w:rsid w:val="001E1254"/>
    <w:rsid w:val="001E6FC6"/>
    <w:rsid w:val="001F25A4"/>
    <w:rsid w:val="001F31B8"/>
    <w:rsid w:val="00204C80"/>
    <w:rsid w:val="002070D3"/>
    <w:rsid w:val="00210201"/>
    <w:rsid w:val="00215E59"/>
    <w:rsid w:val="002170E3"/>
    <w:rsid w:val="002230B7"/>
    <w:rsid w:val="0024447B"/>
    <w:rsid w:val="00261C5F"/>
    <w:rsid w:val="0026204E"/>
    <w:rsid w:val="00267139"/>
    <w:rsid w:val="0027352C"/>
    <w:rsid w:val="002902A8"/>
    <w:rsid w:val="002A18BA"/>
    <w:rsid w:val="002B2088"/>
    <w:rsid w:val="002C05AA"/>
    <w:rsid w:val="002C14DB"/>
    <w:rsid w:val="002C1FCD"/>
    <w:rsid w:val="002D005B"/>
    <w:rsid w:val="002D5578"/>
    <w:rsid w:val="002D5F57"/>
    <w:rsid w:val="002E2778"/>
    <w:rsid w:val="002E3AA3"/>
    <w:rsid w:val="002F0C4A"/>
    <w:rsid w:val="002F10AF"/>
    <w:rsid w:val="002F7614"/>
    <w:rsid w:val="003007FB"/>
    <w:rsid w:val="00310435"/>
    <w:rsid w:val="00314B85"/>
    <w:rsid w:val="00332167"/>
    <w:rsid w:val="00344C8C"/>
    <w:rsid w:val="00347673"/>
    <w:rsid w:val="0035398B"/>
    <w:rsid w:val="00360DA5"/>
    <w:rsid w:val="00375E3D"/>
    <w:rsid w:val="00391537"/>
    <w:rsid w:val="003922A2"/>
    <w:rsid w:val="003969EA"/>
    <w:rsid w:val="003A24D0"/>
    <w:rsid w:val="003B2CA6"/>
    <w:rsid w:val="003B3649"/>
    <w:rsid w:val="003B4BEE"/>
    <w:rsid w:val="003C1FC9"/>
    <w:rsid w:val="003E07CB"/>
    <w:rsid w:val="003E512E"/>
    <w:rsid w:val="004007F7"/>
    <w:rsid w:val="0040144F"/>
    <w:rsid w:val="00401DD0"/>
    <w:rsid w:val="00406EAE"/>
    <w:rsid w:val="00407F7D"/>
    <w:rsid w:val="00407FB2"/>
    <w:rsid w:val="004306C3"/>
    <w:rsid w:val="00433D54"/>
    <w:rsid w:val="004556A1"/>
    <w:rsid w:val="00460141"/>
    <w:rsid w:val="00471070"/>
    <w:rsid w:val="00471967"/>
    <w:rsid w:val="00490DFA"/>
    <w:rsid w:val="00493176"/>
    <w:rsid w:val="00494E97"/>
    <w:rsid w:val="004A0AD7"/>
    <w:rsid w:val="004C6B72"/>
    <w:rsid w:val="004D4F94"/>
    <w:rsid w:val="004D79B7"/>
    <w:rsid w:val="004E22AC"/>
    <w:rsid w:val="004E61BA"/>
    <w:rsid w:val="004F1D70"/>
    <w:rsid w:val="004F6FC4"/>
    <w:rsid w:val="00500814"/>
    <w:rsid w:val="005038C9"/>
    <w:rsid w:val="00517976"/>
    <w:rsid w:val="00543C93"/>
    <w:rsid w:val="005457FB"/>
    <w:rsid w:val="0054582D"/>
    <w:rsid w:val="0054620A"/>
    <w:rsid w:val="005530D1"/>
    <w:rsid w:val="00567417"/>
    <w:rsid w:val="0057330F"/>
    <w:rsid w:val="005777E6"/>
    <w:rsid w:val="00590201"/>
    <w:rsid w:val="005926EC"/>
    <w:rsid w:val="005A7ADB"/>
    <w:rsid w:val="005B5E96"/>
    <w:rsid w:val="005B6CC4"/>
    <w:rsid w:val="005C5308"/>
    <w:rsid w:val="005D2DA4"/>
    <w:rsid w:val="005E1B6C"/>
    <w:rsid w:val="006117A1"/>
    <w:rsid w:val="00615C6B"/>
    <w:rsid w:val="006223B2"/>
    <w:rsid w:val="00632B2B"/>
    <w:rsid w:val="0063314C"/>
    <w:rsid w:val="006376C1"/>
    <w:rsid w:val="006427AB"/>
    <w:rsid w:val="00651401"/>
    <w:rsid w:val="00655A55"/>
    <w:rsid w:val="00660E3C"/>
    <w:rsid w:val="006650E8"/>
    <w:rsid w:val="006722C9"/>
    <w:rsid w:val="00675767"/>
    <w:rsid w:val="00680A81"/>
    <w:rsid w:val="00682929"/>
    <w:rsid w:val="00683E13"/>
    <w:rsid w:val="00690D3E"/>
    <w:rsid w:val="00694BE1"/>
    <w:rsid w:val="00696E13"/>
    <w:rsid w:val="006A1937"/>
    <w:rsid w:val="006A2992"/>
    <w:rsid w:val="006B3B2A"/>
    <w:rsid w:val="006B7CAB"/>
    <w:rsid w:val="006C203E"/>
    <w:rsid w:val="006C25FA"/>
    <w:rsid w:val="006C754D"/>
    <w:rsid w:val="006D58B5"/>
    <w:rsid w:val="007001C2"/>
    <w:rsid w:val="00713926"/>
    <w:rsid w:val="00716D1D"/>
    <w:rsid w:val="00726060"/>
    <w:rsid w:val="00730535"/>
    <w:rsid w:val="00733575"/>
    <w:rsid w:val="00733AEB"/>
    <w:rsid w:val="00734BAD"/>
    <w:rsid w:val="0073571B"/>
    <w:rsid w:val="00750FAE"/>
    <w:rsid w:val="00763A34"/>
    <w:rsid w:val="0077608E"/>
    <w:rsid w:val="007842E8"/>
    <w:rsid w:val="00787B2E"/>
    <w:rsid w:val="00796C23"/>
    <w:rsid w:val="007B2C2D"/>
    <w:rsid w:val="007B49D0"/>
    <w:rsid w:val="007C3C2A"/>
    <w:rsid w:val="007C47FF"/>
    <w:rsid w:val="007C5EC9"/>
    <w:rsid w:val="007D0084"/>
    <w:rsid w:val="007E4E01"/>
    <w:rsid w:val="007F3827"/>
    <w:rsid w:val="00803C9E"/>
    <w:rsid w:val="00810A3B"/>
    <w:rsid w:val="008239B1"/>
    <w:rsid w:val="0082589D"/>
    <w:rsid w:val="00825C22"/>
    <w:rsid w:val="00826A84"/>
    <w:rsid w:val="00833A61"/>
    <w:rsid w:val="008514E0"/>
    <w:rsid w:val="00853737"/>
    <w:rsid w:val="00856003"/>
    <w:rsid w:val="00862BDB"/>
    <w:rsid w:val="00864363"/>
    <w:rsid w:val="0088706F"/>
    <w:rsid w:val="008877B5"/>
    <w:rsid w:val="00892BE6"/>
    <w:rsid w:val="00894453"/>
    <w:rsid w:val="008A0A6A"/>
    <w:rsid w:val="008A6AB0"/>
    <w:rsid w:val="008B0756"/>
    <w:rsid w:val="008B56AA"/>
    <w:rsid w:val="008C6E30"/>
    <w:rsid w:val="008D4DF2"/>
    <w:rsid w:val="008F53EC"/>
    <w:rsid w:val="009138A5"/>
    <w:rsid w:val="009149A9"/>
    <w:rsid w:val="00916808"/>
    <w:rsid w:val="009223BA"/>
    <w:rsid w:val="00935197"/>
    <w:rsid w:val="00946051"/>
    <w:rsid w:val="00947219"/>
    <w:rsid w:val="00953944"/>
    <w:rsid w:val="00985BA8"/>
    <w:rsid w:val="009922F6"/>
    <w:rsid w:val="00992569"/>
    <w:rsid w:val="009A793F"/>
    <w:rsid w:val="009B2A96"/>
    <w:rsid w:val="009C70B8"/>
    <w:rsid w:val="009D3861"/>
    <w:rsid w:val="009D6ED1"/>
    <w:rsid w:val="009E1DBE"/>
    <w:rsid w:val="009E2316"/>
    <w:rsid w:val="009F339E"/>
    <w:rsid w:val="00A0156E"/>
    <w:rsid w:val="00A0498A"/>
    <w:rsid w:val="00A0506E"/>
    <w:rsid w:val="00A119B7"/>
    <w:rsid w:val="00A12398"/>
    <w:rsid w:val="00A12766"/>
    <w:rsid w:val="00A22C2B"/>
    <w:rsid w:val="00A2433B"/>
    <w:rsid w:val="00A270CE"/>
    <w:rsid w:val="00A31972"/>
    <w:rsid w:val="00A3229F"/>
    <w:rsid w:val="00A36871"/>
    <w:rsid w:val="00A373AB"/>
    <w:rsid w:val="00A421B0"/>
    <w:rsid w:val="00A4288B"/>
    <w:rsid w:val="00A4545C"/>
    <w:rsid w:val="00A61CEF"/>
    <w:rsid w:val="00A624D2"/>
    <w:rsid w:val="00A62BCB"/>
    <w:rsid w:val="00A62EEF"/>
    <w:rsid w:val="00A66F4E"/>
    <w:rsid w:val="00A81CA8"/>
    <w:rsid w:val="00A86852"/>
    <w:rsid w:val="00A86F5E"/>
    <w:rsid w:val="00A912DB"/>
    <w:rsid w:val="00AA1379"/>
    <w:rsid w:val="00AB0065"/>
    <w:rsid w:val="00AB35CA"/>
    <w:rsid w:val="00AB47C7"/>
    <w:rsid w:val="00AC75E2"/>
    <w:rsid w:val="00AD11DD"/>
    <w:rsid w:val="00AD352F"/>
    <w:rsid w:val="00AE2FE9"/>
    <w:rsid w:val="00AE3233"/>
    <w:rsid w:val="00AE379A"/>
    <w:rsid w:val="00AE79E5"/>
    <w:rsid w:val="00AF1DA1"/>
    <w:rsid w:val="00AF2199"/>
    <w:rsid w:val="00AF35A1"/>
    <w:rsid w:val="00AF6712"/>
    <w:rsid w:val="00B00E98"/>
    <w:rsid w:val="00B069C8"/>
    <w:rsid w:val="00B114D6"/>
    <w:rsid w:val="00B33D50"/>
    <w:rsid w:val="00B36234"/>
    <w:rsid w:val="00B410DA"/>
    <w:rsid w:val="00B436B3"/>
    <w:rsid w:val="00B477CB"/>
    <w:rsid w:val="00B55444"/>
    <w:rsid w:val="00B7226A"/>
    <w:rsid w:val="00B74F42"/>
    <w:rsid w:val="00B81AD5"/>
    <w:rsid w:val="00B870BD"/>
    <w:rsid w:val="00BD125E"/>
    <w:rsid w:val="00BE1D56"/>
    <w:rsid w:val="00BE4EE6"/>
    <w:rsid w:val="00BE6B64"/>
    <w:rsid w:val="00BF277C"/>
    <w:rsid w:val="00C01BBD"/>
    <w:rsid w:val="00C02932"/>
    <w:rsid w:val="00C078A9"/>
    <w:rsid w:val="00C07F7E"/>
    <w:rsid w:val="00C51CF6"/>
    <w:rsid w:val="00C5645A"/>
    <w:rsid w:val="00C86150"/>
    <w:rsid w:val="00C92005"/>
    <w:rsid w:val="00CA6E77"/>
    <w:rsid w:val="00CB248C"/>
    <w:rsid w:val="00CB25BE"/>
    <w:rsid w:val="00CB7CE6"/>
    <w:rsid w:val="00CC2376"/>
    <w:rsid w:val="00CD778E"/>
    <w:rsid w:val="00CE103C"/>
    <w:rsid w:val="00CF0792"/>
    <w:rsid w:val="00CF43E5"/>
    <w:rsid w:val="00CF78E9"/>
    <w:rsid w:val="00D07664"/>
    <w:rsid w:val="00D07E4E"/>
    <w:rsid w:val="00D10BD4"/>
    <w:rsid w:val="00D21314"/>
    <w:rsid w:val="00D21F10"/>
    <w:rsid w:val="00D2662F"/>
    <w:rsid w:val="00D37BC4"/>
    <w:rsid w:val="00D40596"/>
    <w:rsid w:val="00D435DF"/>
    <w:rsid w:val="00D576DB"/>
    <w:rsid w:val="00D67B0F"/>
    <w:rsid w:val="00D756D8"/>
    <w:rsid w:val="00D82F29"/>
    <w:rsid w:val="00D8372B"/>
    <w:rsid w:val="00D91CED"/>
    <w:rsid w:val="00D930F8"/>
    <w:rsid w:val="00DA01D7"/>
    <w:rsid w:val="00DA3A7D"/>
    <w:rsid w:val="00DA6D91"/>
    <w:rsid w:val="00DB0152"/>
    <w:rsid w:val="00DB595A"/>
    <w:rsid w:val="00DB6637"/>
    <w:rsid w:val="00DC0231"/>
    <w:rsid w:val="00DC22FD"/>
    <w:rsid w:val="00DE071F"/>
    <w:rsid w:val="00DE3733"/>
    <w:rsid w:val="00DF0A10"/>
    <w:rsid w:val="00E05C04"/>
    <w:rsid w:val="00E14A75"/>
    <w:rsid w:val="00E24A08"/>
    <w:rsid w:val="00E2667E"/>
    <w:rsid w:val="00E32FC4"/>
    <w:rsid w:val="00E40D81"/>
    <w:rsid w:val="00E52612"/>
    <w:rsid w:val="00E53F30"/>
    <w:rsid w:val="00E549F4"/>
    <w:rsid w:val="00E60802"/>
    <w:rsid w:val="00E6648C"/>
    <w:rsid w:val="00E75B04"/>
    <w:rsid w:val="00E81117"/>
    <w:rsid w:val="00E9016D"/>
    <w:rsid w:val="00EA0714"/>
    <w:rsid w:val="00EA3B54"/>
    <w:rsid w:val="00EB0199"/>
    <w:rsid w:val="00EB4E1F"/>
    <w:rsid w:val="00ED4343"/>
    <w:rsid w:val="00ED7FC7"/>
    <w:rsid w:val="00EF3143"/>
    <w:rsid w:val="00F116FF"/>
    <w:rsid w:val="00F1262F"/>
    <w:rsid w:val="00F14BD5"/>
    <w:rsid w:val="00F152B6"/>
    <w:rsid w:val="00F21B15"/>
    <w:rsid w:val="00F22282"/>
    <w:rsid w:val="00F26AFC"/>
    <w:rsid w:val="00F30D1D"/>
    <w:rsid w:val="00F3495A"/>
    <w:rsid w:val="00F379EC"/>
    <w:rsid w:val="00F40609"/>
    <w:rsid w:val="00F41095"/>
    <w:rsid w:val="00F46BC6"/>
    <w:rsid w:val="00F5067C"/>
    <w:rsid w:val="00F54B07"/>
    <w:rsid w:val="00F60A32"/>
    <w:rsid w:val="00F6317A"/>
    <w:rsid w:val="00F74BAF"/>
    <w:rsid w:val="00F858F9"/>
    <w:rsid w:val="00F85E6C"/>
    <w:rsid w:val="00F91B71"/>
    <w:rsid w:val="00F92556"/>
    <w:rsid w:val="00F945B8"/>
    <w:rsid w:val="00FA1D7E"/>
    <w:rsid w:val="00FA70C9"/>
    <w:rsid w:val="00FA7ED1"/>
    <w:rsid w:val="00FB079E"/>
    <w:rsid w:val="00FE46ED"/>
    <w:rsid w:val="00FF5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61AB8"/>
  <w15:chartTrackingRefBased/>
  <w15:docId w15:val="{3AEB9B9B-5F0C-4FEA-9252-CE823A95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C9"/>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22C9"/>
    <w:pPr>
      <w:tabs>
        <w:tab w:val="center" w:pos="4513"/>
        <w:tab w:val="right" w:pos="9026"/>
      </w:tabs>
      <w:spacing w:after="0"/>
    </w:pPr>
  </w:style>
  <w:style w:type="character" w:customStyle="1" w:styleId="FooterChar">
    <w:name w:val="Footer Char"/>
    <w:basedOn w:val="DefaultParagraphFont"/>
    <w:link w:val="Footer"/>
    <w:uiPriority w:val="99"/>
    <w:rsid w:val="006722C9"/>
    <w:rPr>
      <w:rFonts w:ascii="Courier New" w:eastAsia="Times New Roman" w:hAnsi="Courier New" w:cs="Times New Roman"/>
      <w:sz w:val="24"/>
      <w:szCs w:val="20"/>
      <w:lang w:eastAsia="en-GB"/>
    </w:rPr>
  </w:style>
  <w:style w:type="character" w:styleId="CommentReference">
    <w:name w:val="annotation reference"/>
    <w:basedOn w:val="DefaultParagraphFont"/>
    <w:uiPriority w:val="99"/>
    <w:semiHidden/>
    <w:unhideWhenUsed/>
    <w:rsid w:val="006722C9"/>
    <w:rPr>
      <w:sz w:val="16"/>
      <w:szCs w:val="16"/>
    </w:rPr>
  </w:style>
  <w:style w:type="paragraph" w:styleId="CommentText">
    <w:name w:val="annotation text"/>
    <w:basedOn w:val="Normal"/>
    <w:link w:val="CommentTextChar"/>
    <w:uiPriority w:val="99"/>
    <w:semiHidden/>
    <w:unhideWhenUsed/>
    <w:rsid w:val="006722C9"/>
    <w:rPr>
      <w:sz w:val="20"/>
    </w:rPr>
  </w:style>
  <w:style w:type="character" w:customStyle="1" w:styleId="CommentTextChar">
    <w:name w:val="Comment Text Char"/>
    <w:basedOn w:val="DefaultParagraphFont"/>
    <w:link w:val="CommentText"/>
    <w:uiPriority w:val="99"/>
    <w:semiHidden/>
    <w:rsid w:val="006722C9"/>
    <w:rPr>
      <w:rFonts w:ascii="Courier New" w:eastAsia="Times New Roman" w:hAnsi="Courier New" w:cs="Times New Roman"/>
      <w:sz w:val="20"/>
      <w:szCs w:val="20"/>
      <w:lang w:eastAsia="en-GB"/>
    </w:rPr>
  </w:style>
  <w:style w:type="character" w:styleId="Hyperlink">
    <w:name w:val="Hyperlink"/>
    <w:basedOn w:val="DefaultParagraphFont"/>
    <w:uiPriority w:val="99"/>
    <w:semiHidden/>
    <w:unhideWhenUsed/>
    <w:rsid w:val="00750FAE"/>
    <w:rPr>
      <w:color w:val="0563C1"/>
      <w:u w:val="single"/>
    </w:rPr>
  </w:style>
  <w:style w:type="paragraph" w:styleId="CommentSubject">
    <w:name w:val="annotation subject"/>
    <w:basedOn w:val="CommentText"/>
    <w:next w:val="CommentText"/>
    <w:link w:val="CommentSubjectChar"/>
    <w:uiPriority w:val="99"/>
    <w:semiHidden/>
    <w:unhideWhenUsed/>
    <w:rsid w:val="00204C80"/>
    <w:rPr>
      <w:b/>
      <w:bCs/>
    </w:rPr>
  </w:style>
  <w:style w:type="character" w:customStyle="1" w:styleId="CommentSubjectChar">
    <w:name w:val="Comment Subject Char"/>
    <w:basedOn w:val="CommentTextChar"/>
    <w:link w:val="CommentSubject"/>
    <w:uiPriority w:val="99"/>
    <w:semiHidden/>
    <w:rsid w:val="00204C80"/>
    <w:rPr>
      <w:rFonts w:ascii="Courier New" w:eastAsia="Times New Roman" w:hAnsi="Courier New" w:cs="Times New Roman"/>
      <w:b/>
      <w:bCs/>
      <w:sz w:val="20"/>
      <w:szCs w:val="20"/>
      <w:lang w:eastAsia="en-GB"/>
    </w:rPr>
  </w:style>
  <w:style w:type="paragraph" w:styleId="Revision">
    <w:name w:val="Revision"/>
    <w:hidden/>
    <w:uiPriority w:val="99"/>
    <w:semiHidden/>
    <w:rsid w:val="00204C80"/>
    <w:pPr>
      <w:spacing w:after="0" w:line="240" w:lineRule="auto"/>
    </w:pPr>
    <w:rPr>
      <w:rFonts w:ascii="Courier New" w:eastAsia="Times New Roman" w:hAnsi="Courier New" w:cs="Times New Roman"/>
      <w:sz w:val="24"/>
      <w:szCs w:val="20"/>
      <w:lang w:eastAsia="en-GB"/>
    </w:rPr>
  </w:style>
  <w:style w:type="paragraph" w:styleId="Header">
    <w:name w:val="header"/>
    <w:basedOn w:val="Normal"/>
    <w:link w:val="HeaderChar"/>
    <w:uiPriority w:val="99"/>
    <w:unhideWhenUsed/>
    <w:rsid w:val="00DA3A7D"/>
    <w:pPr>
      <w:tabs>
        <w:tab w:val="center" w:pos="4513"/>
        <w:tab w:val="right" w:pos="9026"/>
      </w:tabs>
      <w:spacing w:after="0"/>
    </w:pPr>
  </w:style>
  <w:style w:type="character" w:customStyle="1" w:styleId="HeaderChar">
    <w:name w:val="Header Char"/>
    <w:basedOn w:val="DefaultParagraphFont"/>
    <w:link w:val="Header"/>
    <w:uiPriority w:val="99"/>
    <w:rsid w:val="00DA3A7D"/>
    <w:rPr>
      <w:rFonts w:ascii="Courier New" w:eastAsia="Times New Roman" w:hAnsi="Courier New" w:cs="Times New Roman"/>
      <w:sz w:val="24"/>
      <w:szCs w:val="20"/>
      <w:lang w:eastAsia="en-GB"/>
    </w:rPr>
  </w:style>
  <w:style w:type="character" w:styleId="FollowedHyperlink">
    <w:name w:val="FollowedHyperlink"/>
    <w:basedOn w:val="DefaultParagraphFont"/>
    <w:uiPriority w:val="99"/>
    <w:semiHidden/>
    <w:unhideWhenUsed/>
    <w:rsid w:val="000D3478"/>
    <w:rPr>
      <w:color w:val="800080" w:themeColor="followedHyperlink"/>
      <w:u w:val="single"/>
    </w:rPr>
  </w:style>
  <w:style w:type="character" w:styleId="FootnoteReference">
    <w:name w:val="footnote reference"/>
    <w:aliases w:val="Nota,Footnote symbol,Footnote,Appel note de bas de p,SUPERS,BVI fnr,Footnote reference number,note TESI,EN Footnote Reference,stylish,Times 10 Point,Exposant 3 Point,Ref,de nota al pie,number,-E Fußnotenzeichen,Footnote number,ftref,F"/>
    <w:basedOn w:val="DefaultParagraphFont"/>
    <w:link w:val="BVIfnrCarCar1"/>
    <w:uiPriority w:val="99"/>
    <w:unhideWhenUsed/>
    <w:qFormat/>
    <w:rsid w:val="00AC75E2"/>
    <w:rPr>
      <w:vertAlign w:val="superscript"/>
    </w:rPr>
  </w:style>
  <w:style w:type="paragraph" w:customStyle="1" w:styleId="BVIfnrCarCar1">
    <w:name w:val="BVI fnr Car Car1"/>
    <w:aliases w:val="BVI fnr Car1,BVI fnr Car Car Car Car,BVI fnr Car Car Car Car Char"/>
    <w:basedOn w:val="Normal"/>
    <w:link w:val="FootnoteReference"/>
    <w:autoRedefine/>
    <w:uiPriority w:val="99"/>
    <w:rsid w:val="00AC75E2"/>
    <w:pPr>
      <w:spacing w:after="160" w:line="240" w:lineRule="exact"/>
    </w:pPr>
    <w:rPr>
      <w:rFonts w:asciiTheme="minorHAnsi" w:eastAsiaTheme="minorHAnsi" w:hAnsiTheme="minorHAnsi" w:cstheme="minorBidi"/>
      <w:sz w:val="22"/>
      <w:szCs w:val="22"/>
      <w:vertAlign w:val="superscript"/>
      <w:lang w:eastAsia="en-US"/>
    </w:rPr>
  </w:style>
  <w:style w:type="paragraph" w:styleId="BodyText">
    <w:name w:val="Body Text"/>
    <w:basedOn w:val="Normal"/>
    <w:link w:val="BodyTextChar"/>
    <w:uiPriority w:val="1"/>
    <w:qFormat/>
    <w:rsid w:val="003007FB"/>
    <w:pPr>
      <w:widowControl w:val="0"/>
      <w:autoSpaceDE w:val="0"/>
      <w:autoSpaceDN w:val="0"/>
      <w:spacing w:after="0"/>
      <w:jc w:val="left"/>
    </w:pPr>
    <w:rPr>
      <w:rFonts w:ascii="Times New Roman" w:hAnsi="Times New Roman"/>
      <w:sz w:val="22"/>
      <w:szCs w:val="22"/>
      <w:lang w:val="en-US" w:eastAsia="en-US"/>
    </w:rPr>
  </w:style>
  <w:style w:type="character" w:customStyle="1" w:styleId="BodyTextChar">
    <w:name w:val="Body Text Char"/>
    <w:basedOn w:val="DefaultParagraphFont"/>
    <w:link w:val="BodyText"/>
    <w:uiPriority w:val="1"/>
    <w:rsid w:val="003007F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56671">
      <w:bodyDiv w:val="1"/>
      <w:marLeft w:val="0"/>
      <w:marRight w:val="0"/>
      <w:marTop w:val="0"/>
      <w:marBottom w:val="0"/>
      <w:divBdr>
        <w:top w:val="none" w:sz="0" w:space="0" w:color="auto"/>
        <w:left w:val="none" w:sz="0" w:space="0" w:color="auto"/>
        <w:bottom w:val="none" w:sz="0" w:space="0" w:color="auto"/>
        <w:right w:val="none" w:sz="0" w:space="0" w:color="auto"/>
      </w:divBdr>
    </w:div>
    <w:div w:id="1203521182">
      <w:bodyDiv w:val="1"/>
      <w:marLeft w:val="0"/>
      <w:marRight w:val="0"/>
      <w:marTop w:val="0"/>
      <w:marBottom w:val="0"/>
      <w:divBdr>
        <w:top w:val="none" w:sz="0" w:space="0" w:color="auto"/>
        <w:left w:val="none" w:sz="0" w:space="0" w:color="auto"/>
        <w:bottom w:val="none" w:sz="0" w:space="0" w:color="auto"/>
        <w:right w:val="none" w:sz="0" w:space="0" w:color="auto"/>
      </w:divBdr>
    </w:div>
    <w:div w:id="1367021479">
      <w:bodyDiv w:val="1"/>
      <w:marLeft w:val="0"/>
      <w:marRight w:val="0"/>
      <w:marTop w:val="0"/>
      <w:marBottom w:val="0"/>
      <w:divBdr>
        <w:top w:val="none" w:sz="0" w:space="0" w:color="auto"/>
        <w:left w:val="none" w:sz="0" w:space="0" w:color="auto"/>
        <w:bottom w:val="none" w:sz="0" w:space="0" w:color="auto"/>
        <w:right w:val="none" w:sz="0" w:space="0" w:color="auto"/>
      </w:divBdr>
    </w:div>
    <w:div w:id="1510369591">
      <w:bodyDiv w:val="1"/>
      <w:marLeft w:val="0"/>
      <w:marRight w:val="0"/>
      <w:marTop w:val="0"/>
      <w:marBottom w:val="0"/>
      <w:divBdr>
        <w:top w:val="none" w:sz="0" w:space="0" w:color="auto"/>
        <w:left w:val="none" w:sz="0" w:space="0" w:color="auto"/>
        <w:bottom w:val="none" w:sz="0" w:space="0" w:color="auto"/>
        <w:right w:val="none" w:sz="0" w:space="0" w:color="auto"/>
      </w:divBdr>
    </w:div>
    <w:div w:id="17721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6AD53B0573632408C97076259666C45" ma:contentTypeVersion="7" ma:contentTypeDescription="Create a new document in this library." ma:contentTypeScope="" ma:versionID="5472e6050a6a080c610c8f7d23129982">
  <xsd:schema xmlns:xsd="http://www.w3.org/2001/XMLSchema" xmlns:xs="http://www.w3.org/2001/XMLSchema" xmlns:p="http://schemas.microsoft.com/office/2006/metadata/properties" xmlns:ns3="d263b782-df17-406e-a14d-23f02ff98c36" xmlns:ns4="b9a1bbf4-3872-40cb-a1a3-b88a292b9176" xmlns:ns5="118d912a-375e-4e59-9f78-0e591e440620" targetNamespace="http://schemas.microsoft.com/office/2006/metadata/properties" ma:root="true" ma:fieldsID="b4613647f9118e14c930fea0a21af656" ns3:_="" ns4:_="" ns5:_="">
    <xsd:import namespace="d263b782-df17-406e-a14d-23f02ff98c36"/>
    <xsd:import namespace="b9a1bbf4-3872-40cb-a1a3-b88a292b9176"/>
    <xsd:import namespace="118d912a-375e-4e59-9f78-0e591e440620"/>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3b782-df17-406e-a14d-23f02ff98c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d912a-375e-4e59-9f78-0e591e4406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d263b782-df17-406e-a14d-23f02ff98c36">Not Started</EC_Collab_Status>
    <EC_Collab_Reference xmlns="d263b782-df17-406e-a14d-23f02ff98c36" xsi:nil="true"/>
    <EC_ARES_TRANSFERRED_BY xmlns="d263b782-df17-406e-a14d-23f02ff98c36" xsi:nil="true"/>
    <EC_ARES_DATE_TRANSFERRED xmlns="d263b782-df17-406e-a14d-23f02ff98c36" xsi:nil="true"/>
    <EC_ARES_NUMBER xmlns="d263b782-df17-406e-a14d-23f02ff98c36">
      <Url xsi:nil="true"/>
      <Description xsi:nil="true"/>
    </EC_ARES_NUMBER>
    <EC_Collab_DocumentLanguage xmlns="d263b782-df17-406e-a14d-23f02ff98c36">EN</EC_Collab_DocumentLanguage>
    <_dlc_DocId xmlns="b9a1bbf4-3872-40cb-a1a3-b88a292b9176">NHRUTF4F6DR2-1057533941-9867</_dlc_DocId>
    <_dlc_DocIdUrl xmlns="b9a1bbf4-3872-40cb-a1a3-b88a292b9176">
      <Url>https://myintracomm-collab.ec.europa.eu/dg/budg/GRIfiches/_layouts/15/DocIdRedir.aspx?ID=NHRUTF4F6DR2-1057533941-9867</Url>
      <Description>NHRUTF4F6DR2-1057533941-9867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1C9F22-F65F-4350-BF3A-CCDF5B87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3b782-df17-406e-a14d-23f02ff98c36"/>
    <ds:schemaRef ds:uri="b9a1bbf4-3872-40cb-a1a3-b88a292b9176"/>
    <ds:schemaRef ds:uri="118d912a-375e-4e59-9f78-0e591e44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19AA3-91C8-400D-A3C0-459925F7AF88}">
  <ds:schemaRefs>
    <ds:schemaRef ds:uri="http://www.w3.org/XML/1998/namespace"/>
    <ds:schemaRef ds:uri="b9a1bbf4-3872-40cb-a1a3-b88a292b9176"/>
    <ds:schemaRef ds:uri="http://purl.org/dc/dcmitype/"/>
    <ds:schemaRef ds:uri="d263b782-df17-406e-a14d-23f02ff98c36"/>
    <ds:schemaRef ds:uri="http://schemas.microsoft.com/office/2006/metadata/properties"/>
    <ds:schemaRef ds:uri="118d912a-375e-4e59-9f78-0e591e440620"/>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CBAD247-9ED8-4BB2-9AD3-F973D2E4A0A7}">
  <ds:schemaRefs>
    <ds:schemaRef ds:uri="http://schemas.microsoft.com/sharepoint/v3/contenttype/forms"/>
  </ds:schemaRefs>
</ds:datastoreItem>
</file>

<file path=customXml/itemProps4.xml><?xml version="1.0" encoding="utf-8"?>
<ds:datastoreItem xmlns:ds="http://schemas.openxmlformats.org/officeDocument/2006/customXml" ds:itemID="{C87E64DF-A6F4-4052-9E04-85F14DA6B6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2316</Words>
  <Characters>13437</Characters>
  <Application>Microsoft Office Word</Application>
  <DocSecurity>0</DocSecurity>
  <Lines>194</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GIBAS Tomasz (ECFIN)</dc:creator>
  <cp:keywords/>
  <dc:description/>
  <cp:lastModifiedBy>DELBAER Gerda (SG)</cp:lastModifiedBy>
  <cp:revision>2</cp:revision>
  <dcterms:created xsi:type="dcterms:W3CDTF">2023-08-02T12:10:00Z</dcterms:created>
  <dcterms:modified xsi:type="dcterms:W3CDTF">2023-08-02T12:10:00Z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2023-03-28T08:50:53Z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888327f5-0d3b-4cb8-966f-1adb5d856d09</vt:lpwstr>
  </property>
  <property fmtid="{D5CDD505-2E9C-101B-9397-08002B2CF9AE}" pid="8" name="MSIP_Label_6bd9ddd1-4d20-43f6-abfa-fc3c07406f94_ContentBits">
    <vt:lpwstr>0</vt:lpwstr>
  </property>
  <property fmtid="{D5CDD505-2E9C-101B-9397-08002B2CF9AE}" pid="9" name="ContentTypeId">
    <vt:lpwstr>0x010100258AA79CEB83498886A3A086811232500056AD53B0573632408C97076259666C45</vt:lpwstr>
  </property>
  <property fmtid="{D5CDD505-2E9C-101B-9397-08002B2CF9AE}" pid="10" name="_dlc_DocIdItemGuid">
    <vt:lpwstr>97940db2-934f-43ac-b0a1-b6e95236ab3b</vt:lpwstr>
  </property>
</Properties>
</file>