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50443" w14:textId="77777777" w:rsidR="00651401" w:rsidRPr="00B2453C" w:rsidRDefault="00651401" w:rsidP="00651401">
      <w:pPr>
        <w:spacing w:after="600"/>
        <w:jc w:val="center"/>
        <w:rPr>
          <w:rFonts w:ascii="Times New Roman" w:eastAsia="Calibri" w:hAnsi="Times New Roman"/>
          <w:b/>
          <w:bCs/>
          <w:color w:val="000000"/>
          <w:szCs w:val="24"/>
        </w:rPr>
      </w:pPr>
      <w:bookmarkStart w:id="0" w:name="Security"/>
      <w:r>
        <w:rPr>
          <w:rFonts w:ascii="Times New Roman" w:hAnsi="Times New Roman"/>
          <w:b/>
          <w:color w:val="000000"/>
        </w:rPr>
        <w:t xml:space="preserve">Suite donnée à la résolution non législative du Parlement européen sur les </w:t>
      </w:r>
      <w:bookmarkStart w:id="1" w:name="_Hlk138403151"/>
      <w:r>
        <w:rPr>
          <w:rFonts w:ascii="Times New Roman" w:hAnsi="Times New Roman"/>
          <w:b/>
          <w:color w:val="000000"/>
        </w:rPr>
        <w:t>technologies critiques pour la sécurité et la défense</w:t>
      </w:r>
      <w:r>
        <w:t>:</w:t>
      </w:r>
      <w:r>
        <w:rPr>
          <w:rFonts w:ascii="Times New Roman" w:hAnsi="Times New Roman"/>
          <w:b/>
          <w:color w:val="000000"/>
        </w:rPr>
        <w:t xml:space="preserve"> état des lieux et enjeux pour l’avenir</w:t>
      </w:r>
      <w:bookmarkEnd w:id="1"/>
    </w:p>
    <w:bookmarkEnd w:id="0"/>
    <w:p w14:paraId="27B1728E" w14:textId="77777777" w:rsidR="00651401" w:rsidRPr="00CB25BE" w:rsidRDefault="00651401" w:rsidP="00651401">
      <w:pPr>
        <w:ind w:left="567" w:hanging="567"/>
        <w:rPr>
          <w:rFonts w:ascii="Times New Roman" w:eastAsia="SimSun" w:hAnsi="Times New Roman"/>
          <w:szCs w:val="24"/>
        </w:rPr>
      </w:pPr>
      <w:r>
        <w:rPr>
          <w:rFonts w:ascii="Times New Roman" w:hAnsi="Times New Roman"/>
          <w:b/>
        </w:rPr>
        <w:t>1.</w:t>
      </w:r>
      <w:r>
        <w:tab/>
      </w:r>
      <w:r>
        <w:rPr>
          <w:rFonts w:ascii="Times New Roman" w:hAnsi="Times New Roman"/>
          <w:b/>
        </w:rPr>
        <w:t xml:space="preserve">Rapporteur: </w:t>
      </w:r>
      <w:r>
        <w:rPr>
          <w:rFonts w:ascii="Times New Roman" w:hAnsi="Times New Roman"/>
        </w:rPr>
        <w:t>Riho TERRAS (PPE/EE)</w:t>
      </w:r>
    </w:p>
    <w:p w14:paraId="5D8480DC" w14:textId="77777777" w:rsidR="00651401" w:rsidRPr="0024051D" w:rsidRDefault="00651401" w:rsidP="00651401">
      <w:pPr>
        <w:ind w:left="567" w:hanging="567"/>
        <w:rPr>
          <w:rFonts w:ascii="Times New Roman" w:eastAsia="SimSun" w:hAnsi="Times New Roman"/>
          <w:bCs/>
          <w:szCs w:val="24"/>
        </w:rPr>
      </w:pPr>
      <w:r>
        <w:rPr>
          <w:rFonts w:ascii="Times New Roman" w:hAnsi="Times New Roman"/>
          <w:b/>
        </w:rPr>
        <w:t>2.</w:t>
      </w:r>
      <w:r>
        <w:tab/>
      </w:r>
      <w:r>
        <w:rPr>
          <w:rFonts w:ascii="Times New Roman" w:hAnsi="Times New Roman"/>
          <w:b/>
        </w:rPr>
        <w:t xml:space="preserve">Numéros de référence: </w:t>
      </w:r>
      <w:r>
        <w:rPr>
          <w:rFonts w:ascii="Times New Roman" w:hAnsi="Times New Roman"/>
        </w:rPr>
        <w:t>2022/2079 (INI) / A9-0120/2023 / P9_TA(2023)0131</w:t>
      </w:r>
    </w:p>
    <w:p w14:paraId="3F505881" w14:textId="77777777" w:rsidR="00651401" w:rsidRPr="00B2453C" w:rsidRDefault="00651401" w:rsidP="00651401">
      <w:pPr>
        <w:ind w:left="567" w:hanging="567"/>
        <w:rPr>
          <w:rFonts w:ascii="Times New Roman" w:eastAsia="SimSun" w:hAnsi="Times New Roman"/>
          <w:szCs w:val="24"/>
        </w:rPr>
      </w:pPr>
      <w:r>
        <w:rPr>
          <w:rFonts w:ascii="Times New Roman" w:hAnsi="Times New Roman"/>
          <w:b/>
        </w:rPr>
        <w:t>3.</w:t>
      </w:r>
      <w:r>
        <w:tab/>
      </w:r>
      <w:r>
        <w:rPr>
          <w:rFonts w:ascii="Times New Roman" w:hAnsi="Times New Roman"/>
          <w:b/>
        </w:rPr>
        <w:t xml:space="preserve">Date d’adoption de la résolution: </w:t>
      </w:r>
      <w:r>
        <w:rPr>
          <w:rFonts w:ascii="Times New Roman" w:hAnsi="Times New Roman"/>
        </w:rPr>
        <w:t>9 mai 2023</w:t>
      </w:r>
    </w:p>
    <w:p w14:paraId="08602BE0" w14:textId="77777777" w:rsidR="00651401" w:rsidRPr="00B2453C" w:rsidRDefault="00651401" w:rsidP="00651401">
      <w:pPr>
        <w:autoSpaceDE w:val="0"/>
        <w:autoSpaceDN w:val="0"/>
        <w:adjustRightInd w:val="0"/>
        <w:ind w:left="567" w:hanging="567"/>
        <w:rPr>
          <w:rFonts w:ascii="Times New Roman" w:eastAsia="SimSun" w:hAnsi="Times New Roman"/>
          <w:bCs/>
          <w:szCs w:val="24"/>
        </w:rPr>
      </w:pPr>
      <w:r>
        <w:rPr>
          <w:rFonts w:ascii="Times New Roman" w:hAnsi="Times New Roman"/>
          <w:b/>
        </w:rPr>
        <w:t>4.</w:t>
      </w:r>
      <w:r>
        <w:tab/>
      </w:r>
      <w:r>
        <w:rPr>
          <w:rFonts w:ascii="Times New Roman" w:hAnsi="Times New Roman"/>
          <w:b/>
        </w:rPr>
        <w:t xml:space="preserve">Commission parlementaire compétente: </w:t>
      </w:r>
      <w:r>
        <w:rPr>
          <w:rFonts w:ascii="Times New Roman" w:hAnsi="Times New Roman"/>
        </w:rPr>
        <w:t>commission de l’industrie, de la recherche et de l’énergie (ITRE)</w:t>
      </w:r>
    </w:p>
    <w:p w14:paraId="6C7FF023" w14:textId="77777777" w:rsidR="00651401" w:rsidRPr="00B2453C" w:rsidRDefault="00651401" w:rsidP="00651401">
      <w:pPr>
        <w:spacing w:after="120"/>
        <w:ind w:left="567" w:hanging="567"/>
        <w:rPr>
          <w:rFonts w:ascii="Times New Roman" w:hAnsi="Times New Roman"/>
          <w:szCs w:val="24"/>
        </w:rPr>
      </w:pPr>
      <w:r>
        <w:rPr>
          <w:rFonts w:ascii="Times New Roman" w:hAnsi="Times New Roman"/>
          <w:b/>
        </w:rPr>
        <w:t>5.</w:t>
      </w:r>
      <w:r>
        <w:tab/>
      </w:r>
      <w:r>
        <w:rPr>
          <w:rFonts w:ascii="Times New Roman" w:hAnsi="Times New Roman"/>
          <w:b/>
          <w:bCs/>
        </w:rPr>
        <w:t>Analyse/évaluation succincte de la résolution et des demandes qu’elle contient:</w:t>
      </w:r>
      <w:r>
        <w:rPr>
          <w:rFonts w:ascii="Times New Roman" w:hAnsi="Times New Roman"/>
        </w:rPr>
        <w:t xml:space="preserve"> </w:t>
      </w:r>
    </w:p>
    <w:p w14:paraId="032C5EA9" w14:textId="77777777" w:rsidR="00651401" w:rsidRDefault="00651401" w:rsidP="00651401">
      <w:pPr>
        <w:spacing w:before="120" w:after="120"/>
        <w:ind w:left="567" w:hanging="567"/>
        <w:rPr>
          <w:rFonts w:ascii="Times New Roman" w:hAnsi="Times New Roman"/>
          <w:b/>
          <w:i/>
          <w:szCs w:val="24"/>
        </w:rPr>
      </w:pPr>
      <w:r>
        <w:rPr>
          <w:rFonts w:ascii="Times New Roman" w:hAnsi="Times New Roman"/>
          <w:b/>
          <w:i/>
        </w:rPr>
        <w:t>L’importance croissante des technologies critiques pour la sécurité et la défense</w:t>
      </w:r>
    </w:p>
    <w:p w14:paraId="58383B41" w14:textId="77777777" w:rsidR="00651401" w:rsidRPr="00DB6637" w:rsidRDefault="00651401" w:rsidP="00651401">
      <w:pPr>
        <w:spacing w:after="120"/>
        <w:rPr>
          <w:rFonts w:ascii="Times New Roman" w:hAnsi="Times New Roman"/>
          <w:szCs w:val="24"/>
        </w:rPr>
      </w:pPr>
      <w:r>
        <w:rPr>
          <w:rFonts w:ascii="Times New Roman" w:hAnsi="Times New Roman"/>
        </w:rPr>
        <w:t xml:space="preserve">Le Parlement reconnaît que les technologies numériques de pointe, le soutien structuré à l’innovation et la stabilité de l’approvisionnement en matières premières et technologies critiques sont essentiels pour le secteur européen de la défense. Le Parlement est préoccupé par le manque d’investissements dans de nouvelles technologies de rupture, malgré la reconnaissance générale du fait que la guerre menée par la Russie contre l’Ukraine a démontré à plusieurs reprises l’efficacité de ces technologies. Le Parlement souligne la nécessité d’un meilleur double usage des technologies civiles existantes et d’une fertilisation croisée entre les innovations civiles, militaires et à double usage dans le domaine des technologies critiques. </w:t>
      </w:r>
    </w:p>
    <w:p w14:paraId="00461FDC" w14:textId="77777777" w:rsidR="00651401" w:rsidRPr="002F7614" w:rsidRDefault="00651401" w:rsidP="00651401">
      <w:pPr>
        <w:spacing w:before="120" w:after="120"/>
        <w:ind w:left="567" w:hanging="567"/>
        <w:rPr>
          <w:rFonts w:ascii="Times New Roman" w:hAnsi="Times New Roman"/>
          <w:b/>
          <w:i/>
          <w:szCs w:val="24"/>
        </w:rPr>
      </w:pPr>
      <w:r>
        <w:rPr>
          <w:rFonts w:ascii="Times New Roman" w:hAnsi="Times New Roman"/>
          <w:b/>
          <w:i/>
        </w:rPr>
        <w:t>Les risques de dépendance excessive et de financement insuffisant</w:t>
      </w:r>
    </w:p>
    <w:p w14:paraId="1D40ECFA" w14:textId="77777777" w:rsidR="00651401" w:rsidRPr="00DB595A" w:rsidRDefault="00651401" w:rsidP="00651401">
      <w:pPr>
        <w:spacing w:after="120"/>
        <w:rPr>
          <w:rFonts w:ascii="Times New Roman" w:hAnsi="Times New Roman"/>
          <w:szCs w:val="24"/>
        </w:rPr>
      </w:pPr>
      <w:r>
        <w:rPr>
          <w:rFonts w:ascii="Times New Roman" w:hAnsi="Times New Roman"/>
        </w:rPr>
        <w:t>Le Parlement est préoccupé par le niveau insuffisant de financement de la défense et de la sécurité et craint que l’actuel cadre financier pluriannuel (CFP) ne soit pas en mesure de fournir des ressources suffisantes pour stimuler la collaboration de l’Union en matière de défense à un niveau approprié. Le Parlement regrette que les dépenses combinées consacrées à la recherche et à la technologie dans le domaine de la défense par les États membres en 2020 n’aient représenté que 1,2 % de leurs dépenses totales en matière de défense. Le Parlement souligne la nécessité d’accroître les investissements dans la défense «verte» en consacrant une part plus importante de la recherche et du développement financés par l’Union à des carburants et systèmes de propulsion neutres en carbone pour les utilisateurs de la défense, aux technologies de sécurité et de défense durables et aux mesures qui réduisent la dépendance des industries de sécurité et de défense de l’Union à l’égard des combustibles fossiles.</w:t>
      </w:r>
    </w:p>
    <w:p w14:paraId="5ECFF32F" w14:textId="77777777" w:rsidR="00651401" w:rsidRPr="002F7614" w:rsidRDefault="00651401" w:rsidP="00651401">
      <w:pPr>
        <w:spacing w:before="120" w:after="120"/>
        <w:ind w:left="567" w:hanging="567"/>
        <w:rPr>
          <w:rFonts w:ascii="Times New Roman" w:hAnsi="Times New Roman"/>
          <w:b/>
          <w:i/>
          <w:szCs w:val="24"/>
        </w:rPr>
      </w:pPr>
      <w:r>
        <w:rPr>
          <w:rFonts w:ascii="Times New Roman" w:hAnsi="Times New Roman"/>
          <w:b/>
          <w:i/>
        </w:rPr>
        <w:t>Les possibilités offertes par les nouveaux instruments de l’UE</w:t>
      </w:r>
    </w:p>
    <w:p w14:paraId="6AB13B6C" w14:textId="77777777" w:rsidR="00651401" w:rsidRPr="002A18BA" w:rsidRDefault="00651401" w:rsidP="00651401">
      <w:pPr>
        <w:spacing w:after="120"/>
        <w:rPr>
          <w:rFonts w:ascii="Times New Roman" w:hAnsi="Times New Roman"/>
          <w:szCs w:val="24"/>
        </w:rPr>
      </w:pPr>
      <w:r>
        <w:rPr>
          <w:rFonts w:ascii="Times New Roman" w:hAnsi="Times New Roman"/>
        </w:rPr>
        <w:t xml:space="preserve">Le Parlement soutient fermement les récentes initiatives de la Commission dans ce domaine. Le Parlement se félicite de la proposition de la Commission visant à surmonter la division actuelle entre la recherche, le développement et l’innovation en matière civile, de défense ou de sécurité et invite la Commission à mieux relier les programmes et instruments de l’Union en matière civile, de défense et de sécurité avec les parties prenantes concernées. Le Parlement se félicite de la création de l’observatoire des technologies critiques. Le Parlement salue la création du programme d’innovation de l’Union dans le domaine de la défense et se réjouit de l’utilisation de divers outils liés à la défense et aux technologies nouvelles et à double usage pour aider les jeunes entreprises et les PME innovantes à surmonter les obstacles technologiques, administratifs, financiers, réglementaires et d’entrée sur le marché. </w:t>
      </w:r>
      <w:r>
        <w:rPr>
          <w:rFonts w:ascii="Times New Roman" w:hAnsi="Times New Roman"/>
        </w:rPr>
        <w:lastRenderedPageBreak/>
        <w:t>Il invite la Commission à continuer de développer les régimes de financement existants et les solutions de remplacement pour accroître de manière significative le financement des technologies critiques pour la sécurité et la défense au titre du CFP actuel, en alignant étroitement les différents programmes de recherche et d’innovation de l’Union.</w:t>
      </w:r>
    </w:p>
    <w:p w14:paraId="2C4186E9" w14:textId="77777777" w:rsidR="00651401" w:rsidRPr="004007F7" w:rsidRDefault="00651401" w:rsidP="00651401">
      <w:pPr>
        <w:keepNext/>
        <w:spacing w:before="240" w:after="120"/>
        <w:ind w:left="567" w:hanging="567"/>
        <w:rPr>
          <w:rFonts w:ascii="Times New Roman" w:eastAsia="SimSun" w:hAnsi="Times New Roman"/>
          <w:b/>
          <w:szCs w:val="24"/>
        </w:rPr>
      </w:pPr>
      <w:r>
        <w:rPr>
          <w:rFonts w:ascii="Times New Roman" w:hAnsi="Times New Roman"/>
          <w:b/>
        </w:rPr>
        <w:t>6.</w:t>
      </w:r>
      <w:r>
        <w:tab/>
      </w:r>
      <w:r>
        <w:rPr>
          <w:rFonts w:ascii="Times New Roman" w:hAnsi="Times New Roman"/>
          <w:b/>
        </w:rPr>
        <w:t>Réponse à ces demandes et aperçu des mesures que la Commission a prises ou envisage de prendre:</w:t>
      </w:r>
    </w:p>
    <w:p w14:paraId="68E168F7" w14:textId="77777777" w:rsidR="00651401" w:rsidRDefault="00651401" w:rsidP="00651401">
      <w:pPr>
        <w:spacing w:before="120" w:after="120"/>
        <w:ind w:left="567" w:hanging="567"/>
        <w:rPr>
          <w:rFonts w:ascii="Times New Roman" w:hAnsi="Times New Roman"/>
          <w:b/>
          <w:i/>
          <w:szCs w:val="24"/>
        </w:rPr>
      </w:pPr>
      <w:r>
        <w:rPr>
          <w:rFonts w:ascii="Times New Roman" w:hAnsi="Times New Roman"/>
          <w:b/>
          <w:i/>
        </w:rPr>
        <w:t>L’importance croissante des technologies critiques pour la sécurité et la défense</w:t>
      </w:r>
    </w:p>
    <w:p w14:paraId="2A84C125" w14:textId="77777777" w:rsidR="00651401" w:rsidRDefault="00651401" w:rsidP="00651401">
      <w:pPr>
        <w:spacing w:after="120"/>
        <w:rPr>
          <w:rFonts w:ascii="Times New Roman" w:eastAsiaTheme="minorHAnsi" w:hAnsi="Times New Roman"/>
          <w:szCs w:val="24"/>
          <w:u w:val="single"/>
        </w:rPr>
      </w:pPr>
      <w:r>
        <w:rPr>
          <w:rFonts w:ascii="Times New Roman" w:hAnsi="Times New Roman"/>
          <w:u w:val="single"/>
        </w:rPr>
        <w:t>Observatoire des technologies critiques (paragraphe 6)</w:t>
      </w:r>
    </w:p>
    <w:p w14:paraId="41F2741F" w14:textId="77777777" w:rsidR="00651401" w:rsidRPr="00120903" w:rsidRDefault="00651401" w:rsidP="00651401">
      <w:pPr>
        <w:spacing w:after="120"/>
        <w:rPr>
          <w:rFonts w:ascii="Times New Roman" w:eastAsiaTheme="minorHAnsi" w:hAnsi="Times New Roman"/>
          <w:szCs w:val="24"/>
        </w:rPr>
      </w:pPr>
      <w:r>
        <w:rPr>
          <w:rFonts w:ascii="Times New Roman" w:hAnsi="Times New Roman"/>
        </w:rPr>
        <w:t>La Commission a mis en place l’observatoire des technologies critiques en 2021 dans le but de: i) recenser les technologies critiques dans l’interaction entre les industries civile, spatiale et de la défense; ii) répertorier et surveiller les risques associés aux dépendances stratégiques (technologies et leurs chaînes de valeur et acteurs associés); et iii) effectuer une veille technologique afin de recenser les technologies émergentes critiques et potentiellement disruptives ayant une incidence potentielle significative sur l’innovation dans le domaine de l’espace et de la défense ainsi que sur les intérêts stratégiques de l’UE. La Commission présentera son premier rapport classifié aux États membres au cours du second semestre de 2023. Il se concentrera sur deux cas sélectionnés: systèmes autonomes et semi-conducteurs pour la défense. D’autres technologies critiques seront sélectionnées pour analyse à l’avenir.</w:t>
      </w:r>
    </w:p>
    <w:p w14:paraId="0D5D8E46" w14:textId="77777777" w:rsidR="00651401" w:rsidRDefault="00651401" w:rsidP="00651401">
      <w:pPr>
        <w:spacing w:after="120"/>
        <w:rPr>
          <w:rFonts w:ascii="Times New Roman" w:eastAsiaTheme="minorHAnsi" w:hAnsi="Times New Roman"/>
          <w:szCs w:val="24"/>
          <w:u w:val="single"/>
        </w:rPr>
      </w:pPr>
      <w:r>
        <w:rPr>
          <w:rFonts w:ascii="Times New Roman" w:hAnsi="Times New Roman"/>
          <w:u w:val="single"/>
        </w:rPr>
        <w:t>Encourager les États membres à revoir l’ensemble de leurs programmes et outils stratégiques de défense en mettant particulièrement l’accent sur les technologies critiques (paragraphe 7)</w:t>
      </w:r>
    </w:p>
    <w:p w14:paraId="5927D212" w14:textId="77777777" w:rsidR="00651401" w:rsidRDefault="00651401" w:rsidP="00651401">
      <w:pPr>
        <w:spacing w:after="120"/>
        <w:rPr>
          <w:rFonts w:ascii="Times New Roman" w:eastAsiaTheme="minorHAnsi" w:hAnsi="Times New Roman"/>
          <w:szCs w:val="24"/>
        </w:rPr>
      </w:pPr>
      <w:r>
        <w:rPr>
          <w:rFonts w:ascii="Times New Roman" w:hAnsi="Times New Roman"/>
        </w:rPr>
        <w:t>En 2022, la Commission a créé un groupe d’experts spécialisé avec les États membres pour soutenir l’observatoire des technologies critiques. En outre, la Commission a mis en place un groupe composé d’experts industriels sur les technologies critiques, en tant que sous-groupe du groupe d’experts sur l’aérospatiale et la défense. Enfin, la Commission travaille en étroite collaboration avec l’Agence européenne de défense pour assurer l’alignement et l’intégration croisée des travaux respectifs sur les technologies critiques.</w:t>
      </w:r>
    </w:p>
    <w:p w14:paraId="67B2D0AE" w14:textId="77777777" w:rsidR="00651401" w:rsidRPr="00AB47C7" w:rsidRDefault="00651401" w:rsidP="00651401">
      <w:pPr>
        <w:spacing w:after="120"/>
        <w:rPr>
          <w:rFonts w:ascii="Times New Roman" w:eastAsiaTheme="minorHAnsi" w:hAnsi="Times New Roman"/>
          <w:szCs w:val="24"/>
          <w:u w:val="single"/>
        </w:rPr>
      </w:pPr>
      <w:r>
        <w:rPr>
          <w:rFonts w:ascii="Times New Roman" w:hAnsi="Times New Roman"/>
          <w:u w:val="single"/>
        </w:rPr>
        <w:t>Directives de l’UE sur les marchés publics en ce qui concerne les obstacles pour les jeunes entreprises et les petites entreprises (paragraphe 12)</w:t>
      </w:r>
    </w:p>
    <w:p w14:paraId="51FCA2BD" w14:textId="77777777" w:rsidR="00651401" w:rsidRPr="008F63CE" w:rsidRDefault="00651401" w:rsidP="00651401">
      <w:pPr>
        <w:autoSpaceDE w:val="0"/>
        <w:autoSpaceDN w:val="0"/>
        <w:adjustRightInd w:val="0"/>
        <w:spacing w:after="120"/>
        <w:rPr>
          <w:rFonts w:ascii="Times New Roman" w:hAnsi="Times New Roman"/>
          <w:szCs w:val="24"/>
        </w:rPr>
      </w:pPr>
      <w:r>
        <w:rPr>
          <w:rFonts w:ascii="Times New Roman" w:hAnsi="Times New Roman"/>
        </w:rPr>
        <w:t>La Commission attache une grande importance au renforcement de la participation des PME au secteur de la défense, étant donné qu’elles constituent un élément crucial des chaînes d’approvisionnement et des moteurs essentiels de l’innovation et de la croissance, capables de mener des activités essentielles de recherche, de technologie et d’innovation.</w:t>
      </w:r>
    </w:p>
    <w:p w14:paraId="63FC0C57" w14:textId="77777777" w:rsidR="00651401" w:rsidRPr="008F63CE" w:rsidRDefault="00651401" w:rsidP="00651401">
      <w:pPr>
        <w:widowControl w:val="0"/>
        <w:spacing w:after="120"/>
        <w:rPr>
          <w:rFonts w:ascii="Times New Roman" w:hAnsi="Times New Roman"/>
          <w:szCs w:val="24"/>
        </w:rPr>
      </w:pPr>
      <w:r>
        <w:rPr>
          <w:rFonts w:ascii="Times New Roman" w:hAnsi="Times New Roman"/>
        </w:rPr>
        <w:t>En 2018, la Commission a publié une recommandation sur l’accès transfrontière au marché pour les sous-traitants et les PME dans le secteur de la défense. La recommandation a été largement mise en œuvre par les États membres. La Commission, conjointement avec les États membres, examine et échange régulièrement les bonnes pratiques sur différents aspects concernant la participation des PME aux marchés publics dans le domaine de la défense dans le cadre des travaux du groupe d’experts de la Commission sur les marchés publics de défense et de sécurité. La poursuite de la participation substantielle des PME au Fonds européen de la défense (FED) et à ses programmes préparatoires témoigne des efforts déployés par la Commission à cette fin.</w:t>
      </w:r>
    </w:p>
    <w:p w14:paraId="57726415" w14:textId="77777777" w:rsidR="00651401" w:rsidRDefault="00651401" w:rsidP="00651401">
      <w:pPr>
        <w:spacing w:after="120"/>
        <w:rPr>
          <w:rFonts w:ascii="Times New Roman" w:eastAsiaTheme="minorHAnsi" w:hAnsi="Times New Roman"/>
          <w:szCs w:val="24"/>
          <w:u w:val="single"/>
        </w:rPr>
      </w:pPr>
      <w:r>
        <w:rPr>
          <w:rFonts w:ascii="Times New Roman" w:hAnsi="Times New Roman"/>
          <w:u w:val="single"/>
        </w:rPr>
        <w:t>Technologies durables dans les domaines de la défense et de la sécurité, résilience de l’industrie et «défense verte» (paragraphes 23 et 24)</w:t>
      </w:r>
    </w:p>
    <w:p w14:paraId="5A766AD8" w14:textId="77777777" w:rsidR="00651401" w:rsidRPr="00120903" w:rsidRDefault="00651401" w:rsidP="00651401">
      <w:pPr>
        <w:spacing w:after="120"/>
        <w:rPr>
          <w:rFonts w:ascii="Times New Roman" w:eastAsiaTheme="minorHAnsi" w:hAnsi="Times New Roman"/>
          <w:szCs w:val="24"/>
        </w:rPr>
      </w:pPr>
      <w:r>
        <w:rPr>
          <w:rFonts w:ascii="Times New Roman" w:hAnsi="Times New Roman"/>
        </w:rPr>
        <w:t xml:space="preserve">La Commission, en collaboration avec le haut représentant, a présenté une communication conjointe sur le changement climatique, la dégradation de l’environnement, la sécurité et la </w:t>
      </w:r>
      <w:r>
        <w:rPr>
          <w:rFonts w:ascii="Times New Roman" w:hAnsi="Times New Roman"/>
        </w:rPr>
        <w:lastRenderedPageBreak/>
        <w:t>défense en juin 2023. Elle s’appuiera sur la feuille de route de l’UE sur le changement climatique et la défense (novembre 2020) et sur le concept d’approche intégrée du changement climatique et de la sécurité (octobre 2021), tout en tenant compte de la contribution de la Commission à la défense européenne de février 2022 et de la boussole stratégique de l’UE sur la sécurité et la défense invitant les États membres à élaborer des stratégies nationales pour préparer les forces armées au changement climatique.</w:t>
      </w:r>
    </w:p>
    <w:p w14:paraId="0BEDCBEB" w14:textId="77777777" w:rsidR="00651401" w:rsidRPr="002F7614" w:rsidRDefault="00651401" w:rsidP="00651401">
      <w:pPr>
        <w:keepNext/>
        <w:keepLines/>
        <w:spacing w:before="120" w:after="120"/>
        <w:ind w:left="567" w:hanging="567"/>
        <w:rPr>
          <w:rFonts w:ascii="Times New Roman" w:hAnsi="Times New Roman"/>
          <w:b/>
          <w:i/>
          <w:szCs w:val="24"/>
        </w:rPr>
      </w:pPr>
      <w:r>
        <w:rPr>
          <w:rFonts w:ascii="Times New Roman" w:hAnsi="Times New Roman"/>
          <w:b/>
          <w:i/>
        </w:rPr>
        <w:t>Les risques de dépendance excessive et de financement insuffisant</w:t>
      </w:r>
    </w:p>
    <w:p w14:paraId="3CB4BBFB" w14:textId="77777777" w:rsidR="00651401" w:rsidRPr="00A912DB" w:rsidRDefault="00651401" w:rsidP="00651401">
      <w:pPr>
        <w:keepNext/>
        <w:keepLines/>
        <w:spacing w:after="120"/>
        <w:rPr>
          <w:rFonts w:ascii="Times New Roman" w:eastAsiaTheme="minorHAnsi" w:hAnsi="Times New Roman"/>
          <w:szCs w:val="24"/>
          <w:u w:val="single"/>
        </w:rPr>
      </w:pPr>
      <w:r>
        <w:rPr>
          <w:rFonts w:ascii="Times New Roman" w:hAnsi="Times New Roman"/>
          <w:u w:val="single"/>
        </w:rPr>
        <w:t>Promouvoir la circularité et intensifier la recherche sur les nouveaux matériaux afin de réduire au minimum la dépendance à l’égard des pays tiers (paragraphe 9)</w:t>
      </w:r>
    </w:p>
    <w:p w14:paraId="7C9C5C34" w14:textId="77777777" w:rsidR="00651401" w:rsidRDefault="00651401" w:rsidP="00651401">
      <w:pPr>
        <w:spacing w:after="120"/>
        <w:rPr>
          <w:rFonts w:ascii="Times New Roman" w:hAnsi="Times New Roman"/>
          <w:iCs/>
        </w:rPr>
      </w:pPr>
      <w:r>
        <w:rPr>
          <w:rFonts w:ascii="Times New Roman" w:hAnsi="Times New Roman"/>
        </w:rPr>
        <w:t>La Commission a cofinancé le projet du Forum d’incubation pour l’économie circulaire dans la défense européenne (IF CEED) dans le cadre du programme LIFE de l’UE. Le projet IF CEED est géré par l’Agence européenne de défense (AED) et poursuit des idées de projet fondées sur les principes de circularité dans plusieurs domaines, par exemple les matières premières critiques, la fabrication additive, les matériaux pour textiles, l’écoconception et les marchés publics écologiques ou les SCIP [Substances préoccupantes dans les articles en tant que tels ou dans des objets complexes (produits)]. Un cercle de projets spécifique porte sur les matières premières critiques pertinentes pour la défense de l’UE, telles que le titane, le tungstène et l’antimoine, notamment pour favoriser leur circularité dans différents maillons de la chaîne d’approvisionnement. En outre, la section «Défense et aérospatiale» i) était l’un des domaines prioritaires de l’étude prospective de la Commission de 2023 sur les «matières premières critiques pour les technologies et secteurs stratégiques dans l’UE» et ii) figurait en bonne place dans la législation de 2023 sur les matières premières critiques.</w:t>
      </w:r>
    </w:p>
    <w:p w14:paraId="158A36CC" w14:textId="77777777" w:rsidR="00651401" w:rsidRPr="00120903" w:rsidRDefault="00651401" w:rsidP="00651401">
      <w:pPr>
        <w:spacing w:after="120"/>
        <w:rPr>
          <w:rFonts w:ascii="Times New Roman" w:eastAsiaTheme="minorHAnsi" w:hAnsi="Times New Roman"/>
          <w:szCs w:val="24"/>
          <w:u w:val="single"/>
        </w:rPr>
      </w:pPr>
      <w:r>
        <w:rPr>
          <w:rFonts w:ascii="Times New Roman" w:hAnsi="Times New Roman"/>
          <w:u w:val="single"/>
        </w:rPr>
        <w:t>Encourager les investissements dans les technologies pour l’industrie de la défense (paragraphe 14)</w:t>
      </w:r>
    </w:p>
    <w:p w14:paraId="7264E5FB" w14:textId="77777777" w:rsidR="00651401" w:rsidRDefault="00651401" w:rsidP="00651401">
      <w:pPr>
        <w:spacing w:after="120"/>
        <w:rPr>
          <w:rFonts w:ascii="Times New Roman" w:eastAsiaTheme="minorHAnsi" w:hAnsi="Times New Roman"/>
          <w:szCs w:val="24"/>
        </w:rPr>
      </w:pPr>
      <w:r>
        <w:rPr>
          <w:rFonts w:ascii="Times New Roman" w:hAnsi="Times New Roman"/>
        </w:rPr>
        <w:t>La Commission prend de plus en plus d’initiatives ambitieuses en faveur de l’industrie de la défense, à commencer par la mise en œuvre du FED et de ses programmes précurseurs. La Commission a présenté le plan d’action sur les synergies entre les industries civile, spatiale et de la défense en février 2021, la feuille de route sur les technologies critiques pour la sécurité et la défense ainsi qu’une contribution à la défense européenne en février 2022, une analyse des déficits d’investissement dans le domaine de la défense en mai 2022, une proposition législative pour un instrument visant à renforcer l’industrie européenne de la défense au moyen d’acquisitions conjointes (EDIRPA) en juillet 2022 et une action de soutien à la production de munitions (ASAP) en mai 2023. À cet égard, la Commission apprécie les progrès accomplis jusqu’à présent dans les négociations législatives et attend avec intérêt leur adoption rapide. Les deux propositions en sont à la phase finale des négociations législatives: bien que l’accord provisoire sur l’EDIRPA ait été conclu, celui sur l’ASAP devrait aboutir avant l’été. En outre, la Commission a présenté des propositions sectorielles dont celles de nature essentiellement civile revêtent également de l’importance pour l’industrie de la défense: le règlement sur les semi-conducteurs, la législation sur les matières premières critiques, le programme de connectivité sécurisée de l’Union IRIS</w:t>
      </w:r>
      <w:r>
        <w:rPr>
          <w:rFonts w:ascii="Times New Roman" w:hAnsi="Times New Roman"/>
          <w:vertAlign w:val="superscript"/>
        </w:rPr>
        <w:t>2</w:t>
      </w:r>
      <w:r>
        <w:rPr>
          <w:rFonts w:ascii="Times New Roman" w:hAnsi="Times New Roman"/>
        </w:rPr>
        <w:t xml:space="preserve"> (infrastructure pour la résilience, l’interconnectivité et la sécurité par satellite) ou la stratégie de sûreté maritime.</w:t>
      </w:r>
    </w:p>
    <w:p w14:paraId="23D7BF07" w14:textId="784DF672" w:rsidR="00651401" w:rsidRDefault="00651401" w:rsidP="00651401">
      <w:pPr>
        <w:spacing w:after="120"/>
        <w:rPr>
          <w:rFonts w:ascii="Times New Roman" w:eastAsiaTheme="minorHAnsi" w:hAnsi="Times New Roman"/>
          <w:szCs w:val="24"/>
          <w:u w:val="single"/>
        </w:rPr>
      </w:pPr>
      <w:r>
        <w:rPr>
          <w:rFonts w:ascii="Times New Roman" w:hAnsi="Times New Roman"/>
          <w:u w:val="single"/>
        </w:rPr>
        <w:t>Mise en commun des ressources nationales en faveur de la R&amp;D</w:t>
      </w:r>
      <w:r w:rsidR="00D56D18">
        <w:rPr>
          <w:rFonts w:ascii="Times New Roman" w:hAnsi="Times New Roman"/>
          <w:u w:val="single"/>
        </w:rPr>
        <w:t xml:space="preserve"> </w:t>
      </w:r>
      <w:r>
        <w:rPr>
          <w:rFonts w:ascii="Times New Roman" w:hAnsi="Times New Roman"/>
          <w:u w:val="single"/>
        </w:rPr>
        <w:t>dans le domaine de la défense et de la sécurité (paragraphe 16)</w:t>
      </w:r>
    </w:p>
    <w:p w14:paraId="26C8384D" w14:textId="77777777" w:rsidR="00651401" w:rsidRDefault="00651401" w:rsidP="00651401">
      <w:pPr>
        <w:spacing w:after="120"/>
        <w:rPr>
          <w:rFonts w:ascii="Times New Roman" w:hAnsi="Times New Roman"/>
        </w:rPr>
      </w:pPr>
      <w:r>
        <w:rPr>
          <w:rFonts w:ascii="Times New Roman" w:hAnsi="Times New Roman"/>
        </w:rPr>
        <w:t xml:space="preserve">Après deux cycles de financement du FED, toutes les grandes entreprises de l’industrie de la défense y participent et les PME représentent déjà jusqu’à 45 % des entités participant aux projets sélectionnés. Ainsi, la base industrielle de l’UE s’étend déjà dans le domaine de la défense et elle englobe l’ensemble de la chaîne de valeur industrielle de l’UE. La Commission </w:t>
      </w:r>
      <w:r>
        <w:rPr>
          <w:rFonts w:ascii="Times New Roman" w:hAnsi="Times New Roman"/>
        </w:rPr>
        <w:lastRenderedPageBreak/>
        <w:t>entend parvenir à un juste équilibre en allouant des fonds aux initiatives phares de R&amp;D en matière de défense afin de réduire le nombre de plateformes et de systèmes actuellement en service en Europe, ainsi qu’en fournissant des fonds pour soutenir de nouvelles initiatives compétitives et collaboratives en matière de défense tout au long du cycle de la recherche et du développement. Dans les deux cas, l’objectif à plus long terme de la Commission est que les États membres acquièrent conjointement ces systèmes et investissent dans la poursuite de leurs activités de recherche et de développement. À cet égard, le FED vise à devenir un moteur de la mise en commun des ressources nationales de R&amp;D.</w:t>
      </w:r>
    </w:p>
    <w:p w14:paraId="6A24A3C2" w14:textId="77777777" w:rsidR="00651401" w:rsidRPr="001E1254" w:rsidRDefault="00651401" w:rsidP="00651401">
      <w:pPr>
        <w:spacing w:after="120"/>
        <w:rPr>
          <w:rFonts w:ascii="Times New Roman" w:eastAsiaTheme="minorHAnsi" w:hAnsi="Times New Roman"/>
          <w:szCs w:val="24"/>
        </w:rPr>
      </w:pPr>
      <w:r>
        <w:rPr>
          <w:rFonts w:ascii="Times New Roman" w:hAnsi="Times New Roman"/>
        </w:rPr>
        <w:t>En outre, les services de la Commission contribuent à plusieurs projets de coopération structurée permanente (CSP), une initiative menée par les États membres, lancée en 2017, qui offre des possibilités de renforcer la coopération en matière de défense entre les États membres (c’est-à-dire en définissant des exigences communes pour les capacités futures), y compris dans le domaine des technologies critiques. Sur les 60 projets CSP (avant l’adoption de la 5</w:t>
      </w:r>
      <w:r>
        <w:rPr>
          <w:rFonts w:ascii="Times New Roman" w:hAnsi="Times New Roman"/>
          <w:vertAlign w:val="superscript"/>
        </w:rPr>
        <w:t>e</w:t>
      </w:r>
      <w:r>
        <w:rPr>
          <w:rFonts w:ascii="Times New Roman" w:hAnsi="Times New Roman"/>
        </w:rPr>
        <w:t xml:space="preserve"> vague, qui a ajouté 11 nouveaux projets), 49 sont partiellement financés ou demandés au titre du programme européen de développement industriel dans le domaine de la défense (EDIDP), du Fonds européen de la défense (FED) ou du mécanisme pour l’interconnexion en Europe (MIE).</w:t>
      </w:r>
    </w:p>
    <w:p w14:paraId="1AAB35C0" w14:textId="77777777" w:rsidR="00651401" w:rsidRPr="002F7614" w:rsidRDefault="00651401" w:rsidP="00651401">
      <w:pPr>
        <w:widowControl w:val="0"/>
        <w:spacing w:before="120" w:after="120"/>
        <w:ind w:left="567" w:hanging="567"/>
        <w:rPr>
          <w:rFonts w:ascii="Times New Roman" w:hAnsi="Times New Roman"/>
          <w:b/>
          <w:i/>
          <w:szCs w:val="24"/>
        </w:rPr>
      </w:pPr>
      <w:r>
        <w:rPr>
          <w:rFonts w:ascii="Times New Roman" w:hAnsi="Times New Roman"/>
          <w:b/>
          <w:i/>
        </w:rPr>
        <w:t>Les possibilités offertes par les nouveaux instruments de l’UE</w:t>
      </w:r>
    </w:p>
    <w:p w14:paraId="3539CC49" w14:textId="77777777" w:rsidR="00651401" w:rsidRDefault="00651401" w:rsidP="00651401">
      <w:pPr>
        <w:widowControl w:val="0"/>
        <w:spacing w:after="120"/>
        <w:rPr>
          <w:rFonts w:ascii="Times New Roman" w:eastAsiaTheme="minorHAnsi" w:hAnsi="Times New Roman"/>
          <w:szCs w:val="24"/>
          <w:u w:val="single"/>
        </w:rPr>
      </w:pPr>
      <w:r>
        <w:rPr>
          <w:rFonts w:ascii="Times New Roman" w:hAnsi="Times New Roman"/>
          <w:u w:val="single"/>
        </w:rPr>
        <w:t>Améliorer les liens entre les programmes et instruments de l’UE en matière civile, de défense et de sécurité (paragraphe 3)</w:t>
      </w:r>
    </w:p>
    <w:p w14:paraId="055ED594" w14:textId="5D9A66C5" w:rsidR="00651401" w:rsidRPr="006A2992" w:rsidRDefault="00651401" w:rsidP="00651401">
      <w:pPr>
        <w:widowControl w:val="0"/>
        <w:spacing w:after="120"/>
        <w:rPr>
          <w:rFonts w:ascii="Times New Roman" w:eastAsiaTheme="minorHAnsi" w:hAnsi="Times New Roman"/>
          <w:szCs w:val="24"/>
        </w:rPr>
      </w:pPr>
      <w:r>
        <w:rPr>
          <w:rFonts w:ascii="Times New Roman" w:hAnsi="Times New Roman"/>
        </w:rPr>
        <w:t>La Commission a procédé à une analyse détaillée des possibilités et des contraintes découlant des synergies entre les programmes et instruments existants de l’UE. Une synthèse de cette analyse a été présentée en novembre 2022 avec le rapport sur l’état d’avancement du plan d’action sur les synergies entre les industries civile, spatiale et de la défense. En outre, la Commission a pris des mesures spécifiques en proposant l’utilisation d’une combinaison d’instruments de financement de l’UE pour IRIS</w:t>
      </w:r>
      <w:r>
        <w:rPr>
          <w:rFonts w:ascii="Times New Roman" w:hAnsi="Times New Roman"/>
          <w:vertAlign w:val="superscript"/>
        </w:rPr>
        <w:t>2</w:t>
      </w:r>
      <w:r>
        <w:rPr>
          <w:rFonts w:ascii="Times New Roman" w:hAnsi="Times New Roman"/>
        </w:rPr>
        <w:t xml:space="preserve"> et ASAP. Enfin, la Commission travaille actuellement activement avec la Banque européenne d’investissement afin de recenser les domaines dans lesquels un soutien conjoint aux innovations et aux infrastructures à double usage pourrait être apporté. La proposition STEP (Strategic Technologies for Europe Platform </w:t>
      </w:r>
      <w:r w:rsidR="009019C5">
        <w:rPr>
          <w:rFonts w:ascii="Times New Roman" w:hAnsi="Times New Roman"/>
        </w:rPr>
        <w:t>—</w:t>
      </w:r>
      <w:r>
        <w:rPr>
          <w:rFonts w:ascii="Times New Roman" w:hAnsi="Times New Roman"/>
        </w:rPr>
        <w:t xml:space="preserve"> plateforme «Technologies stratégiques pour l</w:t>
      </w:r>
      <w:r w:rsidR="009019C5">
        <w:rPr>
          <w:rFonts w:ascii="Times New Roman" w:hAnsi="Times New Roman"/>
        </w:rPr>
        <w:t>’</w:t>
      </w:r>
      <w:r>
        <w:rPr>
          <w:rFonts w:ascii="Times New Roman" w:hAnsi="Times New Roman"/>
        </w:rPr>
        <w:t>Europe») de juin 2023 envisage une approche plus stratégique des technologies critiques dans un certain nombre d’instruments de financement existants, y compris le FED en ce qui concerne les technologies numériques et profondes, en créant des mécanismes de financement complémentaire au titre de différents programmes dans le cadre du système des «labels de souveraineté» (par exemple, l’interaction de programmes gérés directement, tels que le FED, avec des programmes en gestion indirecte ou partagée tels que la facilité pour la reprise et la résilience ou les fonds de cohésion).</w:t>
      </w:r>
    </w:p>
    <w:p w14:paraId="22344611" w14:textId="77777777" w:rsidR="00651401" w:rsidRPr="00A912DB" w:rsidRDefault="00651401" w:rsidP="00651401">
      <w:pPr>
        <w:spacing w:after="120"/>
        <w:rPr>
          <w:rFonts w:ascii="Times New Roman" w:eastAsiaTheme="minorHAnsi" w:hAnsi="Times New Roman"/>
          <w:szCs w:val="24"/>
          <w:u w:val="single"/>
        </w:rPr>
      </w:pPr>
      <w:r>
        <w:rPr>
          <w:rFonts w:ascii="Times New Roman" w:hAnsi="Times New Roman"/>
          <w:u w:val="single"/>
        </w:rPr>
        <w:t>Programme de l’UE pour l’innovation dans le domaine de la défense (paragraphe 11)</w:t>
      </w:r>
    </w:p>
    <w:p w14:paraId="4A70AF99" w14:textId="77777777" w:rsidR="00651401" w:rsidRPr="008B0756" w:rsidRDefault="00651401" w:rsidP="00651401">
      <w:pPr>
        <w:spacing w:after="120"/>
        <w:rPr>
          <w:rFonts w:ascii="Times New Roman" w:eastAsiaTheme="minorHAnsi" w:hAnsi="Times New Roman"/>
          <w:szCs w:val="24"/>
        </w:rPr>
      </w:pPr>
      <w:r>
        <w:rPr>
          <w:rFonts w:ascii="Times New Roman" w:hAnsi="Times New Roman"/>
        </w:rPr>
        <w:t xml:space="preserve">La Commission a annoncé le programme de l’UE pour l’innovation dans le domaine de la défense (EUDIS) au printemps 2022 et s’est engagée à consacrer environ 1,5 milliard d’euros au titre du Fonds européen de la défense au cours de l’actuel CFP. En 2023, la Commission a mis en place un ensemble adapté de mesures de soutien à l’innovation axées sur les PME, y compris les jeunes entreprises. Ces mesures sont intégrées dans le programme de travail 2023 du FED sous la forme d’appels et d’actions de soutien. Les mesures d’EUDIS comprennent une approche différente en ce qui concerne l’organisation d’appels en matière de R&amp;D (sous la forme de défis technologiques, d’appels assortis d’un soutien financier à des tiers, d’appels par essaimage pour exploiter le double potentiel des résultats générés par les programmes de R&amp;D de l’UE financés par des fonds civils, d’appels ouverts en matière de R&amp;D pour les PME et de technologies de rupture) et d’actions de soutien sous la forme d’un </w:t>
      </w:r>
      <w:r>
        <w:rPr>
          <w:rFonts w:ascii="Times New Roman" w:hAnsi="Times New Roman"/>
        </w:rPr>
        <w:lastRenderedPageBreak/>
        <w:t>accompagnement des PME, de l’organisation de hackathons dans le domaine de la défense, ainsi qu’en permettant aux PME et aux entreprises à moyenne capitalisation actives dans le domaine de la défense d’accéder à des financements par fonds propres par l’intermédiaire du Fonds européen d’investissement.</w:t>
      </w:r>
    </w:p>
    <w:p w14:paraId="600D6DFA" w14:textId="77777777" w:rsidR="00651401" w:rsidRPr="008B0756" w:rsidRDefault="00651401" w:rsidP="00651401">
      <w:pPr>
        <w:spacing w:after="120"/>
        <w:rPr>
          <w:rFonts w:ascii="Times New Roman" w:eastAsiaTheme="minorHAnsi" w:hAnsi="Times New Roman"/>
          <w:szCs w:val="24"/>
        </w:rPr>
      </w:pPr>
      <w:r>
        <w:rPr>
          <w:rFonts w:ascii="Times New Roman" w:hAnsi="Times New Roman"/>
        </w:rPr>
        <w:t>Des services supplémentaires de soutien à l’innovation pour les PME peuvent être mis en place avant 2027. Cette approche sur mesure, axée sur les petits acteurs du marché, vise à renforcer l’écosystème d’innovation en matière de défense dans l’ensemble de l’UE et à contribuer au développement des capacités militaires des États membres de l’UE et de la Norvège. EUDIS représente environ 20 % du budget annuel du FED. Pour 2023, le budget total s’élève à 224 millions d’euros.</w:t>
      </w:r>
    </w:p>
    <w:p w14:paraId="7E40F126" w14:textId="77777777" w:rsidR="00651401" w:rsidRPr="00A912DB" w:rsidRDefault="00651401" w:rsidP="00651401">
      <w:pPr>
        <w:spacing w:after="120"/>
        <w:rPr>
          <w:rFonts w:ascii="Times New Roman" w:eastAsiaTheme="minorHAnsi" w:hAnsi="Times New Roman"/>
          <w:szCs w:val="24"/>
          <w:u w:val="single"/>
        </w:rPr>
      </w:pPr>
      <w:r>
        <w:rPr>
          <w:rFonts w:ascii="Times New Roman" w:hAnsi="Times New Roman"/>
          <w:u w:val="single"/>
        </w:rPr>
        <w:t>Définition du niveau de maturité technologique (NMT) approprié (paragraphe 17)</w:t>
      </w:r>
    </w:p>
    <w:p w14:paraId="1C703D23" w14:textId="77777777" w:rsidR="00651401" w:rsidRDefault="00651401" w:rsidP="00651401">
      <w:pPr>
        <w:spacing w:after="120"/>
        <w:rPr>
          <w:rFonts w:ascii="Times New Roman" w:eastAsiaTheme="minorHAnsi" w:hAnsi="Times New Roman"/>
          <w:szCs w:val="24"/>
        </w:rPr>
      </w:pPr>
      <w:r>
        <w:rPr>
          <w:rFonts w:ascii="Times New Roman" w:hAnsi="Times New Roman"/>
        </w:rPr>
        <w:t>La Commission estime que, pour le meilleur degré possible d’interopérabilité et l’acquisition commune ultérieure d’équipements de défense par les États membres, le NMT devrait être d’au moins 8, ce qui correspond à une étape de développement de la technologie de défense critique et de rupture dans laquelle elle est considérée comme presque achevée et prête à être déployée sur le champ de bataille.</w:t>
      </w:r>
    </w:p>
    <w:p w14:paraId="18E624C9" w14:textId="77777777" w:rsidR="00651401" w:rsidRPr="00A912DB" w:rsidRDefault="00651401" w:rsidP="00651401">
      <w:pPr>
        <w:spacing w:after="120"/>
        <w:rPr>
          <w:rFonts w:ascii="Times New Roman" w:eastAsiaTheme="minorHAnsi" w:hAnsi="Times New Roman"/>
          <w:szCs w:val="24"/>
          <w:u w:val="single"/>
        </w:rPr>
      </w:pPr>
      <w:r>
        <w:rPr>
          <w:rFonts w:ascii="Times New Roman" w:hAnsi="Times New Roman"/>
          <w:u w:val="single"/>
        </w:rPr>
        <w:t>«Modèles à hélice multiple» pour l’innovation (paragraphe 19)</w:t>
      </w:r>
    </w:p>
    <w:p w14:paraId="501DE7EB" w14:textId="77777777" w:rsidR="00651401" w:rsidRPr="002D005B" w:rsidRDefault="00651401" w:rsidP="00651401">
      <w:pPr>
        <w:autoSpaceDE w:val="0"/>
        <w:autoSpaceDN w:val="0"/>
        <w:spacing w:after="120"/>
        <w:rPr>
          <w:rFonts w:ascii="Calibri" w:hAnsi="Calibri" w:cs="Calibri"/>
          <w:sz w:val="22"/>
          <w:szCs w:val="22"/>
        </w:rPr>
      </w:pPr>
      <w:r>
        <w:rPr>
          <w:rFonts w:ascii="Times New Roman" w:hAnsi="Times New Roman"/>
        </w:rPr>
        <w:t>Les modèles à hélice multiple pour l’innovation sont des modèles cadres qui mettent l’accent sur la collaboration et l’intégration entre les différentes parties prenantes dans le processus d’innovation. Le modèle de la triple hélice est bien connu et bien établi et est, par exemple, utilisé par le ministère néerlandais de la défense. Il associe principalement le monde universitaire, l’industrie et l’utilisateur final. La Commission envisage de déployer le modèle à hélice multiple dans le cadre d’EUDIS tout en élargissant le concept en y ajoutant des volets supplémentaires, tels que d’autres secteurs industriels ou la société civile.</w:t>
      </w:r>
    </w:p>
    <w:p w14:paraId="2657055A" w14:textId="77777777" w:rsidR="00651401" w:rsidRDefault="00651401" w:rsidP="00651401">
      <w:pPr>
        <w:spacing w:after="120"/>
        <w:rPr>
          <w:rFonts w:ascii="Times New Roman" w:eastAsiaTheme="minorHAnsi" w:hAnsi="Times New Roman"/>
          <w:szCs w:val="24"/>
          <w:u w:val="single"/>
        </w:rPr>
      </w:pPr>
      <w:r>
        <w:rPr>
          <w:rFonts w:ascii="Times New Roman" w:hAnsi="Times New Roman"/>
          <w:u w:val="single"/>
        </w:rPr>
        <w:t>Poursuivre le développement des régimes de financement existants et des solutions de remplacement pour accroître le financement des technologies critiques dans le cadre du CFP actuel (paragraphe 20)</w:t>
      </w:r>
    </w:p>
    <w:p w14:paraId="73752582" w14:textId="77777777" w:rsidR="00651401" w:rsidRPr="006A2992" w:rsidRDefault="00651401" w:rsidP="00651401">
      <w:pPr>
        <w:spacing w:after="120"/>
        <w:rPr>
          <w:rFonts w:ascii="Times New Roman" w:eastAsiaTheme="minorHAnsi" w:hAnsi="Times New Roman"/>
          <w:szCs w:val="24"/>
        </w:rPr>
      </w:pPr>
      <w:r>
        <w:rPr>
          <w:rFonts w:ascii="Times New Roman" w:hAnsi="Times New Roman"/>
        </w:rPr>
        <w:t>La Commission s’efforce en permanence de maximiser les avantages des régimes de financement existants. Parmi les exemples concrets, citons la mise en place d’EUDIS dans le cadre du FED, avec un financement de près de 2 milliards d’euros pendant la durée du CFP actuel, dont 1,46 milliard d’euros provenant du FED, 90 millions d’euros de cofinancement par les États membres et 400 à 500 millions d’euros de levier provenant du programme InvestEU et du Fonds européen d’investissement (FEI). On peut également citer les travaux en cours avec la Banque européenne d’investissement visant à recenser les possibilités de financement conjoint. En outre, avec l’EDIRPA, la Commission a proposé des procédures de financement simplifiées (grâce à une utilisation innovante de financements non liés aux coûts) afin d’encourager la coopération des États membres en matière de marchés publics en matière de défense. Dans sa communication sur la stratégie de sécurité économique de juin 2023, la Commission s’est engagée à étudier les possibilités de garantir un soutien ciblé adéquat à la R&amp;D des technologies à double usage. Enfin, la Commission a proposé d’accroître le soutien aux actions liées aux technologies profondes et numériques pour la défense et le secteur aérospatial dans sa proposition de révision à mi-parcours du CFP de juin 2023; la présente proposition renforce le financement du FED de 1,5 milliard d’euros sur la période restante du CFP, en lien avec les dispositions de la plateforme STEP couvrant les technologies critiques.</w:t>
      </w:r>
    </w:p>
    <w:sectPr w:rsidR="00651401" w:rsidRPr="006A2992">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27CBA" w14:textId="77777777" w:rsidR="003969EA" w:rsidRDefault="003969EA">
      <w:pPr>
        <w:spacing w:after="0"/>
      </w:pPr>
      <w:r>
        <w:separator/>
      </w:r>
    </w:p>
  </w:endnote>
  <w:endnote w:type="continuationSeparator" w:id="0">
    <w:p w14:paraId="7B21BA49" w14:textId="77777777" w:rsidR="003969EA" w:rsidRDefault="003969E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8014772"/>
      <w:docPartObj>
        <w:docPartGallery w:val="Page Numbers (Bottom of Page)"/>
        <w:docPartUnique/>
      </w:docPartObj>
    </w:sdtPr>
    <w:sdtEndPr>
      <w:rPr>
        <w:noProof/>
      </w:rPr>
    </w:sdtEndPr>
    <w:sdtContent>
      <w:p w14:paraId="2F72287C" w14:textId="4DA9147E" w:rsidR="00DA3A7D" w:rsidRDefault="00DA3A7D">
        <w:pPr>
          <w:pStyle w:val="Footer"/>
          <w:jc w:val="center"/>
        </w:pPr>
        <w:r>
          <w:fldChar w:fldCharType="begin"/>
        </w:r>
        <w:r>
          <w:instrText xml:space="preserve"> PAGE   \* MERGEFORMAT </w:instrText>
        </w:r>
        <w:r>
          <w:fldChar w:fldCharType="separate"/>
        </w:r>
        <w:r w:rsidR="00D56D18">
          <w:rPr>
            <w:noProof/>
          </w:rPr>
          <w:t>5</w:t>
        </w:r>
        <w:r>
          <w:fldChar w:fldCharType="end"/>
        </w:r>
      </w:p>
    </w:sdtContent>
  </w:sdt>
  <w:p w14:paraId="5A2A4BDF" w14:textId="77777777" w:rsidR="001E2BE5" w:rsidRPr="00110CA5" w:rsidRDefault="00D217A8">
    <w:pPr>
      <w:pStyle w:val="Footer"/>
      <w:rPr>
        <w:rFonts w:ascii="Times New Roman" w:hAnsi="Times New Roman"/>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F3176" w14:textId="77777777" w:rsidR="003969EA" w:rsidRDefault="003969EA">
      <w:pPr>
        <w:spacing w:after="0"/>
      </w:pPr>
      <w:r>
        <w:separator/>
      </w:r>
    </w:p>
  </w:footnote>
  <w:footnote w:type="continuationSeparator" w:id="0">
    <w:p w14:paraId="736671EC" w14:textId="77777777" w:rsidR="003969EA" w:rsidRDefault="003969EA">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6722C9"/>
    <w:rsid w:val="00004F7C"/>
    <w:rsid w:val="0001086C"/>
    <w:rsid w:val="0001589A"/>
    <w:rsid w:val="00016F60"/>
    <w:rsid w:val="000203B2"/>
    <w:rsid w:val="000313F2"/>
    <w:rsid w:val="00033502"/>
    <w:rsid w:val="00045CB8"/>
    <w:rsid w:val="000572C9"/>
    <w:rsid w:val="000A033E"/>
    <w:rsid w:val="000A0EC3"/>
    <w:rsid w:val="000A183A"/>
    <w:rsid w:val="000B3D2C"/>
    <w:rsid w:val="000B4C6F"/>
    <w:rsid w:val="000C423F"/>
    <w:rsid w:val="000C4A6A"/>
    <w:rsid w:val="000D2ADC"/>
    <w:rsid w:val="000D3478"/>
    <w:rsid w:val="000D6E04"/>
    <w:rsid w:val="000E26D6"/>
    <w:rsid w:val="000E4D94"/>
    <w:rsid w:val="000E56F7"/>
    <w:rsid w:val="000E6676"/>
    <w:rsid w:val="000F2664"/>
    <w:rsid w:val="001143EC"/>
    <w:rsid w:val="00120903"/>
    <w:rsid w:val="00120D95"/>
    <w:rsid w:val="00123598"/>
    <w:rsid w:val="00124F15"/>
    <w:rsid w:val="001317B7"/>
    <w:rsid w:val="0013547E"/>
    <w:rsid w:val="00162458"/>
    <w:rsid w:val="00174331"/>
    <w:rsid w:val="001779F3"/>
    <w:rsid w:val="00183ACD"/>
    <w:rsid w:val="001924ED"/>
    <w:rsid w:val="00195F5D"/>
    <w:rsid w:val="001A7459"/>
    <w:rsid w:val="001B0B40"/>
    <w:rsid w:val="001B2779"/>
    <w:rsid w:val="001B65B7"/>
    <w:rsid w:val="001E1254"/>
    <w:rsid w:val="001E6FC6"/>
    <w:rsid w:val="001F25A4"/>
    <w:rsid w:val="001F31B8"/>
    <w:rsid w:val="00204C80"/>
    <w:rsid w:val="002070D3"/>
    <w:rsid w:val="00210201"/>
    <w:rsid w:val="00215E59"/>
    <w:rsid w:val="002170E3"/>
    <w:rsid w:val="002230B7"/>
    <w:rsid w:val="0024447B"/>
    <w:rsid w:val="00261C5F"/>
    <w:rsid w:val="0026204E"/>
    <w:rsid w:val="00267139"/>
    <w:rsid w:val="0027352C"/>
    <w:rsid w:val="002902A8"/>
    <w:rsid w:val="002A18BA"/>
    <w:rsid w:val="002B2088"/>
    <w:rsid w:val="002C05AA"/>
    <w:rsid w:val="002C14DB"/>
    <w:rsid w:val="002C1FCD"/>
    <w:rsid w:val="002D005B"/>
    <w:rsid w:val="002D5578"/>
    <w:rsid w:val="002D5F57"/>
    <w:rsid w:val="002E2778"/>
    <w:rsid w:val="002E3AA3"/>
    <w:rsid w:val="002F0C4A"/>
    <w:rsid w:val="002F10AF"/>
    <w:rsid w:val="002F7614"/>
    <w:rsid w:val="003007FB"/>
    <w:rsid w:val="00310435"/>
    <w:rsid w:val="00314B85"/>
    <w:rsid w:val="00332167"/>
    <w:rsid w:val="00344C8C"/>
    <w:rsid w:val="00347673"/>
    <w:rsid w:val="0035398B"/>
    <w:rsid w:val="00360DA5"/>
    <w:rsid w:val="00375E3D"/>
    <w:rsid w:val="00391537"/>
    <w:rsid w:val="003922A2"/>
    <w:rsid w:val="003969EA"/>
    <w:rsid w:val="003A24D0"/>
    <w:rsid w:val="003B2CA6"/>
    <w:rsid w:val="003B3649"/>
    <w:rsid w:val="003B4BEE"/>
    <w:rsid w:val="003C1FC9"/>
    <w:rsid w:val="003E07CB"/>
    <w:rsid w:val="003E512E"/>
    <w:rsid w:val="004007F7"/>
    <w:rsid w:val="0040144F"/>
    <w:rsid w:val="00401DD0"/>
    <w:rsid w:val="00406EAE"/>
    <w:rsid w:val="00407F7D"/>
    <w:rsid w:val="00407FB2"/>
    <w:rsid w:val="004306C3"/>
    <w:rsid w:val="00433D54"/>
    <w:rsid w:val="004556A1"/>
    <w:rsid w:val="00460141"/>
    <w:rsid w:val="00471070"/>
    <w:rsid w:val="00471967"/>
    <w:rsid w:val="00493176"/>
    <w:rsid w:val="00494E97"/>
    <w:rsid w:val="004A0AD7"/>
    <w:rsid w:val="004C6B72"/>
    <w:rsid w:val="004D4F94"/>
    <w:rsid w:val="004D79B7"/>
    <w:rsid w:val="004E22AC"/>
    <w:rsid w:val="004E61BA"/>
    <w:rsid w:val="004F1D70"/>
    <w:rsid w:val="004F6FC4"/>
    <w:rsid w:val="00500814"/>
    <w:rsid w:val="005038C9"/>
    <w:rsid w:val="00517976"/>
    <w:rsid w:val="00543C93"/>
    <w:rsid w:val="005457FB"/>
    <w:rsid w:val="0054582D"/>
    <w:rsid w:val="0054620A"/>
    <w:rsid w:val="005530D1"/>
    <w:rsid w:val="00567417"/>
    <w:rsid w:val="0057330F"/>
    <w:rsid w:val="005777E6"/>
    <w:rsid w:val="00590201"/>
    <w:rsid w:val="005926EC"/>
    <w:rsid w:val="005A7ADB"/>
    <w:rsid w:val="005B5E96"/>
    <w:rsid w:val="005B6CC4"/>
    <w:rsid w:val="005C5308"/>
    <w:rsid w:val="005D2DA4"/>
    <w:rsid w:val="005E1B6C"/>
    <w:rsid w:val="006117A1"/>
    <w:rsid w:val="00615C6B"/>
    <w:rsid w:val="006223B2"/>
    <w:rsid w:val="00632B2B"/>
    <w:rsid w:val="0063314C"/>
    <w:rsid w:val="006376C1"/>
    <w:rsid w:val="006427AB"/>
    <w:rsid w:val="00651401"/>
    <w:rsid w:val="00655A55"/>
    <w:rsid w:val="00660E3C"/>
    <w:rsid w:val="006650E8"/>
    <w:rsid w:val="006722C9"/>
    <w:rsid w:val="00675767"/>
    <w:rsid w:val="00680A81"/>
    <w:rsid w:val="00682929"/>
    <w:rsid w:val="00683E13"/>
    <w:rsid w:val="00690D3E"/>
    <w:rsid w:val="00694BE1"/>
    <w:rsid w:val="00696E13"/>
    <w:rsid w:val="006A1937"/>
    <w:rsid w:val="006A2992"/>
    <w:rsid w:val="006B3B2A"/>
    <w:rsid w:val="006B7CAB"/>
    <w:rsid w:val="006C203E"/>
    <w:rsid w:val="006C25FA"/>
    <w:rsid w:val="006C754D"/>
    <w:rsid w:val="006D58B5"/>
    <w:rsid w:val="007001C2"/>
    <w:rsid w:val="00713926"/>
    <w:rsid w:val="00716D1D"/>
    <w:rsid w:val="00726060"/>
    <w:rsid w:val="00730535"/>
    <w:rsid w:val="00733575"/>
    <w:rsid w:val="00733AEB"/>
    <w:rsid w:val="00734BAD"/>
    <w:rsid w:val="0073571B"/>
    <w:rsid w:val="00750FAE"/>
    <w:rsid w:val="00763A34"/>
    <w:rsid w:val="0077608E"/>
    <w:rsid w:val="007842E8"/>
    <w:rsid w:val="00787B2E"/>
    <w:rsid w:val="00796C23"/>
    <w:rsid w:val="007B2C2D"/>
    <w:rsid w:val="007B49D0"/>
    <w:rsid w:val="007C3C2A"/>
    <w:rsid w:val="007C47FF"/>
    <w:rsid w:val="007C5EC9"/>
    <w:rsid w:val="007D0084"/>
    <w:rsid w:val="007E4E01"/>
    <w:rsid w:val="007F3827"/>
    <w:rsid w:val="00803C9E"/>
    <w:rsid w:val="00810A3B"/>
    <w:rsid w:val="008239B1"/>
    <w:rsid w:val="0082589D"/>
    <w:rsid w:val="00825C22"/>
    <w:rsid w:val="00826A84"/>
    <w:rsid w:val="00833A61"/>
    <w:rsid w:val="008514E0"/>
    <w:rsid w:val="00853737"/>
    <w:rsid w:val="00856003"/>
    <w:rsid w:val="00862BDB"/>
    <w:rsid w:val="00864363"/>
    <w:rsid w:val="0088706F"/>
    <w:rsid w:val="008877B5"/>
    <w:rsid w:val="00892BE6"/>
    <w:rsid w:val="00894453"/>
    <w:rsid w:val="008A0A6A"/>
    <w:rsid w:val="008A6AB0"/>
    <w:rsid w:val="008B0756"/>
    <w:rsid w:val="008B56AA"/>
    <w:rsid w:val="008C6E30"/>
    <w:rsid w:val="008D4DF2"/>
    <w:rsid w:val="008F53EC"/>
    <w:rsid w:val="009019C5"/>
    <w:rsid w:val="009138A5"/>
    <w:rsid w:val="009149A9"/>
    <w:rsid w:val="00916808"/>
    <w:rsid w:val="009223BA"/>
    <w:rsid w:val="00935197"/>
    <w:rsid w:val="00946051"/>
    <w:rsid w:val="00947219"/>
    <w:rsid w:val="00953944"/>
    <w:rsid w:val="00985BA8"/>
    <w:rsid w:val="009922F6"/>
    <w:rsid w:val="00992569"/>
    <w:rsid w:val="009A793F"/>
    <w:rsid w:val="009B2A96"/>
    <w:rsid w:val="009C70B8"/>
    <w:rsid w:val="009D3861"/>
    <w:rsid w:val="009D6ED1"/>
    <w:rsid w:val="009E1DBE"/>
    <w:rsid w:val="009E2316"/>
    <w:rsid w:val="009F339E"/>
    <w:rsid w:val="00A0156E"/>
    <w:rsid w:val="00A0498A"/>
    <w:rsid w:val="00A0506E"/>
    <w:rsid w:val="00A119B7"/>
    <w:rsid w:val="00A12398"/>
    <w:rsid w:val="00A12766"/>
    <w:rsid w:val="00A22C2B"/>
    <w:rsid w:val="00A2433B"/>
    <w:rsid w:val="00A270CE"/>
    <w:rsid w:val="00A31972"/>
    <w:rsid w:val="00A3229F"/>
    <w:rsid w:val="00A36871"/>
    <w:rsid w:val="00A373AB"/>
    <w:rsid w:val="00A421B0"/>
    <w:rsid w:val="00A4288B"/>
    <w:rsid w:val="00A4545C"/>
    <w:rsid w:val="00A61CEF"/>
    <w:rsid w:val="00A624D2"/>
    <w:rsid w:val="00A62BCB"/>
    <w:rsid w:val="00A62EEF"/>
    <w:rsid w:val="00A66F4E"/>
    <w:rsid w:val="00A81CA8"/>
    <w:rsid w:val="00A86852"/>
    <w:rsid w:val="00A86F5E"/>
    <w:rsid w:val="00A912DB"/>
    <w:rsid w:val="00AA1379"/>
    <w:rsid w:val="00AB0065"/>
    <w:rsid w:val="00AB35CA"/>
    <w:rsid w:val="00AB47C7"/>
    <w:rsid w:val="00AC75E2"/>
    <w:rsid w:val="00AD11DD"/>
    <w:rsid w:val="00AD352F"/>
    <w:rsid w:val="00AE2FE9"/>
    <w:rsid w:val="00AE3233"/>
    <w:rsid w:val="00AE379A"/>
    <w:rsid w:val="00AE79E5"/>
    <w:rsid w:val="00AF1DA1"/>
    <w:rsid w:val="00AF2199"/>
    <w:rsid w:val="00AF35A1"/>
    <w:rsid w:val="00AF6712"/>
    <w:rsid w:val="00B00E98"/>
    <w:rsid w:val="00B069C8"/>
    <w:rsid w:val="00B114D6"/>
    <w:rsid w:val="00B33D50"/>
    <w:rsid w:val="00B36234"/>
    <w:rsid w:val="00B410DA"/>
    <w:rsid w:val="00B436B3"/>
    <w:rsid w:val="00B477CB"/>
    <w:rsid w:val="00B55444"/>
    <w:rsid w:val="00B7226A"/>
    <w:rsid w:val="00B74F42"/>
    <w:rsid w:val="00B81AD5"/>
    <w:rsid w:val="00B870BD"/>
    <w:rsid w:val="00BD125E"/>
    <w:rsid w:val="00BE1D56"/>
    <w:rsid w:val="00BE4EE6"/>
    <w:rsid w:val="00BE6B64"/>
    <w:rsid w:val="00BF277C"/>
    <w:rsid w:val="00C01BBD"/>
    <w:rsid w:val="00C02932"/>
    <w:rsid w:val="00C078A9"/>
    <w:rsid w:val="00C07F7E"/>
    <w:rsid w:val="00C51CF6"/>
    <w:rsid w:val="00C5645A"/>
    <w:rsid w:val="00C86150"/>
    <w:rsid w:val="00C92005"/>
    <w:rsid w:val="00CA6E77"/>
    <w:rsid w:val="00CB248C"/>
    <w:rsid w:val="00CB25BE"/>
    <w:rsid w:val="00CB7CE6"/>
    <w:rsid w:val="00CC2376"/>
    <w:rsid w:val="00CD778E"/>
    <w:rsid w:val="00CE103C"/>
    <w:rsid w:val="00CF0792"/>
    <w:rsid w:val="00CF43E5"/>
    <w:rsid w:val="00CF78E9"/>
    <w:rsid w:val="00D07664"/>
    <w:rsid w:val="00D07E4E"/>
    <w:rsid w:val="00D10BD4"/>
    <w:rsid w:val="00D21314"/>
    <w:rsid w:val="00D217A8"/>
    <w:rsid w:val="00D21F10"/>
    <w:rsid w:val="00D2662F"/>
    <w:rsid w:val="00D37BC4"/>
    <w:rsid w:val="00D40596"/>
    <w:rsid w:val="00D435DF"/>
    <w:rsid w:val="00D56D18"/>
    <w:rsid w:val="00D576DB"/>
    <w:rsid w:val="00D67B0F"/>
    <w:rsid w:val="00D756D8"/>
    <w:rsid w:val="00D82F29"/>
    <w:rsid w:val="00D8372B"/>
    <w:rsid w:val="00D91CED"/>
    <w:rsid w:val="00D930F8"/>
    <w:rsid w:val="00DA01D7"/>
    <w:rsid w:val="00DA3A7D"/>
    <w:rsid w:val="00DA6D91"/>
    <w:rsid w:val="00DB0152"/>
    <w:rsid w:val="00DB595A"/>
    <w:rsid w:val="00DB6637"/>
    <w:rsid w:val="00DC0231"/>
    <w:rsid w:val="00DC22FD"/>
    <w:rsid w:val="00DE071F"/>
    <w:rsid w:val="00DE3733"/>
    <w:rsid w:val="00DF0A10"/>
    <w:rsid w:val="00E05C04"/>
    <w:rsid w:val="00E14A75"/>
    <w:rsid w:val="00E24A08"/>
    <w:rsid w:val="00E2667E"/>
    <w:rsid w:val="00E32FC4"/>
    <w:rsid w:val="00E40D81"/>
    <w:rsid w:val="00E52612"/>
    <w:rsid w:val="00E53F30"/>
    <w:rsid w:val="00E549F4"/>
    <w:rsid w:val="00E60802"/>
    <w:rsid w:val="00E6648C"/>
    <w:rsid w:val="00E75B04"/>
    <w:rsid w:val="00E81117"/>
    <w:rsid w:val="00E9016D"/>
    <w:rsid w:val="00EA0714"/>
    <w:rsid w:val="00EA3B54"/>
    <w:rsid w:val="00EB0199"/>
    <w:rsid w:val="00EB4E1F"/>
    <w:rsid w:val="00ED4343"/>
    <w:rsid w:val="00ED7FC7"/>
    <w:rsid w:val="00EF3143"/>
    <w:rsid w:val="00F116FF"/>
    <w:rsid w:val="00F1262F"/>
    <w:rsid w:val="00F14BD5"/>
    <w:rsid w:val="00F152B6"/>
    <w:rsid w:val="00F21B15"/>
    <w:rsid w:val="00F22282"/>
    <w:rsid w:val="00F26AFC"/>
    <w:rsid w:val="00F30D1D"/>
    <w:rsid w:val="00F3495A"/>
    <w:rsid w:val="00F379EC"/>
    <w:rsid w:val="00F40609"/>
    <w:rsid w:val="00F41095"/>
    <w:rsid w:val="00F46BC6"/>
    <w:rsid w:val="00F5067C"/>
    <w:rsid w:val="00F54B07"/>
    <w:rsid w:val="00F60A32"/>
    <w:rsid w:val="00F6317A"/>
    <w:rsid w:val="00F74BAF"/>
    <w:rsid w:val="00F858F9"/>
    <w:rsid w:val="00F85E6C"/>
    <w:rsid w:val="00F91B71"/>
    <w:rsid w:val="00F92556"/>
    <w:rsid w:val="00F945B8"/>
    <w:rsid w:val="00FA1D7E"/>
    <w:rsid w:val="00FA70C9"/>
    <w:rsid w:val="00FA7ED1"/>
    <w:rsid w:val="00FB079E"/>
    <w:rsid w:val="00FE46ED"/>
    <w:rsid w:val="00FF55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061AB8"/>
  <w15:chartTrackingRefBased/>
  <w15:docId w15:val="{3AEB9B9B-5F0C-4FEA-9252-CE823A950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2C9"/>
    <w:pPr>
      <w:spacing w:after="240" w:line="240" w:lineRule="auto"/>
      <w:jc w:val="both"/>
    </w:pPr>
    <w:rPr>
      <w:rFonts w:ascii="Courier New" w:eastAsia="Times New Roman" w:hAnsi="Courier New"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722C9"/>
    <w:pPr>
      <w:tabs>
        <w:tab w:val="center" w:pos="4513"/>
        <w:tab w:val="right" w:pos="9026"/>
      </w:tabs>
      <w:spacing w:after="0"/>
    </w:pPr>
  </w:style>
  <w:style w:type="character" w:customStyle="1" w:styleId="FooterChar">
    <w:name w:val="Footer Char"/>
    <w:basedOn w:val="DefaultParagraphFont"/>
    <w:link w:val="Footer"/>
    <w:uiPriority w:val="99"/>
    <w:rsid w:val="006722C9"/>
    <w:rPr>
      <w:rFonts w:ascii="Courier New" w:eastAsia="Times New Roman" w:hAnsi="Courier New" w:cs="Times New Roman"/>
      <w:sz w:val="24"/>
      <w:szCs w:val="20"/>
      <w:lang w:eastAsia="en-GB"/>
    </w:rPr>
  </w:style>
  <w:style w:type="character" w:styleId="CommentReference">
    <w:name w:val="annotation reference"/>
    <w:basedOn w:val="DefaultParagraphFont"/>
    <w:uiPriority w:val="99"/>
    <w:semiHidden/>
    <w:unhideWhenUsed/>
    <w:rsid w:val="006722C9"/>
    <w:rPr>
      <w:sz w:val="16"/>
      <w:szCs w:val="16"/>
    </w:rPr>
  </w:style>
  <w:style w:type="paragraph" w:styleId="CommentText">
    <w:name w:val="annotation text"/>
    <w:basedOn w:val="Normal"/>
    <w:link w:val="CommentTextChar"/>
    <w:uiPriority w:val="99"/>
    <w:semiHidden/>
    <w:unhideWhenUsed/>
    <w:rsid w:val="006722C9"/>
    <w:rPr>
      <w:sz w:val="20"/>
    </w:rPr>
  </w:style>
  <w:style w:type="character" w:customStyle="1" w:styleId="CommentTextChar">
    <w:name w:val="Comment Text Char"/>
    <w:basedOn w:val="DefaultParagraphFont"/>
    <w:link w:val="CommentText"/>
    <w:uiPriority w:val="99"/>
    <w:semiHidden/>
    <w:rsid w:val="006722C9"/>
    <w:rPr>
      <w:rFonts w:ascii="Courier New" w:eastAsia="Times New Roman" w:hAnsi="Courier New" w:cs="Times New Roman"/>
      <w:sz w:val="20"/>
      <w:szCs w:val="20"/>
      <w:lang w:eastAsia="en-GB"/>
    </w:rPr>
  </w:style>
  <w:style w:type="character" w:styleId="Hyperlink">
    <w:name w:val="Hyperlink"/>
    <w:basedOn w:val="DefaultParagraphFont"/>
    <w:uiPriority w:val="99"/>
    <w:semiHidden/>
    <w:unhideWhenUsed/>
    <w:rsid w:val="00750FAE"/>
    <w:rPr>
      <w:color w:val="0563C1"/>
      <w:u w:val="single"/>
    </w:rPr>
  </w:style>
  <w:style w:type="paragraph" w:styleId="CommentSubject">
    <w:name w:val="annotation subject"/>
    <w:basedOn w:val="CommentText"/>
    <w:next w:val="CommentText"/>
    <w:link w:val="CommentSubjectChar"/>
    <w:uiPriority w:val="99"/>
    <w:semiHidden/>
    <w:unhideWhenUsed/>
    <w:rsid w:val="00204C80"/>
    <w:rPr>
      <w:b/>
      <w:bCs/>
    </w:rPr>
  </w:style>
  <w:style w:type="character" w:customStyle="1" w:styleId="CommentSubjectChar">
    <w:name w:val="Comment Subject Char"/>
    <w:basedOn w:val="CommentTextChar"/>
    <w:link w:val="CommentSubject"/>
    <w:uiPriority w:val="99"/>
    <w:semiHidden/>
    <w:rsid w:val="00204C80"/>
    <w:rPr>
      <w:rFonts w:ascii="Courier New" w:eastAsia="Times New Roman" w:hAnsi="Courier New" w:cs="Times New Roman"/>
      <w:b/>
      <w:bCs/>
      <w:sz w:val="20"/>
      <w:szCs w:val="20"/>
      <w:lang w:eastAsia="en-GB"/>
    </w:rPr>
  </w:style>
  <w:style w:type="paragraph" w:styleId="Revision">
    <w:name w:val="Revision"/>
    <w:hidden/>
    <w:uiPriority w:val="99"/>
    <w:semiHidden/>
    <w:rsid w:val="00204C80"/>
    <w:pPr>
      <w:spacing w:after="0" w:line="240" w:lineRule="auto"/>
    </w:pPr>
    <w:rPr>
      <w:rFonts w:ascii="Courier New" w:eastAsia="Times New Roman" w:hAnsi="Courier New" w:cs="Times New Roman"/>
      <w:sz w:val="24"/>
      <w:szCs w:val="20"/>
      <w:lang w:eastAsia="en-GB"/>
    </w:rPr>
  </w:style>
  <w:style w:type="paragraph" w:styleId="Header">
    <w:name w:val="header"/>
    <w:basedOn w:val="Normal"/>
    <w:link w:val="HeaderChar"/>
    <w:uiPriority w:val="99"/>
    <w:unhideWhenUsed/>
    <w:rsid w:val="00DA3A7D"/>
    <w:pPr>
      <w:tabs>
        <w:tab w:val="center" w:pos="4513"/>
        <w:tab w:val="right" w:pos="9026"/>
      </w:tabs>
      <w:spacing w:after="0"/>
    </w:pPr>
  </w:style>
  <w:style w:type="character" w:customStyle="1" w:styleId="HeaderChar">
    <w:name w:val="Header Char"/>
    <w:basedOn w:val="DefaultParagraphFont"/>
    <w:link w:val="Header"/>
    <w:uiPriority w:val="99"/>
    <w:rsid w:val="00DA3A7D"/>
    <w:rPr>
      <w:rFonts w:ascii="Courier New" w:eastAsia="Times New Roman" w:hAnsi="Courier New" w:cs="Times New Roman"/>
      <w:sz w:val="24"/>
      <w:szCs w:val="20"/>
      <w:lang w:eastAsia="en-GB"/>
    </w:rPr>
  </w:style>
  <w:style w:type="character" w:styleId="FollowedHyperlink">
    <w:name w:val="FollowedHyperlink"/>
    <w:basedOn w:val="DefaultParagraphFont"/>
    <w:uiPriority w:val="99"/>
    <w:semiHidden/>
    <w:unhideWhenUsed/>
    <w:rsid w:val="000D3478"/>
    <w:rPr>
      <w:color w:val="800080" w:themeColor="followedHyperlink"/>
      <w:u w:val="single"/>
    </w:rPr>
  </w:style>
  <w:style w:type="character" w:styleId="FootnoteReference">
    <w:name w:val="footnote reference"/>
    <w:aliases w:val="Nota,Footnote symbol,Footnote,Appel note de bas de p,SUPERS,BVI fnr,Footnote reference number,note TESI,EN Footnote Reference,stylish,Times 10 Point,Exposant 3 Point,Ref,de nota al pie,number,-E Fußnotenzeichen,Footnote number,ftref,F"/>
    <w:basedOn w:val="DefaultParagraphFont"/>
    <w:link w:val="BVIfnrCarCar1"/>
    <w:uiPriority w:val="99"/>
    <w:unhideWhenUsed/>
    <w:qFormat/>
    <w:rsid w:val="00AC75E2"/>
    <w:rPr>
      <w:vertAlign w:val="superscript"/>
    </w:rPr>
  </w:style>
  <w:style w:type="paragraph" w:customStyle="1" w:styleId="BVIfnrCarCar1">
    <w:name w:val="BVI fnr Car Car1"/>
    <w:aliases w:val="BVI fnr Car1,BVI fnr Car Car Car Car,BVI fnr Car Car Car Car Char"/>
    <w:basedOn w:val="Normal"/>
    <w:link w:val="FootnoteReference"/>
    <w:autoRedefine/>
    <w:uiPriority w:val="99"/>
    <w:rsid w:val="00AC75E2"/>
    <w:pPr>
      <w:spacing w:after="160" w:line="240" w:lineRule="exact"/>
    </w:pPr>
    <w:rPr>
      <w:rFonts w:asciiTheme="minorHAnsi" w:eastAsiaTheme="minorHAnsi" w:hAnsiTheme="minorHAnsi" w:cstheme="minorBidi"/>
      <w:sz w:val="22"/>
      <w:szCs w:val="22"/>
      <w:vertAlign w:val="superscript"/>
      <w:lang w:eastAsia="en-US"/>
    </w:rPr>
  </w:style>
  <w:style w:type="paragraph" w:styleId="BodyText">
    <w:name w:val="Body Text"/>
    <w:basedOn w:val="Normal"/>
    <w:link w:val="BodyTextChar"/>
    <w:uiPriority w:val="1"/>
    <w:qFormat/>
    <w:rsid w:val="003007FB"/>
    <w:pPr>
      <w:widowControl w:val="0"/>
      <w:autoSpaceDE w:val="0"/>
      <w:autoSpaceDN w:val="0"/>
      <w:spacing w:after="0"/>
      <w:jc w:val="left"/>
    </w:pPr>
    <w:rPr>
      <w:rFonts w:ascii="Times New Roman" w:hAnsi="Times New Roman"/>
      <w:sz w:val="22"/>
      <w:szCs w:val="22"/>
      <w:lang w:eastAsia="en-US"/>
    </w:rPr>
  </w:style>
  <w:style w:type="character" w:customStyle="1" w:styleId="BodyTextChar">
    <w:name w:val="Body Text Char"/>
    <w:basedOn w:val="DefaultParagraphFont"/>
    <w:link w:val="BodyText"/>
    <w:uiPriority w:val="1"/>
    <w:rsid w:val="003007FB"/>
    <w:rPr>
      <w:rFonts w:ascii="Times New Roman" w:eastAsia="Times New Roman" w:hAnsi="Times New Roman" w:cs="Times New Roman"/>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656671">
      <w:bodyDiv w:val="1"/>
      <w:marLeft w:val="0"/>
      <w:marRight w:val="0"/>
      <w:marTop w:val="0"/>
      <w:marBottom w:val="0"/>
      <w:divBdr>
        <w:top w:val="none" w:sz="0" w:space="0" w:color="auto"/>
        <w:left w:val="none" w:sz="0" w:space="0" w:color="auto"/>
        <w:bottom w:val="none" w:sz="0" w:space="0" w:color="auto"/>
        <w:right w:val="none" w:sz="0" w:space="0" w:color="auto"/>
      </w:divBdr>
    </w:div>
    <w:div w:id="1203521182">
      <w:bodyDiv w:val="1"/>
      <w:marLeft w:val="0"/>
      <w:marRight w:val="0"/>
      <w:marTop w:val="0"/>
      <w:marBottom w:val="0"/>
      <w:divBdr>
        <w:top w:val="none" w:sz="0" w:space="0" w:color="auto"/>
        <w:left w:val="none" w:sz="0" w:space="0" w:color="auto"/>
        <w:bottom w:val="none" w:sz="0" w:space="0" w:color="auto"/>
        <w:right w:val="none" w:sz="0" w:space="0" w:color="auto"/>
      </w:divBdr>
    </w:div>
    <w:div w:id="1367021479">
      <w:bodyDiv w:val="1"/>
      <w:marLeft w:val="0"/>
      <w:marRight w:val="0"/>
      <w:marTop w:val="0"/>
      <w:marBottom w:val="0"/>
      <w:divBdr>
        <w:top w:val="none" w:sz="0" w:space="0" w:color="auto"/>
        <w:left w:val="none" w:sz="0" w:space="0" w:color="auto"/>
        <w:bottom w:val="none" w:sz="0" w:space="0" w:color="auto"/>
        <w:right w:val="none" w:sz="0" w:space="0" w:color="auto"/>
      </w:divBdr>
    </w:div>
    <w:div w:id="1510369591">
      <w:bodyDiv w:val="1"/>
      <w:marLeft w:val="0"/>
      <w:marRight w:val="0"/>
      <w:marTop w:val="0"/>
      <w:marBottom w:val="0"/>
      <w:divBdr>
        <w:top w:val="none" w:sz="0" w:space="0" w:color="auto"/>
        <w:left w:val="none" w:sz="0" w:space="0" w:color="auto"/>
        <w:bottom w:val="none" w:sz="0" w:space="0" w:color="auto"/>
        <w:right w:val="none" w:sz="0" w:space="0" w:color="auto"/>
      </w:divBdr>
    </w:div>
    <w:div w:id="177212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56AD53B0573632408C97076259666C45" ma:contentTypeVersion="7" ma:contentTypeDescription="Create a new document in this library." ma:contentTypeScope="" ma:versionID="5472e6050a6a080c610c8f7d23129982">
  <xsd:schema xmlns:xsd="http://www.w3.org/2001/XMLSchema" xmlns:xs="http://www.w3.org/2001/XMLSchema" xmlns:p="http://schemas.microsoft.com/office/2006/metadata/properties" xmlns:ns3="d263b782-df17-406e-a14d-23f02ff98c36" xmlns:ns4="b9a1bbf4-3872-40cb-a1a3-b88a292b9176" xmlns:ns5="118d912a-375e-4e59-9f78-0e591e440620" targetNamespace="http://schemas.microsoft.com/office/2006/metadata/properties" ma:root="true" ma:fieldsID="b4613647f9118e14c930fea0a21af656" ns3:_="" ns4:_="" ns5:_="">
    <xsd:import namespace="d263b782-df17-406e-a14d-23f02ff98c36"/>
    <xsd:import namespace="b9a1bbf4-3872-40cb-a1a3-b88a292b9176"/>
    <xsd:import namespace="118d912a-375e-4e59-9f78-0e591e440620"/>
    <xsd:element name="properties">
      <xsd:complexType>
        <xsd:sequence>
          <xsd:element name="documentManagement">
            <xsd:complexType>
              <xsd:all>
                <xsd:element ref="ns3:EC_Collab_Reference" minOccurs="0"/>
                <xsd:element ref="ns3:EC_Collab_DocumentLanguage"/>
                <xsd:element ref="ns3:EC_Collab_Status"/>
                <xsd:element ref="ns4:_dlc_DocId" minOccurs="0"/>
                <xsd:element ref="ns4:_dlc_DocIdUrl" minOccurs="0"/>
                <xsd:element ref="ns4:_dlc_DocIdPersistId" minOccurs="0"/>
                <xsd:element ref="ns3:EC_ARES_NUMBER" minOccurs="0"/>
                <xsd:element ref="ns3:EC_ARES_DATE_TRANSFERRED" minOccurs="0"/>
                <xsd:element ref="ns3:EC_ARES_TRANSFERRED_BY"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3b782-df17-406e-a14d-23f02ff98c36"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EC_ARES_NUMBER" ma:index="18" nillable="true" ma:displayName="Ares Number" ma:format="Hyperlink" ma:hidden="true" ma:internalName="EC_ARES_NUMBER">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19" nillable="true" ma:displayName="Transferred to Ares" ma:format="DateTime" ma:hidden="true" ma:internalName="EC_ARES_DATE_TRANSFERRED">
      <xsd:simpleType>
        <xsd:restriction base="dms:DateTime"/>
      </xsd:simpleType>
    </xsd:element>
    <xsd:element name="EC_ARES_TRANSFERRED_BY" ma:index="20" nillable="true" ma:displayName="Transferred By" ma:hidden="true" ma:internalName="EC_ARES_TRANSFERRED_B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a1bbf4-3872-40cb-a1a3-b88a292b9176"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18d912a-375e-4e59-9f78-0e591e440620"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C_Collab_Status xmlns="d263b782-df17-406e-a14d-23f02ff98c36">Not Started</EC_Collab_Status>
    <EC_Collab_Reference xmlns="d263b782-df17-406e-a14d-23f02ff98c36" xsi:nil="true"/>
    <EC_ARES_TRANSFERRED_BY xmlns="d263b782-df17-406e-a14d-23f02ff98c36" xsi:nil="true"/>
    <EC_ARES_DATE_TRANSFERRED xmlns="d263b782-df17-406e-a14d-23f02ff98c36" xsi:nil="true"/>
    <EC_ARES_NUMBER xmlns="d263b782-df17-406e-a14d-23f02ff98c36">
      <Url xsi:nil="true"/>
      <Description xsi:nil="true"/>
    </EC_ARES_NUMBER>
    <EC_Collab_DocumentLanguage xmlns="d263b782-df17-406e-a14d-23f02ff98c36">EN</EC_Collab_DocumentLanguage>
    <_dlc_DocId xmlns="b9a1bbf4-3872-40cb-a1a3-b88a292b9176">NHRUTF4F6DR2-1057533941-9867</_dlc_DocId>
    <_dlc_DocIdUrl xmlns="b9a1bbf4-3872-40cb-a1a3-b88a292b9176">
      <Url>https://myintracomm-collab.ec.europa.eu/dg/budg/GRIfiches/_layouts/15/DocIdRedir.aspx?ID=NHRUTF4F6DR2-1057533941-9867</Url>
      <Description>NHRUTF4F6DR2-1057533941-9867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7E64DF-A6F4-4052-9E04-85F14DA6B626}">
  <ds:schemaRefs>
    <ds:schemaRef ds:uri="http://schemas.microsoft.com/sharepoint/events"/>
  </ds:schemaRefs>
</ds:datastoreItem>
</file>

<file path=customXml/itemProps2.xml><?xml version="1.0" encoding="utf-8"?>
<ds:datastoreItem xmlns:ds="http://schemas.openxmlformats.org/officeDocument/2006/customXml" ds:itemID="{881C9F22-F65F-4350-BF3A-CCDF5B874C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3b782-df17-406e-a14d-23f02ff98c36"/>
    <ds:schemaRef ds:uri="b9a1bbf4-3872-40cb-a1a3-b88a292b9176"/>
    <ds:schemaRef ds:uri="118d912a-375e-4e59-9f78-0e591e4406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619AA3-91C8-400D-A3C0-459925F7AF88}">
  <ds:schemaRefs>
    <ds:schemaRef ds:uri="http://www.w3.org/XML/1998/namespace"/>
    <ds:schemaRef ds:uri="b9a1bbf4-3872-40cb-a1a3-b88a292b9176"/>
    <ds:schemaRef ds:uri="http://purl.org/dc/dcmitype/"/>
    <ds:schemaRef ds:uri="d263b782-df17-406e-a14d-23f02ff98c36"/>
    <ds:schemaRef ds:uri="http://schemas.microsoft.com/office/2006/metadata/properties"/>
    <ds:schemaRef ds:uri="118d912a-375e-4e59-9f78-0e591e440620"/>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1CBAD247-9ED8-4BB2-9AD3-F973D2E4A0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2904</Words>
  <Characters>16209</Characters>
  <Application>Microsoft Office Word</Application>
  <DocSecurity>0</DocSecurity>
  <Lines>228</Lines>
  <Paragraphs>50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19063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GIBAS Tomasz (ECFIN)</dc:creator>
  <cp:keywords/>
  <dc:description/>
  <cp:lastModifiedBy>DELBAER Gerda (SG)</cp:lastModifiedBy>
  <cp:revision>2</cp:revision>
  <dcterms:created xsi:type="dcterms:W3CDTF">2023-08-16T13:32:00Z</dcterms:created>
  <dcterms:modified xsi:type="dcterms:W3CDTF">2023-08-16T13:32:00Z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2023-03-28T08:50:53Z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888327f5-0d3b-4cb8-966f-1adb5d856d09</vt:lpwstr>
  </property>
  <property fmtid="{D5CDD505-2E9C-101B-9397-08002B2CF9AE}" pid="8" name="MSIP_Label_6bd9ddd1-4d20-43f6-abfa-fc3c07406f94_ContentBits">
    <vt:lpwstr>0</vt:lpwstr>
  </property>
  <property fmtid="{D5CDD505-2E9C-101B-9397-08002B2CF9AE}" pid="9" name="ContentTypeId">
    <vt:lpwstr>0x010100258AA79CEB83498886A3A086811232500056AD53B0573632408C97076259666C45</vt:lpwstr>
  </property>
  <property fmtid="{D5CDD505-2E9C-101B-9397-08002B2CF9AE}" pid="10" name="_dlc_DocIdItemGuid">
    <vt:lpwstr>97940db2-934f-43ac-b0a1-b6e95236ab3b</vt:lpwstr>
  </property>
</Properties>
</file>