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37314" w14:textId="658D238C" w:rsidR="00331DB9" w:rsidRPr="007C1EF0" w:rsidRDefault="004A6C66" w:rsidP="006C0562">
      <w:pPr>
        <w:spacing w:after="600"/>
        <w:jc w:val="center"/>
        <w:rPr>
          <w:rFonts w:ascii="Times New Roman" w:hAnsi="Times New Roman"/>
          <w:b/>
        </w:rPr>
      </w:pPr>
      <w:r>
        <w:rPr>
          <w:rFonts w:ascii="Times New Roman" w:hAnsi="Times New Roman"/>
          <w:b/>
        </w:rPr>
        <w:t>Suite donnée à la résolution du Parlement européen sur une stratégie industrielle de l’UE pour stimuler la compétitivité industrielle, les échanges commerciaux et la création d’emplois de qualité</w:t>
      </w:r>
    </w:p>
    <w:p w14:paraId="42B2A2BA" w14:textId="09FEEA63" w:rsidR="004A6C66" w:rsidRPr="006C0562" w:rsidRDefault="004A6C66" w:rsidP="00A824B4">
      <w:pPr>
        <w:numPr>
          <w:ilvl w:val="0"/>
          <w:numId w:val="27"/>
        </w:numPr>
        <w:ind w:left="567" w:hanging="567"/>
        <w:rPr>
          <w:rFonts w:ascii="Times New Roman" w:hAnsi="Times New Roman"/>
          <w:b/>
          <w:szCs w:val="24"/>
        </w:rPr>
      </w:pPr>
      <w:r>
        <w:rPr>
          <w:rFonts w:ascii="Times New Roman" w:hAnsi="Times New Roman"/>
          <w:b/>
        </w:rPr>
        <w:t>Résolution présentée conformément à l’article 132, paragraphes 2 et 4, du règlement intérieur du Parlement européen</w:t>
      </w:r>
      <w:r>
        <w:rPr>
          <w:rFonts w:ascii="Times New Roman" w:hAnsi="Times New Roman"/>
          <w:b/>
          <w:i/>
        </w:rPr>
        <w:t xml:space="preserve"> </w:t>
      </w:r>
    </w:p>
    <w:p w14:paraId="5A1998F4" w14:textId="4F62E1CF" w:rsidR="004A6C66" w:rsidRPr="006C0562" w:rsidRDefault="00535D4D" w:rsidP="00A824B4">
      <w:pPr>
        <w:numPr>
          <w:ilvl w:val="0"/>
          <w:numId w:val="27"/>
        </w:numPr>
        <w:ind w:left="567" w:hanging="567"/>
        <w:rPr>
          <w:rFonts w:ascii="Times New Roman" w:hAnsi="Times New Roman"/>
          <w:iCs/>
          <w:szCs w:val="24"/>
        </w:rPr>
      </w:pPr>
      <w:r>
        <w:rPr>
          <w:rFonts w:ascii="Times New Roman" w:hAnsi="Times New Roman"/>
          <w:b/>
        </w:rPr>
        <w:t xml:space="preserve">Numéros de référence: </w:t>
      </w:r>
      <w:r>
        <w:rPr>
          <w:rFonts w:ascii="Times New Roman" w:hAnsi="Times New Roman"/>
        </w:rPr>
        <w:t>2023/2513 (RSP) / B9 0170/2023 / P9_TA(2023)0053</w:t>
      </w:r>
    </w:p>
    <w:p w14:paraId="230DAB40" w14:textId="3F20B471" w:rsidR="005A00C3" w:rsidRPr="006C0562" w:rsidRDefault="004A6C66" w:rsidP="00A824B4">
      <w:pPr>
        <w:numPr>
          <w:ilvl w:val="0"/>
          <w:numId w:val="27"/>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w:t>
      </w:r>
      <w:r w:rsidR="00290C4F">
        <w:rPr>
          <w:rFonts w:ascii="Times New Roman" w:hAnsi="Times New Roman"/>
        </w:rPr>
        <w:t>6</w:t>
      </w:r>
      <w:r>
        <w:rPr>
          <w:rFonts w:ascii="Times New Roman" w:hAnsi="Times New Roman"/>
        </w:rPr>
        <w:t xml:space="preserve"> février 2023</w:t>
      </w:r>
    </w:p>
    <w:p w14:paraId="5E6F6B39" w14:textId="466B8587" w:rsidR="00EC0A27" w:rsidRPr="006C0562" w:rsidRDefault="00EC0A27" w:rsidP="00A824B4">
      <w:pPr>
        <w:numPr>
          <w:ilvl w:val="0"/>
          <w:numId w:val="27"/>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s.o.</w:t>
      </w:r>
    </w:p>
    <w:p w14:paraId="00DA3A0B" w14:textId="3013446A" w:rsidR="007C1EF0" w:rsidRPr="006C0562" w:rsidRDefault="004A6C66" w:rsidP="007C1EF0">
      <w:pPr>
        <w:widowControl w:val="0"/>
        <w:numPr>
          <w:ilvl w:val="0"/>
          <w:numId w:val="27"/>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17F1879E" w14:textId="2AB92873" w:rsidR="007C1EF0" w:rsidRDefault="007C1EF0" w:rsidP="006C0562">
      <w:pPr>
        <w:spacing w:after="120"/>
        <w:rPr>
          <w:rFonts w:ascii="Times New Roman" w:hAnsi="Times New Roman"/>
          <w:szCs w:val="24"/>
        </w:rPr>
      </w:pPr>
      <w:r>
        <w:rPr>
          <w:rFonts w:ascii="Times New Roman" w:hAnsi="Times New Roman"/>
        </w:rPr>
        <w:t>La résolution se félicite de la communication de la Commission intitulée «La compétitivité à long terme de l’UE: se projeter au-delà de 2030»</w:t>
      </w:r>
      <w:r>
        <w:rPr>
          <w:rStyle w:val="FootnoteReference"/>
          <w:rFonts w:ascii="Times New Roman" w:hAnsi="Times New Roman"/>
          <w:szCs w:val="24"/>
        </w:rPr>
        <w:footnoteReference w:id="1"/>
      </w:r>
      <w:r>
        <w:rPr>
          <w:rFonts w:ascii="Times New Roman" w:hAnsi="Times New Roman"/>
        </w:rPr>
        <w:t>, souligne qu’il importe de renforcer les capacités de production de l’UE dans les technologies stratégiques clés et qu’il importe que la Commission développe pleinement les parcours de transition afin de garantir que tous les secteurs maintiennent leur compétitivité, tout en décarbonant et en contribuant aux objectifs de l’Union en matière de climat et de pacte vert.</w:t>
      </w:r>
    </w:p>
    <w:p w14:paraId="27EC6462" w14:textId="0DF5457D" w:rsidR="007C1EF0" w:rsidRDefault="007C1EF0" w:rsidP="006C0562">
      <w:pPr>
        <w:spacing w:after="120"/>
        <w:rPr>
          <w:rFonts w:ascii="Times New Roman" w:hAnsi="Times New Roman"/>
          <w:szCs w:val="24"/>
        </w:rPr>
      </w:pPr>
      <w:r>
        <w:rPr>
          <w:rFonts w:ascii="Times New Roman" w:hAnsi="Times New Roman"/>
        </w:rPr>
        <w:t>En ce qui concerne la mise en place d’un environnement réglementaire prévisible et simplifié, la résolution invite la Commission à élaborer une stratégie efficace de redéploiement, de relocalisation et de rapatriement des industries en Europe. En outre, elle souligne la nécessité de garantir des procédures d’autorisation rapides et la prévisibilité, rappelle l’importance d’un accès sûr aux matières premières critiques et souligne la nécessité pour la Commission de procéder à un test de souveraineté dans ses analyses d’impact.</w:t>
      </w:r>
    </w:p>
    <w:p w14:paraId="32D3CEFB" w14:textId="63F19845" w:rsidR="007C1EF0" w:rsidRDefault="008B7B44" w:rsidP="006C0562">
      <w:pPr>
        <w:spacing w:after="120"/>
        <w:rPr>
          <w:rFonts w:ascii="Times New Roman" w:hAnsi="Times New Roman"/>
          <w:szCs w:val="24"/>
        </w:rPr>
      </w:pPr>
      <w:r>
        <w:rPr>
          <w:rFonts w:ascii="Times New Roman" w:hAnsi="Times New Roman"/>
        </w:rPr>
        <w:t>En ce qui concerne l’énergie et les dépendances, la résolution invite la Commission et les États membres à garantir l’approvisionnement énergétique pour l’hiver prochain, souligne l’importance de relancer le marché de l’hydrogène, tout en œuvrant en faveur de l’hydrogène propre, et souligne qu’il importe de renforcer l’autonomie stratégique ouverte de l’Union en renforçant ses capacités dans les technologies stratégiques clés recensées dans la communication de la Commission intitulée «Un plan industriel du pacte vert pour l’ère du zéro émission nette».</w:t>
      </w:r>
    </w:p>
    <w:p w14:paraId="02B842B0" w14:textId="4ADEF3C5" w:rsidR="007C1EF0" w:rsidRDefault="007C1EF0" w:rsidP="006C0562">
      <w:pPr>
        <w:spacing w:after="120"/>
        <w:rPr>
          <w:rFonts w:ascii="Times New Roman" w:hAnsi="Times New Roman"/>
          <w:szCs w:val="24"/>
        </w:rPr>
      </w:pPr>
      <w:r>
        <w:rPr>
          <w:rFonts w:ascii="Times New Roman" w:hAnsi="Times New Roman"/>
        </w:rPr>
        <w:t>En ce qui concerne le financement, la résolution souligne que les nouvelles ressources propres constituent un outil essentiel pour permettre à l’Union de mettre en œuvre ses priorités politiques et demande la création d’un fonds européen pour la souveraineté. À cet égard, elle souligne que ce fonds devrait financer des infrastructures énergétiques transfrontalières, accroître les investissements européens dans l’ensemble de l’Union dans des secteurs stratégiques clés, éviter la fragmentation causée par les régimes nationaux, être mis en place conformément à la procédure législative ordinaire et être intégré dans le cadre financier pluriannuel (CFP). En outre, la résolution invite la Commission à subordonner le financement de l’Union à des exigences pertinentes liées aux objectifs de politique publique et souligne que les États membres devraient libérer tout le potentiel des instruments existants en matière de marchés publics écologiques.</w:t>
      </w:r>
    </w:p>
    <w:p w14:paraId="71E302B2" w14:textId="01A62047" w:rsidR="007C1EF0" w:rsidRDefault="008B7B44" w:rsidP="006C0562">
      <w:pPr>
        <w:spacing w:after="120"/>
        <w:rPr>
          <w:rFonts w:ascii="Times New Roman" w:hAnsi="Times New Roman"/>
          <w:szCs w:val="24"/>
        </w:rPr>
      </w:pPr>
      <w:r>
        <w:rPr>
          <w:rFonts w:ascii="Times New Roman" w:hAnsi="Times New Roman"/>
        </w:rPr>
        <w:t xml:space="preserve">En ce qui concerne les aides d’État, la résolution souligne que les règles de l’UE devraient être simplifiées et permettre des flexibilités — tout en soulignant que des règles </w:t>
      </w:r>
      <w:r>
        <w:rPr>
          <w:rFonts w:ascii="Times New Roman" w:hAnsi="Times New Roman"/>
        </w:rPr>
        <w:lastRenderedPageBreak/>
        <w:t>non coordonnées en matière d’aides d’État dans toute l’Europe entraveraient la reprise économique et que toute flexibilité doit être ciblée, temporaire et proportionnée — et soutient la Commission dans la proposition d’un cadre sur les incitations fiscales. La résolution fait également part de ses préoccupations quant au temps de traitement nécessaire à la mise en place de projets importants d’intérêt européen commun.</w:t>
      </w:r>
    </w:p>
    <w:p w14:paraId="2CEB5FAD" w14:textId="24F9130F" w:rsidR="007C1EF0" w:rsidRDefault="00D971E5" w:rsidP="006C0562">
      <w:pPr>
        <w:spacing w:after="120"/>
        <w:rPr>
          <w:rFonts w:ascii="Times New Roman" w:hAnsi="Times New Roman"/>
          <w:szCs w:val="24"/>
        </w:rPr>
      </w:pPr>
      <w:r>
        <w:rPr>
          <w:rFonts w:ascii="Times New Roman" w:hAnsi="Times New Roman"/>
        </w:rPr>
        <w:t xml:space="preserve">En ce qui concerne l’amélioration de la qualité des emplois et des compétences, le Parlement souligne la nécessité pour le plan industriel de l’UE de contribuer à la réalisation de la transition juste et de ses objectifs, y compris la création d’emplois de qualité assortis de conditions de travail équitables et de bonnes rémunérations, et souligne également l’importance de l’accès à la formation et à la reconversion des travailleurs des industries et des secteurs. À cet égard, la résolution se félicite de la contribution du plan. En outre, la résolution demande que le plan industriel de l’Union crée des synergies et des liens avec les politiques générales en matière d’éducation et souligne qu’il doit contribuer à la réalisation des objectifs généraux et spécifiques pour 2030, tels qu’ils sont définis dans le programme d’action relatif à la décennie numérique. </w:t>
      </w:r>
    </w:p>
    <w:p w14:paraId="67285522" w14:textId="02FA8B38" w:rsidR="007C1EF0" w:rsidRPr="007C1EF0" w:rsidRDefault="00B30F8B" w:rsidP="006C0562">
      <w:pPr>
        <w:widowControl w:val="0"/>
        <w:spacing w:after="120"/>
        <w:rPr>
          <w:rFonts w:ascii="Times New Roman" w:hAnsi="Times New Roman"/>
          <w:szCs w:val="24"/>
        </w:rPr>
      </w:pPr>
      <w:r>
        <w:rPr>
          <w:rFonts w:ascii="Times New Roman" w:hAnsi="Times New Roman"/>
        </w:rPr>
        <w:t>En ce qui concerne le commerce, la résolution invite la Commission à évaluer les dépendances actuelles et à trouver d’autres sources pour diversifier les chaînes d’approvisionnement de l’Europe en matière de technologies et de matières premières critiques, ainsi qu’à proposer une «nouvelle génération de partenariats dans le monde» afin d’exploiter pleinement l’effet de levier économique et politique de l’Union avec ses partenaires commerciaux actuels et de garantir le soutien à la transition vers une industrie verte. Enfin, la résolution souligne la nécessité d’une réforme urgente de l’Organisation mondiale du commerce (OMC) et l’importance de mettre en œuvre les dispositions du règlement sur le filtrage des investissements directs étrangers.</w:t>
      </w:r>
    </w:p>
    <w:p w14:paraId="5C77ACE4" w14:textId="287DF30C" w:rsidR="007C1EF0" w:rsidRPr="007C1EF0" w:rsidRDefault="004A6C66" w:rsidP="007C1EF0">
      <w:pPr>
        <w:widowControl w:val="0"/>
        <w:numPr>
          <w:ilvl w:val="0"/>
          <w:numId w:val="27"/>
        </w:numPr>
        <w:ind w:left="567" w:hanging="567"/>
        <w:rPr>
          <w:rFonts w:ascii="Times New Roman" w:hAnsi="Times New Roman"/>
          <w:b/>
          <w:i/>
          <w:szCs w:val="24"/>
        </w:rPr>
      </w:pPr>
      <w:r>
        <w:rPr>
          <w:rFonts w:ascii="Times New Roman" w:hAnsi="Times New Roman"/>
          <w:b/>
        </w:rPr>
        <w:t>Réponse à ces demandes et aperçu des mesures que la Commission a prises ou envisage de prendre</w:t>
      </w:r>
      <w:r>
        <w:rPr>
          <w:rFonts w:ascii="Times New Roman" w:hAnsi="Times New Roman"/>
        </w:rPr>
        <w:t xml:space="preserve"> </w:t>
      </w:r>
    </w:p>
    <w:p w14:paraId="3EC61D9A" w14:textId="77777777" w:rsidR="007C1EF0" w:rsidRDefault="007C1EF0" w:rsidP="007C1EF0">
      <w:pPr>
        <w:widowControl w:val="0"/>
        <w:spacing w:after="120"/>
        <w:rPr>
          <w:rFonts w:ascii="Times New Roman" w:hAnsi="Times New Roman"/>
          <w:b/>
          <w:szCs w:val="24"/>
        </w:rPr>
      </w:pPr>
      <w:r>
        <w:rPr>
          <w:rFonts w:ascii="Times New Roman" w:hAnsi="Times New Roman"/>
          <w:b/>
        </w:rPr>
        <w:t xml:space="preserve">Un environnement réglementaire prévisible et simplifié </w:t>
      </w:r>
    </w:p>
    <w:p w14:paraId="516A810C" w14:textId="2726816A" w:rsidR="007C1EF0" w:rsidRDefault="007C1EF0" w:rsidP="007C1EF0">
      <w:pPr>
        <w:spacing w:after="120"/>
        <w:rPr>
          <w:rFonts w:ascii="Times New Roman" w:hAnsi="Times New Roman"/>
          <w:szCs w:val="24"/>
        </w:rPr>
      </w:pPr>
      <w:r>
        <w:rPr>
          <w:rFonts w:ascii="Times New Roman" w:hAnsi="Times New Roman"/>
        </w:rPr>
        <w:t>Afin de poursuivre et de valoriser efficacement l’importance stratégique des normes européennes (</w:t>
      </w:r>
      <w:r>
        <w:rPr>
          <w:rFonts w:ascii="Times New Roman" w:hAnsi="Times New Roman"/>
          <w:b/>
          <w:bCs/>
        </w:rPr>
        <w:t>paragraphe 7</w:t>
      </w:r>
      <w:r>
        <w:rPr>
          <w:rFonts w:ascii="Times New Roman" w:hAnsi="Times New Roman"/>
        </w:rPr>
        <w:t>), la Commission a adopté une nouvelle stratégie de normalisation en février 2022. Dans le cadre de la stratégie, plusieurs actions ont été lancées: une attention accrue à la hiérarchisation des principales activités de normalisation, comme indiqué dans les programmes de travail annuels de l’Union pour 2022 et 2023; le lancement, en janvier 2023, du forum de haut niveau sur la normalisation européenne, qui réunit des parties prenantes au niveau exécutif des pays de l’UE/EEE afin d’élaborer des priorités en matière de normalisation et des stratégies de mise en œuvre (internationales); l’adoption de la modification juridique du règlement (UE) nº 1025/2012, qui place les organismes nationaux de normalisation de l’UE/EEE dans la prise de décision de toutes les étapes de l’élaboration des normes; ainsi que la publication d’un code de bonnes pratiques à l’intention des chercheurs et d’Horizon Europe, l’éducation et les compétences en matière de normalisation sont demandées. Partageant le point de vue du Parlement sur l’importance de la normalisation internationale, la Commission mène des dialogues clés avec les États-Unis, le Japon et l’Inde. Un plus grand partage d’informations est en cours avec les organismes nationaux de normalisation et les États membres de l’UE.</w:t>
      </w:r>
    </w:p>
    <w:p w14:paraId="7DE59CF8" w14:textId="06343AF4" w:rsidR="007C1EF0" w:rsidRDefault="00D46AAE" w:rsidP="007C1EF0">
      <w:pPr>
        <w:spacing w:after="120"/>
        <w:rPr>
          <w:rFonts w:ascii="Times New Roman" w:hAnsi="Times New Roman"/>
          <w:szCs w:val="24"/>
        </w:rPr>
      </w:pPr>
      <w:r>
        <w:rPr>
          <w:rFonts w:ascii="Times New Roman" w:hAnsi="Times New Roman"/>
        </w:rPr>
        <w:t>Dans le cadre de la mise à jour de la politique industrielle en 2021</w:t>
      </w:r>
      <w:r>
        <w:rPr>
          <w:rStyle w:val="FootnoteReference"/>
          <w:rFonts w:ascii="Times New Roman" w:hAnsi="Times New Roman"/>
          <w:szCs w:val="24"/>
        </w:rPr>
        <w:footnoteReference w:id="2"/>
      </w:r>
      <w:r>
        <w:rPr>
          <w:rFonts w:ascii="Times New Roman" w:hAnsi="Times New Roman"/>
        </w:rPr>
        <w:t xml:space="preserve">, la Commission a évalué les dépendances stratégiques de l’UE et proposé des solutions à ces dépendances </w:t>
      </w:r>
      <w:r>
        <w:rPr>
          <w:rFonts w:ascii="Times New Roman" w:hAnsi="Times New Roman"/>
        </w:rPr>
        <w:lastRenderedPageBreak/>
        <w:t>au moyen de diverses initiatives telles que le règlement européen sur les semi-conducteurs</w:t>
      </w:r>
      <w:r>
        <w:rPr>
          <w:rStyle w:val="FootnoteReference"/>
          <w:rFonts w:ascii="Times New Roman" w:hAnsi="Times New Roman"/>
          <w:szCs w:val="24"/>
        </w:rPr>
        <w:footnoteReference w:id="3"/>
      </w:r>
      <w:r>
        <w:rPr>
          <w:rFonts w:ascii="Times New Roman" w:hAnsi="Times New Roman"/>
        </w:rPr>
        <w:t>, le règlement sur les matières premières critiques</w:t>
      </w:r>
      <w:r>
        <w:rPr>
          <w:rStyle w:val="FootnoteReference"/>
          <w:rFonts w:ascii="Times New Roman" w:hAnsi="Times New Roman"/>
          <w:szCs w:val="24"/>
        </w:rPr>
        <w:footnoteReference w:id="4"/>
      </w:r>
      <w:r>
        <w:rPr>
          <w:rFonts w:ascii="Times New Roman" w:hAnsi="Times New Roman"/>
        </w:rPr>
        <w:t xml:space="preserve"> et une communication conjointe de la Commission européenne et du haut représentant sur une stratégie européenne en matière de sécurité économique</w:t>
      </w:r>
      <w:r>
        <w:rPr>
          <w:rStyle w:val="FootnoteReference"/>
          <w:rFonts w:ascii="Times New Roman" w:hAnsi="Times New Roman"/>
          <w:szCs w:val="24"/>
        </w:rPr>
        <w:footnoteReference w:id="5"/>
      </w:r>
      <w:r>
        <w:rPr>
          <w:rFonts w:ascii="Times New Roman" w:hAnsi="Times New Roman"/>
        </w:rPr>
        <w:t>.</w:t>
      </w:r>
    </w:p>
    <w:p w14:paraId="6CC3E0B5" w14:textId="77777777" w:rsidR="007C1EF0" w:rsidRDefault="007C1EF0" w:rsidP="001F4DFA">
      <w:pPr>
        <w:keepNext/>
        <w:keepLines/>
        <w:spacing w:after="120"/>
        <w:rPr>
          <w:rFonts w:ascii="Times New Roman" w:hAnsi="Times New Roman"/>
          <w:b/>
          <w:szCs w:val="24"/>
        </w:rPr>
      </w:pPr>
      <w:r>
        <w:rPr>
          <w:rFonts w:ascii="Times New Roman" w:hAnsi="Times New Roman"/>
          <w:b/>
        </w:rPr>
        <w:t xml:space="preserve">Énergie et dépendances </w:t>
      </w:r>
    </w:p>
    <w:p w14:paraId="31908175" w14:textId="090B71C2" w:rsidR="007C1EF0" w:rsidRPr="00837DF1" w:rsidRDefault="007C1EF0" w:rsidP="001F4DFA">
      <w:pPr>
        <w:keepNext/>
        <w:keepLines/>
        <w:spacing w:after="120"/>
        <w:rPr>
          <w:rFonts w:ascii="Times New Roman" w:hAnsi="Times New Roman"/>
          <w:szCs w:val="24"/>
        </w:rPr>
      </w:pPr>
      <w:r>
        <w:rPr>
          <w:rFonts w:ascii="Times New Roman" w:hAnsi="Times New Roman"/>
        </w:rPr>
        <w:t>La Commission et les États membres travaillent en étroite collaboration à la mise en place des mesures de sauvegarde nécessaires pour garantir l’approvisionnement énergétique pour l’hiver prochain (</w:t>
      </w:r>
      <w:r>
        <w:rPr>
          <w:rFonts w:ascii="Times New Roman" w:hAnsi="Times New Roman"/>
          <w:b/>
          <w:bCs/>
        </w:rPr>
        <w:t>paragraphe 13</w:t>
      </w:r>
      <w:r>
        <w:rPr>
          <w:rFonts w:ascii="Times New Roman" w:hAnsi="Times New Roman"/>
        </w:rPr>
        <w:t>). Le règlement sur le stockage du gaz adopté par les colégislateurs l’année dernière, ainsi que la diversification des voies d’approvisionnement en gaz, l’augmentation des volumes d’importations de gaz naturel liquéfié (GNL), les achats conjoints par l’intermédiaire de la plateforme pour l’énergie, ainsi que les dispositions renforcées en vue d’un déploiement accéléré des énergies renouvelables ont permis à l’Europe de disposer d’un approvisionnement suffisant en énergie au cours de l’hiver dernier. Les mesures prises par l’UE en matière de réduction de la demande se sont révélées efficaces, dans le contexte d’une demande modérée de l’industrie et du secteur du logement en raison des prix élevés. La proposition de la Commission visant à proroger ce règlement pendant un an a été approuvée par le Conseil le 28 mars 2023</w:t>
      </w:r>
      <w:r>
        <w:rPr>
          <w:rStyle w:val="FootnoteReference"/>
          <w:rFonts w:ascii="Times New Roman" w:hAnsi="Times New Roman"/>
          <w:szCs w:val="24"/>
        </w:rPr>
        <w:footnoteReference w:id="6"/>
      </w:r>
      <w:r>
        <w:rPr>
          <w:rFonts w:ascii="Times New Roman" w:hAnsi="Times New Roman"/>
        </w:rPr>
        <w:t xml:space="preserve">. </w:t>
      </w:r>
    </w:p>
    <w:p w14:paraId="7A9A52EE" w14:textId="77777777" w:rsidR="00D1236C" w:rsidRDefault="00D1236C" w:rsidP="00D1236C">
      <w:pPr>
        <w:spacing w:after="120"/>
        <w:rPr>
          <w:rFonts w:ascii="Times New Roman" w:hAnsi="Times New Roman"/>
          <w:szCs w:val="24"/>
        </w:rPr>
      </w:pPr>
      <w:r>
        <w:rPr>
          <w:rFonts w:ascii="Times New Roman" w:hAnsi="Times New Roman"/>
        </w:rPr>
        <w:t>En outre, le 14 mars 2023, la Commission a présenté sa réforme de l’organisation du marché de l’électricité, qui contribuera à une solution à long terme pour une énergie sûre, stable et abordable. La Commission se félicite également des accords conclus entre les colégislateurs sur d’importants éléments liés à l’énergie du paquet «Ajustement à l’objectif 55», à savoir la refonte de la directive relative à l’efficacité énergétique ainsi que la révision de la directive sur les énergies renouvelables, et attend avec intérêt les négociations interinstitutionnelles sur la directive sur la performance énergétique des bâtiments.</w:t>
      </w:r>
    </w:p>
    <w:p w14:paraId="0FC3292B" w14:textId="176FBC97" w:rsidR="007C1EF0" w:rsidRPr="00837DF1" w:rsidRDefault="007C1EF0" w:rsidP="007C1EF0">
      <w:pPr>
        <w:spacing w:after="120"/>
        <w:rPr>
          <w:rFonts w:ascii="Times New Roman" w:hAnsi="Times New Roman"/>
          <w:szCs w:val="24"/>
        </w:rPr>
      </w:pPr>
      <w:r>
        <w:rPr>
          <w:rFonts w:ascii="Times New Roman" w:hAnsi="Times New Roman"/>
        </w:rPr>
        <w:t>Le 16 mars 2023, la Commission a présenté une proposition de règlement sur les matières premières critiques qui couvre un ensemble complet d’actions visant à garantir l’accès de l’UE à un approvisionnement sûr, diversifié, abordable et durable en matières premières critiques.</w:t>
      </w:r>
    </w:p>
    <w:p w14:paraId="5522D155" w14:textId="43F1A823" w:rsidR="007C1EF0" w:rsidRDefault="007C1EF0" w:rsidP="007C1EF0">
      <w:pPr>
        <w:spacing w:after="120"/>
        <w:rPr>
          <w:rFonts w:ascii="Times New Roman" w:hAnsi="Times New Roman"/>
          <w:szCs w:val="24"/>
        </w:rPr>
      </w:pPr>
      <w:r>
        <w:rPr>
          <w:rFonts w:ascii="Times New Roman" w:hAnsi="Times New Roman"/>
        </w:rPr>
        <w:t>Dans le cadre du paquet «Ajustement à l’objectif 55» et des dossiers connexes, la Commission européenne a proposé un cadre législatif à part entière pour la production, la consommation, le développement des infrastructures et les règles de marché pour un futur marché de l’hydrogène (</w:t>
      </w:r>
      <w:r>
        <w:rPr>
          <w:rFonts w:ascii="Times New Roman" w:hAnsi="Times New Roman"/>
          <w:b/>
          <w:bCs/>
        </w:rPr>
        <w:t>paragraphe 14</w:t>
      </w:r>
      <w:r>
        <w:rPr>
          <w:rFonts w:ascii="Times New Roman" w:hAnsi="Times New Roman"/>
        </w:rPr>
        <w:t xml:space="preserve">). Le paquet gaz et hydrogène en cours de négociation devrait contribuer à faire de l’UE la première région à fournir une sécurité réglementaire pour commencer la production et la consommation d’hydrogène renouvelable et bas carbone. En ce qui concerne les besoins en infrastructures, la première liste de l’Union de projets d’intérêt commun et de projets d’intérêt mutuel, notamment dans le domaine de l’hydrogène et des électrolyseurs, est en cours d’élaboration dans le contexte de la mise en œuvre de la politique relative aux réseaux transeuropéens d’énergie. À la suite de la proposition de la Commission du 16 mars </w:t>
      </w:r>
      <w:r>
        <w:rPr>
          <w:rFonts w:ascii="Times New Roman" w:hAnsi="Times New Roman"/>
        </w:rPr>
        <w:lastRenderedPageBreak/>
        <w:t>2023, la Commission travaille également à la mise en œuvre opérationnelle de la Banque européenne d’hydrogène.</w:t>
      </w:r>
    </w:p>
    <w:p w14:paraId="33C57C4D" w14:textId="32379861" w:rsidR="007C1EF0" w:rsidRPr="0029754C" w:rsidRDefault="007C1EF0" w:rsidP="007C1EF0">
      <w:pPr>
        <w:spacing w:after="120"/>
        <w:rPr>
          <w:rFonts w:ascii="Times New Roman" w:hAnsi="Times New Roman"/>
          <w:szCs w:val="24"/>
        </w:rPr>
      </w:pPr>
      <w:r>
        <w:rPr>
          <w:rFonts w:ascii="Times New Roman" w:hAnsi="Times New Roman"/>
        </w:rPr>
        <w:t>Dans le cadre du plan industriel du pacte vert, la proposition de règlement pour une industrie «zéro net» vise à simplifier le cadre réglementaire et à améliorer l’environnement d’investissement pour la fabrication de technologies propres et, partant, à accroître la compétitivité de l’industrie des technologies à zéro émission nette en Europe (</w:t>
      </w:r>
      <w:r>
        <w:rPr>
          <w:rFonts w:ascii="Times New Roman" w:hAnsi="Times New Roman"/>
          <w:b/>
          <w:bCs/>
        </w:rPr>
        <w:t>paragraphe 16</w:t>
      </w:r>
      <w:r>
        <w:rPr>
          <w:rFonts w:ascii="Times New Roman" w:hAnsi="Times New Roman"/>
        </w:rPr>
        <w:t>). Ce règlement met en place un cadre réglementaire qui simplifie et accélère l’octroi des autorisations, établit des projets stratégiques à zéro émission nette et prévoit des sas réglementaires pour les technologies innovantes à zéro émission nette.</w:t>
      </w:r>
    </w:p>
    <w:p w14:paraId="3A3E6852" w14:textId="28CC1A90" w:rsidR="007C1EF0" w:rsidRDefault="007C1EF0" w:rsidP="007C1EF0">
      <w:pPr>
        <w:spacing w:after="120"/>
        <w:rPr>
          <w:rFonts w:ascii="Times New Roman" w:hAnsi="Times New Roman"/>
          <w:b/>
          <w:szCs w:val="24"/>
        </w:rPr>
      </w:pPr>
      <w:r>
        <w:rPr>
          <w:rFonts w:ascii="Times New Roman" w:hAnsi="Times New Roman"/>
          <w:b/>
        </w:rPr>
        <w:t>Charge réglementaire</w:t>
      </w:r>
    </w:p>
    <w:p w14:paraId="0734DD2C" w14:textId="77777777" w:rsidR="007C1EF0" w:rsidRPr="00837DF1" w:rsidRDefault="007C1EF0" w:rsidP="007C1EF0">
      <w:pPr>
        <w:spacing w:after="120"/>
        <w:rPr>
          <w:rFonts w:ascii="Times New Roman" w:hAnsi="Times New Roman"/>
          <w:bCs/>
          <w:szCs w:val="24"/>
        </w:rPr>
      </w:pPr>
      <w:r>
        <w:rPr>
          <w:rFonts w:ascii="Times New Roman" w:hAnsi="Times New Roman"/>
        </w:rPr>
        <w:t>La Commission partage pleinement les préoccupations du Parlement concernant les charges administratives inutiles (</w:t>
      </w:r>
      <w:r>
        <w:rPr>
          <w:rFonts w:ascii="Times New Roman" w:hAnsi="Times New Roman"/>
          <w:b/>
          <w:bCs/>
        </w:rPr>
        <w:t>paragraphe 17</w:t>
      </w:r>
      <w:r>
        <w:rPr>
          <w:rFonts w:ascii="Times New Roman" w:hAnsi="Times New Roman"/>
        </w:rPr>
        <w:t>) et se félicite de son soutien à l’approche «un ajout, un retrait» ainsi qu’au nouveau contrôle de la compétitivité. La communication de la Commission intitulée «La compétitivité à long terme de l’UE: se projeter au-delà de 2030», propose de mettre en place un cadre réglementaire propice à la croissance. Tout en rappelant que l’UE dispose d’un système d’amélioration de la réglementation qui est considéré comme l’un des plus avancés par l’OCDE et qu’elle fixe des normes ambitieuses dans des domaines tels que la protection des consommateurs, la concurrence, l’environnement et la sécurité sur le lieu de travail, cette communication annonce la poursuite des travaux visant à rationaliser et à simplifier les obligations en matière de communication d’informations dans le but de réduire ces charges de 25 %.</w:t>
      </w:r>
    </w:p>
    <w:p w14:paraId="12158A20" w14:textId="3923C39B" w:rsidR="007C1EF0" w:rsidRDefault="007C1EF0" w:rsidP="007C1EF0">
      <w:pPr>
        <w:spacing w:after="120"/>
        <w:rPr>
          <w:rFonts w:ascii="Times New Roman" w:hAnsi="Times New Roman"/>
          <w:b/>
          <w:szCs w:val="24"/>
        </w:rPr>
      </w:pPr>
      <w:r>
        <w:rPr>
          <w:rFonts w:ascii="Times New Roman" w:hAnsi="Times New Roman"/>
          <w:b/>
        </w:rPr>
        <w:t>Un accès plus rapide à des financements suffisants et le Fonds européen de souveraineté</w:t>
      </w:r>
    </w:p>
    <w:p w14:paraId="5F609662" w14:textId="2C13DB1D" w:rsidR="007C1EF0" w:rsidRPr="00837DF1" w:rsidRDefault="007C1EF0" w:rsidP="007C1EF0">
      <w:pPr>
        <w:spacing w:after="120"/>
        <w:rPr>
          <w:rFonts w:ascii="Times New Roman" w:hAnsi="Times New Roman"/>
          <w:bCs/>
          <w:szCs w:val="24"/>
        </w:rPr>
      </w:pPr>
      <w:r>
        <w:rPr>
          <w:rFonts w:ascii="Times New Roman" w:hAnsi="Times New Roman"/>
        </w:rPr>
        <w:t>En soutenant le plan industriel du pacte vert, le budget de l’UE continuera de contribuer au financement ciblé et rapide de l’industrie à zéro émission nette dans l’UE (</w:t>
      </w:r>
      <w:r>
        <w:rPr>
          <w:rFonts w:ascii="Times New Roman" w:hAnsi="Times New Roman"/>
          <w:b/>
          <w:bCs/>
        </w:rPr>
        <w:t>paragraphes 19 et 23</w:t>
      </w:r>
      <w:r>
        <w:rPr>
          <w:rFonts w:ascii="Times New Roman" w:hAnsi="Times New Roman"/>
        </w:rPr>
        <w:t>). Dans le cadre de NextGenerationEU, les plans nationaux pour la reprise et la résilience adoptés prévoient 250 milliards d’euros pour des mesures vertes, y compris des investissements soutenant la décarbonation de l’industrie. Grâce à la législation REPowerEU, le soutien de l’UE à la transition écologique a augmenté grâce au financement supplémentaire apporté à la facilité pour la reprise et la résilience (FRR): des subventions supplémentaires au titre de la FRR (20 milliards d’euros) seront mises à la disposition des États membres pour promouvoir l’écologisation de l’industrie, soutenir les projets industriels à zéro émission nette de l’UE, stimuler les énergies renouvelables et les infrastructures de réseau et réduire la consommation d’énergies fossiles dans les secteurs de l’industrie et des transports où cela s’avère difficile. Les États membres sont également en mesure de consacrer des subventions au titre de la réserve d’ajustement au Brexit (5,4 milliards d’euros, dont 2,1 milliards d’euros seront transférés à RePowerEU) à ces objectifs. Ils pourront en outre utiliser les prêts restants au titre de la FRR (225 milliards d’euros), assortis d’un préfinancement substantiel, pour ces investissements et ces réformes.</w:t>
      </w:r>
    </w:p>
    <w:p w14:paraId="1776269D" w14:textId="10C9BE28" w:rsidR="007C1EF0" w:rsidRPr="00837DF1" w:rsidRDefault="007C1EF0" w:rsidP="007C1EF0">
      <w:pPr>
        <w:spacing w:after="120"/>
        <w:rPr>
          <w:rFonts w:ascii="Times New Roman" w:hAnsi="Times New Roman"/>
          <w:bCs/>
          <w:szCs w:val="24"/>
        </w:rPr>
      </w:pPr>
      <w:r>
        <w:rPr>
          <w:rFonts w:ascii="Times New Roman" w:hAnsi="Times New Roman"/>
        </w:rPr>
        <w:t xml:space="preserve">InvestEU peut mobiliser plus de 372 milliards d’euros de financements — principalement privés, mais aussi publics — grâce à la garantie de 26,2 milliards d’euros apportée par le mécanisme de garantie budgétaire de l’UE. La Commission continuera de collaborer avec la BEI — la banque de l’UE — et d’autres partenaires pour répondre efficacement et en temps utile aux besoins de financement des projets prioritaires, tels que les projets importants d’intérêt européen commun (PIIEC). D’ici à la fin de 2023, 14,83 milliards d’euros de la garantie de l’Union doivent être alloués à des opérations approuvées par les partenaires chargés de la mise en œuvre, ce qui laisse 11,37 milliards d’euros pour la période 2024-2027. Avec la proposition STEP, la Commission a proposé </w:t>
      </w:r>
      <w:r>
        <w:rPr>
          <w:rFonts w:ascii="Times New Roman" w:hAnsi="Times New Roman"/>
        </w:rPr>
        <w:lastRenderedPageBreak/>
        <w:t>de renforcer InvestEU par la création d’un nouveau volet pour soutenir les objectifs de STEP. La Commission envisage en outre des mesures visant à simplifier les procédures d’InvestEU et à adapter ses produits financiers aux besoins actuels.</w:t>
      </w:r>
    </w:p>
    <w:p w14:paraId="2AB415ED" w14:textId="18CD77F4" w:rsidR="007C1EF0" w:rsidRPr="00837DF1" w:rsidRDefault="007C1EF0" w:rsidP="007C1EF0">
      <w:pPr>
        <w:spacing w:after="120"/>
        <w:rPr>
          <w:rFonts w:ascii="Times New Roman" w:hAnsi="Times New Roman"/>
          <w:bCs/>
          <w:szCs w:val="24"/>
        </w:rPr>
      </w:pPr>
      <w:r>
        <w:rPr>
          <w:rFonts w:ascii="Times New Roman" w:hAnsi="Times New Roman"/>
        </w:rPr>
        <w:t>Au cours de cette décennie, on estime que 40 milliards d’euros seront disponibles au titre du Fonds pour l’innovation. La directive relative au système d’échange de quotas d’émission (SEQE), telle que révisée en avril 2023 dans le cadre du paquet «Ajustement à l’objectif 55», permet au Fonds pour l’innovation de subventionner, au moyen de procédures de mise en concurrence, 100 % du déficit de financement pour le déploiement de la fabrication de technologies propres.</w:t>
      </w:r>
    </w:p>
    <w:p w14:paraId="59B9E41C" w14:textId="77777777" w:rsidR="007C1EF0" w:rsidRPr="00837DF1" w:rsidRDefault="007C1EF0" w:rsidP="007C1EF0">
      <w:pPr>
        <w:spacing w:after="120"/>
        <w:rPr>
          <w:rFonts w:ascii="Times New Roman" w:hAnsi="Times New Roman"/>
          <w:bCs/>
          <w:szCs w:val="24"/>
        </w:rPr>
      </w:pPr>
      <w:r>
        <w:rPr>
          <w:rFonts w:ascii="Times New Roman" w:hAnsi="Times New Roman"/>
        </w:rPr>
        <w:t>Le Fonds européen de développement régional (FEDER), le Fonds de cohésion et le Fonds social européen plus (FSE +) garantissent qu’aucune région ou personne n’est laissée pour compte. Le FEDER et le Fonds de cohésion permettent des investissements visant à rendre les États membres et les régions de l’UE plus compétitifs et plus intelligents, grâce à l’innovation et au soutien aux petites et moyennes entreprises, à la numérisation et à la connectivité numérique; plus écologiques, à faibles émissions de carbone et résilients; mieux connectés grâce à l’amélioration de la mobilité; plus proche des citoyens, en soutenant le développement mené au niveau local et le développement urbain durable dans l’ensemble de l’UE. Le FSE + investit en outre dans le développement des compétences nécessaires pour soutenir la compétitivité.</w:t>
      </w:r>
    </w:p>
    <w:p w14:paraId="4B70FD28" w14:textId="67AA036C" w:rsidR="007C1EF0" w:rsidRDefault="007C1EF0" w:rsidP="00B30F8B">
      <w:pPr>
        <w:spacing w:after="120"/>
        <w:rPr>
          <w:rFonts w:ascii="Times New Roman" w:hAnsi="Times New Roman"/>
          <w:bCs/>
          <w:szCs w:val="24"/>
        </w:rPr>
      </w:pPr>
      <w:r>
        <w:rPr>
          <w:rFonts w:ascii="Times New Roman" w:hAnsi="Times New Roman"/>
        </w:rPr>
        <w:t xml:space="preserve">Le 20 juin 2023, la Commission a proposé la plateforme «Technologies stratégiques pour l’Europe» (STEP), qui apporte une réponse structurelle aux besoins d’investissement des industries de l’Union. STEP soutiendra l’adoption et l’expansion du développement et de la fabrication de technologies stratégiques dans l’UE, dans les domaines des technologies numériques et profondes, des technologies propres et des biotechnologies, ainsi que leurs chaînes de valeur respectives et les matières premières critiques qui y sont liées. </w:t>
      </w:r>
    </w:p>
    <w:p w14:paraId="48ACD274" w14:textId="77777777" w:rsidR="007C1EF0" w:rsidRDefault="007C1EF0" w:rsidP="007C1EF0">
      <w:pPr>
        <w:spacing w:after="120"/>
        <w:rPr>
          <w:rFonts w:ascii="Times New Roman" w:hAnsi="Times New Roman"/>
          <w:bCs/>
          <w:szCs w:val="24"/>
        </w:rPr>
      </w:pPr>
      <w:r>
        <w:rPr>
          <w:rFonts w:ascii="Times New Roman" w:hAnsi="Times New Roman"/>
        </w:rPr>
        <w:t>Les programmes de l’UE mis en œuvre par la Commission apportent un soutien aux bénéficiaires qui respectent les exigences légales applicables dans les pays où ils sont situés et des exigences spécifiques définies au niveau de chaque programme, en vue d’atteindre des objectifs spécifiques de politique publique (</w:t>
      </w:r>
      <w:r>
        <w:rPr>
          <w:rFonts w:ascii="Times New Roman" w:hAnsi="Times New Roman"/>
          <w:b/>
          <w:bCs/>
        </w:rPr>
        <w:t>paragraphe 21</w:t>
      </w:r>
      <w:r>
        <w:rPr>
          <w:rFonts w:ascii="Times New Roman" w:hAnsi="Times New Roman"/>
        </w:rPr>
        <w:t>).</w:t>
      </w:r>
    </w:p>
    <w:p w14:paraId="29128DB3" w14:textId="6B48BB84" w:rsidR="007C1EF0" w:rsidRDefault="007C1EF0" w:rsidP="007C1EF0">
      <w:pPr>
        <w:spacing w:after="120"/>
        <w:rPr>
          <w:rFonts w:ascii="Times New Roman" w:hAnsi="Times New Roman"/>
          <w:bCs/>
          <w:szCs w:val="24"/>
        </w:rPr>
      </w:pPr>
      <w:r>
        <w:rPr>
          <w:rFonts w:ascii="Times New Roman" w:hAnsi="Times New Roman"/>
        </w:rPr>
        <w:t>La Commission européenne se félicite de la référence à la nécessité de garantir l’autonomie stratégique de l’UE, y compris dans le secteur de la défense (</w:t>
      </w:r>
      <w:r>
        <w:rPr>
          <w:rFonts w:ascii="Times New Roman" w:hAnsi="Times New Roman"/>
          <w:b/>
          <w:bCs/>
        </w:rPr>
        <w:t>paragraphe 22</w:t>
      </w:r>
      <w:r>
        <w:rPr>
          <w:rFonts w:ascii="Times New Roman" w:hAnsi="Times New Roman"/>
        </w:rPr>
        <w:t>). L’invasion injustifiée de l’Ukraine par la Russie a mis davantage en lumière les dépendances extérieures de l’UE dans des secteurs clés, tels que la défense; cette situation appelle une augmentation des investissements et une coopération débouchant sur un renforcement des capacités de production. La Commission soutient les efforts déployés par l’Ukraine, notamment en ce qui concerne ses besoins en munitions, notamment au moyen du règlement sur le soutien à la production de munitions (ASAP)</w:t>
      </w:r>
      <w:r>
        <w:rPr>
          <w:rStyle w:val="FootnoteReference"/>
          <w:rFonts w:ascii="Times New Roman" w:hAnsi="Times New Roman"/>
          <w:bCs/>
          <w:szCs w:val="24"/>
        </w:rPr>
        <w:footnoteReference w:id="7"/>
      </w:r>
      <w:r>
        <w:rPr>
          <w:rFonts w:ascii="Times New Roman" w:hAnsi="Times New Roman"/>
        </w:rPr>
        <w:t xml:space="preserve"> et de l’instrument visant à renforcer l’industrie européenne de la défense au moyen d'acquisitions conjointes (EDIRPA)</w:t>
      </w:r>
      <w:r>
        <w:rPr>
          <w:rStyle w:val="FootnoteReference"/>
          <w:rFonts w:ascii="Times New Roman" w:hAnsi="Times New Roman"/>
          <w:bCs/>
          <w:szCs w:val="24"/>
        </w:rPr>
        <w:footnoteReference w:id="8"/>
      </w:r>
      <w:r>
        <w:rPr>
          <w:rFonts w:ascii="Times New Roman" w:hAnsi="Times New Roman"/>
        </w:rPr>
        <w:t>.</w:t>
      </w:r>
    </w:p>
    <w:p w14:paraId="47D2D289" w14:textId="371443C5" w:rsidR="007C1EF0" w:rsidRDefault="007C1EF0" w:rsidP="007C1EF0">
      <w:pPr>
        <w:spacing w:after="120"/>
        <w:rPr>
          <w:rFonts w:ascii="Times New Roman" w:hAnsi="Times New Roman"/>
          <w:bCs/>
          <w:szCs w:val="24"/>
        </w:rPr>
      </w:pPr>
      <w:r>
        <w:rPr>
          <w:rFonts w:ascii="Times New Roman" w:hAnsi="Times New Roman"/>
        </w:rPr>
        <w:t>La Commission prépare régulièrement une évaluation des besoins et/ou une analyse d’impact pour encadrer l’intervention dans ses propositions législatives et non législatives (</w:t>
      </w:r>
      <w:r>
        <w:rPr>
          <w:rFonts w:ascii="Times New Roman" w:hAnsi="Times New Roman"/>
          <w:b/>
          <w:bCs/>
        </w:rPr>
        <w:t>paragraphe 24</w:t>
      </w:r>
      <w:r>
        <w:rPr>
          <w:rFonts w:ascii="Times New Roman" w:hAnsi="Times New Roman"/>
        </w:rPr>
        <w:t>), comme cela a été le cas récemment pour les propositions de règlement sur les matières premières critiques. La Commission convient que ces évaluations et analyses sont essentielles et maintiendra la même approche à l’avenir.</w:t>
      </w:r>
    </w:p>
    <w:p w14:paraId="339747C2" w14:textId="0882766A" w:rsidR="00CE1E1E" w:rsidRPr="00821AB7" w:rsidRDefault="00CE1E1E" w:rsidP="007C1EF0">
      <w:pPr>
        <w:spacing w:after="120"/>
        <w:rPr>
          <w:rFonts w:ascii="Times New Roman" w:hAnsi="Times New Roman"/>
          <w:szCs w:val="24"/>
        </w:rPr>
      </w:pPr>
      <w:r>
        <w:rPr>
          <w:rFonts w:ascii="Times New Roman" w:hAnsi="Times New Roman"/>
        </w:rPr>
        <w:lastRenderedPageBreak/>
        <w:t>La Commission convient que des ressources propres doivent être introduites pour protéger les dépenses budgétaires de l’UE, y compris en ce qui concerne le remboursement de NextGenerationEU, pour se préparer aux défis à venir et éviter une augmentation excessive des contributions RNB (</w:t>
      </w:r>
      <w:r>
        <w:rPr>
          <w:rFonts w:ascii="Times New Roman" w:hAnsi="Times New Roman"/>
          <w:b/>
          <w:bCs/>
        </w:rPr>
        <w:t>paragraphe 25</w:t>
      </w:r>
      <w:r>
        <w:rPr>
          <w:rFonts w:ascii="Times New Roman" w:hAnsi="Times New Roman"/>
        </w:rPr>
        <w:t>). Le 20 juin 2023, la Commission a proposé un ensemble ajusté de nouvelles ressources propres. Sur la base du mécanisme d’ajustement carbone aux frontières (MACF) et de la législation sectorielle du système d’échange de quotas d’émission (SEQE) adoptée entre-temps et compte tenu du fait que la convention multilatérale du pilier 1 de l’Organisation de coopération et de développement économiques (OCDE) n’a pas encore été signée et ratifiée, la Commission a complété sa précédente proposition sur le système d’échange de quotas d’émission, un mécanisme d’ajustement carbone aux frontières, et le pilier 1 de l’OCDE par une nouvelle ressource statistique propre temporaire fondée sur les bénéfices des entreprises. Cette proposition finale intervient un an avant la date prévue dans l’accord interinstitutionnel de 2020</w:t>
      </w:r>
      <w:r>
        <w:rPr>
          <w:rStyle w:val="FootnoteReference"/>
          <w:rFonts w:ascii="Times New Roman" w:hAnsi="Times New Roman"/>
          <w:szCs w:val="24"/>
        </w:rPr>
        <w:footnoteReference w:id="9"/>
      </w:r>
      <w:r>
        <w:rPr>
          <w:rFonts w:ascii="Times New Roman" w:hAnsi="Times New Roman"/>
        </w:rPr>
        <w:t>, soulignant l’engagement de la Commission à protéger le budget de l’UE. Tous les éléments sont à présent sur la table et une nouvelle dynamique est engagée pour relancer et accélérer les négociations sur les ressources propres.</w:t>
      </w:r>
    </w:p>
    <w:p w14:paraId="21CB3664" w14:textId="0FEBF0C7" w:rsidR="007C1EF0" w:rsidRDefault="007C1EF0" w:rsidP="007C1EF0">
      <w:pPr>
        <w:spacing w:after="120"/>
        <w:rPr>
          <w:rFonts w:ascii="Times New Roman" w:hAnsi="Times New Roman"/>
          <w:bCs/>
          <w:szCs w:val="24"/>
        </w:rPr>
      </w:pPr>
      <w:r>
        <w:rPr>
          <w:rFonts w:ascii="Times New Roman" w:hAnsi="Times New Roman"/>
        </w:rPr>
        <w:t>La Commission convient de l’importance de renforcer les actions visant à soutenir la dimension transfrontière des projets, la compétitivité industrielle, la transition numérique et la voie vers le pacte vert pour l’Europe (</w:t>
      </w:r>
      <w:r>
        <w:rPr>
          <w:rFonts w:ascii="Times New Roman" w:hAnsi="Times New Roman"/>
          <w:b/>
          <w:bCs/>
        </w:rPr>
        <w:t>paragraphe 27</w:t>
      </w:r>
      <w:r>
        <w:rPr>
          <w:rFonts w:ascii="Times New Roman" w:hAnsi="Times New Roman"/>
        </w:rPr>
        <w:t>). La Commission rappelle que, dans le volet «énergie» du mécanisme pour l’interconnexion en Europe, l’accent est déjà mis sur le financement des infrastructures énergétiques transfrontières.</w:t>
      </w:r>
    </w:p>
    <w:p w14:paraId="0BF254B3" w14:textId="4BF00EF1" w:rsidR="007C1EF0" w:rsidRDefault="00B1230B" w:rsidP="007C1EF0">
      <w:pPr>
        <w:spacing w:after="120"/>
        <w:rPr>
          <w:rFonts w:ascii="Times New Roman" w:hAnsi="Times New Roman"/>
          <w:bCs/>
          <w:szCs w:val="24"/>
        </w:rPr>
      </w:pPr>
      <w:r>
        <w:rPr>
          <w:rFonts w:ascii="Times New Roman" w:hAnsi="Times New Roman"/>
        </w:rPr>
        <w:t>En ce qui concerne le soutien visant à atténuer les risques de chômage en situation d’urgence (</w:t>
      </w:r>
      <w:r>
        <w:rPr>
          <w:rFonts w:ascii="Times New Roman" w:hAnsi="Times New Roman"/>
          <w:b/>
          <w:bCs/>
        </w:rPr>
        <w:t>paragraphe 31</w:t>
      </w:r>
      <w:r>
        <w:rPr>
          <w:rFonts w:ascii="Times New Roman" w:hAnsi="Times New Roman"/>
        </w:rPr>
        <w:t>), cette mesure a été établie sur une base strictement temporaire, dans le seul but d’atténuer les répercussions économiques et sociales de la crise de la COVID-19. Sur la capacité maximale de prêt de 100 milliards d’euros, 98,4 % ont été alloués et versés à 19 États membres. L’assistance financière a cessé d’être disponible le 31 décembre 2022.</w:t>
      </w:r>
    </w:p>
    <w:p w14:paraId="6AA81D9C" w14:textId="3C278828" w:rsidR="007C1EF0" w:rsidRDefault="007C1EF0" w:rsidP="007C1EF0">
      <w:pPr>
        <w:spacing w:after="120"/>
        <w:rPr>
          <w:rFonts w:ascii="Times New Roman" w:hAnsi="Times New Roman"/>
          <w:bCs/>
          <w:szCs w:val="24"/>
        </w:rPr>
      </w:pPr>
      <w:r>
        <w:rPr>
          <w:rFonts w:ascii="Times New Roman" w:hAnsi="Times New Roman"/>
        </w:rPr>
        <w:t>La Commission a pris plusieurs mesures pour promouvoir le recours à la passation de marchés stratégiques (</w:t>
      </w:r>
      <w:r>
        <w:rPr>
          <w:rFonts w:ascii="Times New Roman" w:hAnsi="Times New Roman"/>
          <w:b/>
          <w:bCs/>
        </w:rPr>
        <w:t>paragraphes 32 et 33</w:t>
      </w:r>
      <w:r>
        <w:rPr>
          <w:rFonts w:ascii="Times New Roman" w:hAnsi="Times New Roman"/>
        </w:rPr>
        <w:t xml:space="preserve">). En 2021, elle a notamment publié deux documents d’orientation visant à favoriser le recours à des marchés publics dans le domaine social et dans le domaine de l’innovation. En outre, la Commission a financé plusieurs projets dans ce contexte. L’un d’entre eux (le projet «Big Buyers for Climate and Environment») vise à encourager la collaboration entre les acheteurs dans l’UE et à stimuler le développement de solutions innovantes. En outre, la proposition de règlement pour une industrie «zéro net» comprend des dispositions relatives aux marchés publics à l’appui des objectifs de durabilité et de résilience pour les technologies stratégiques à zéro émission nette. </w:t>
      </w:r>
    </w:p>
    <w:p w14:paraId="4E84C78E" w14:textId="77777777" w:rsidR="007C1EF0" w:rsidRDefault="007C1EF0" w:rsidP="007C1EF0">
      <w:pPr>
        <w:spacing w:after="120"/>
        <w:rPr>
          <w:rFonts w:ascii="Times New Roman" w:hAnsi="Times New Roman"/>
          <w:bCs/>
          <w:szCs w:val="24"/>
        </w:rPr>
      </w:pPr>
      <w:r>
        <w:rPr>
          <w:rFonts w:ascii="Times New Roman" w:hAnsi="Times New Roman"/>
        </w:rPr>
        <w:t>Le règlement REPowerEU mentionne explicitement la décarbonation de l’industrie parmi les objectifs que les États membres devraient prendre en considération dans leurs chapitres REPowerEU (</w:t>
      </w:r>
      <w:r>
        <w:rPr>
          <w:rFonts w:ascii="Times New Roman" w:hAnsi="Times New Roman"/>
          <w:b/>
          <w:bCs/>
        </w:rPr>
        <w:t>paragraphe 34</w:t>
      </w:r>
      <w:r>
        <w:rPr>
          <w:rFonts w:ascii="Times New Roman" w:hAnsi="Times New Roman"/>
        </w:rPr>
        <w:t>). Les orientations publiées par la Commission le 1</w:t>
      </w:r>
      <w:r>
        <w:rPr>
          <w:rFonts w:ascii="Times New Roman" w:hAnsi="Times New Roman"/>
          <w:vertAlign w:val="superscript"/>
        </w:rPr>
        <w:t>er</w:t>
      </w:r>
      <w:r>
        <w:rPr>
          <w:rFonts w:ascii="Times New Roman" w:hAnsi="Times New Roman"/>
        </w:rPr>
        <w:t xml:space="preserve"> février 2023 comprennent une sous-section relative au renforcement de la base industrielle de l’Europe dans le contexte des prix élevés de l’énergie, qui encourage les États membres à proposer, dans leurs chapitres REPowerEU, des mesures et des </w:t>
      </w:r>
      <w:r>
        <w:rPr>
          <w:rFonts w:ascii="Times New Roman" w:hAnsi="Times New Roman"/>
        </w:rPr>
        <w:lastRenderedPageBreak/>
        <w:t>investissements qui soutiennent la transition de l’industrie de l’UE vers des technologies à émission de carbone nulle ou à faibles émissions de carbone, tout en préservant la compétitivité actuelle et future des principales industries européennes des technologies propres.</w:t>
      </w:r>
    </w:p>
    <w:p w14:paraId="56E88347" w14:textId="537A073F" w:rsidR="007C1EF0" w:rsidRDefault="007C1EF0" w:rsidP="007C1EF0">
      <w:pPr>
        <w:spacing w:after="120"/>
        <w:rPr>
          <w:rFonts w:ascii="Times New Roman" w:hAnsi="Times New Roman"/>
          <w:b/>
          <w:szCs w:val="24"/>
        </w:rPr>
      </w:pPr>
      <w:r>
        <w:rPr>
          <w:rFonts w:ascii="Times New Roman" w:hAnsi="Times New Roman"/>
          <w:b/>
        </w:rPr>
        <w:t>Les aides d’État</w:t>
      </w:r>
    </w:p>
    <w:p w14:paraId="17508F28" w14:textId="36211C14" w:rsidR="000311BF" w:rsidRDefault="000311BF" w:rsidP="007C1EF0">
      <w:pPr>
        <w:spacing w:after="120"/>
        <w:rPr>
          <w:rFonts w:ascii="Times New Roman" w:hAnsi="Times New Roman"/>
          <w:bCs/>
          <w:szCs w:val="24"/>
        </w:rPr>
      </w:pPr>
      <w:r>
        <w:rPr>
          <w:rFonts w:ascii="Times New Roman" w:hAnsi="Times New Roman"/>
        </w:rPr>
        <w:t>Conformément au plan industriel du pacte vert, la Commission a adopté, le 9 mars 2023, un nouveau cadre temporaire de crise et de transition visant à encourager les mesures de soutien dans les secteurs essentiels à la transition vers une économie à zéro émission nette (</w:t>
      </w:r>
      <w:r>
        <w:rPr>
          <w:rFonts w:ascii="Times New Roman" w:hAnsi="Times New Roman"/>
          <w:b/>
          <w:bCs/>
        </w:rPr>
        <w:t>paragraphes 35, 36 et 39</w:t>
      </w:r>
      <w:r>
        <w:rPr>
          <w:rFonts w:ascii="Times New Roman" w:hAnsi="Times New Roman"/>
        </w:rPr>
        <w:t>). La flexibilité accordée par le cadre temporaire de crise et de transition reste ciblée, temporaire et proportionnée et elle a été calibrée pour produire des effets sur le marché unique. La Commission évaluera ultérieurement la nécessité d’une prolongation.</w:t>
      </w:r>
    </w:p>
    <w:p w14:paraId="31011BD4" w14:textId="0D0A7868" w:rsidR="007C1EF0" w:rsidRDefault="007C1EF0" w:rsidP="007C1EF0">
      <w:pPr>
        <w:spacing w:after="120"/>
        <w:rPr>
          <w:rFonts w:ascii="Times New Roman" w:hAnsi="Times New Roman"/>
          <w:bCs/>
          <w:szCs w:val="24"/>
        </w:rPr>
      </w:pPr>
      <w:r>
        <w:rPr>
          <w:rFonts w:ascii="Times New Roman" w:hAnsi="Times New Roman"/>
        </w:rPr>
        <w:t>Les États membres ont toute latitude pour former des projets importants d’intérêt européen commun (PIIEC) (</w:t>
      </w:r>
      <w:r>
        <w:rPr>
          <w:rFonts w:ascii="Times New Roman" w:hAnsi="Times New Roman"/>
          <w:b/>
          <w:bCs/>
        </w:rPr>
        <w:t>paragraphe 40</w:t>
      </w:r>
      <w:r>
        <w:rPr>
          <w:rFonts w:ascii="Times New Roman" w:hAnsi="Times New Roman"/>
        </w:rPr>
        <w:t>), déterminer la portée des projets et présélectionner les entreprises en tant que participants potentiels à la suite d’appels ouverts et avec toute la diligence requise, en particulier sur les marchés naissants, afin d’éviter de créer des distorsions de concurrence. Avant de notifier préalablement un PIIEC à la Commission, les États membres doivent supprimer les projets insuffisamment développés ou de mauvaise qualité, afin d’éviter d’entraîner des retards indus pour d’autres projets présélectionnés. Conformément au plan industriel du pacte vert pour l’Europe, la Commission a publié un code de bonnes pratiques pour une conception transparente, inclusive et plus rapide des PIIEC, qui permettra une évaluation rationalisée de ces projets. La Commission organisera également des réunions régulières en 2023 afin de partager les meilleures pratiques et d’améliorer la coordination des évaluations en cours et futures. En parallèle, la Commission facilite également la mise en œuvre de projets de recherche et développement liés aux PIEEC, en particulier par des petites et moyennes entreprises, grâce au relèvement des seuils de notification et des intensités d’aide dans le cadre du règlement général d’exemption par catégorie révisé.</w:t>
      </w:r>
    </w:p>
    <w:p w14:paraId="1295501C" w14:textId="77777777" w:rsidR="007C1EF0" w:rsidRDefault="007C1EF0" w:rsidP="00B1230B">
      <w:pPr>
        <w:widowControl w:val="0"/>
        <w:spacing w:after="120"/>
        <w:rPr>
          <w:rFonts w:ascii="Times New Roman" w:hAnsi="Times New Roman"/>
          <w:b/>
          <w:szCs w:val="24"/>
        </w:rPr>
      </w:pPr>
      <w:r>
        <w:rPr>
          <w:rFonts w:ascii="Times New Roman" w:hAnsi="Times New Roman"/>
          <w:b/>
        </w:rPr>
        <w:t>Amélioration de la qualité des emplois et des compétences</w:t>
      </w:r>
    </w:p>
    <w:p w14:paraId="052F0F94" w14:textId="77777777" w:rsidR="007C1EF0" w:rsidRPr="00D53A13" w:rsidRDefault="007C1EF0" w:rsidP="00B1230B">
      <w:pPr>
        <w:widowControl w:val="0"/>
        <w:spacing w:after="120"/>
        <w:rPr>
          <w:rFonts w:ascii="Times New Roman" w:hAnsi="Times New Roman"/>
          <w:bCs/>
          <w:szCs w:val="24"/>
        </w:rPr>
      </w:pPr>
      <w:r>
        <w:rPr>
          <w:rFonts w:ascii="Times New Roman" w:hAnsi="Times New Roman"/>
        </w:rPr>
        <w:t>Avec ses 20 principes et droits fondamentaux essentiels à l’équité et au bon fonctionnement des marchés du travail et des systèmes de protection sociale, le plan d’action sur le socle européen des droits sociaux poursuit un programme ambitieux visant à faire en sorte que les transitions vers la neutralité climatique, la numérisation et l’évolution démographique soient socialement équitables et justes (</w:t>
      </w:r>
      <w:r>
        <w:rPr>
          <w:rFonts w:ascii="Times New Roman" w:hAnsi="Times New Roman"/>
          <w:b/>
          <w:bCs/>
        </w:rPr>
        <w:t>paragraphe 43</w:t>
      </w:r>
      <w:r>
        <w:rPr>
          <w:rFonts w:ascii="Times New Roman" w:hAnsi="Times New Roman"/>
        </w:rPr>
        <w:t>). Il est renforcé par la recommandation du Conseil visant à assurer une transition équitable vers la neutralité climatique.</w:t>
      </w:r>
    </w:p>
    <w:p w14:paraId="7975463A" w14:textId="0329B9E9" w:rsidR="007C1EF0" w:rsidRDefault="007C1EF0" w:rsidP="00B1230B">
      <w:pPr>
        <w:widowControl w:val="0"/>
        <w:spacing w:after="120"/>
        <w:rPr>
          <w:rFonts w:ascii="Times New Roman" w:hAnsi="Times New Roman"/>
          <w:bCs/>
          <w:szCs w:val="24"/>
        </w:rPr>
      </w:pPr>
      <w:r>
        <w:rPr>
          <w:rFonts w:ascii="Times New Roman" w:hAnsi="Times New Roman"/>
        </w:rPr>
        <w:t>En outre, la directive relative à des salaires minimaux adéquats dans l’UE, adoptée en octobre 2022, établit un cadre de l’UE visant à rendre plus adéquate la protection offerte par les salaires minimaux, qui comprend la promotion de négociations collectives sur la fixation des salaires, un cadre de gouvernance clair pour la fixation et l’actualisation des salaires minimaux légaux et l’amélioration du suivi et du respect de la protection offerte par les salaires minimaux. Le 25 janvier 2023, la Commission a présenté une nouvelle initiative de dialogue social consistant en une communication de la Commission et une proposition de recommandation du Conseil.</w:t>
      </w:r>
    </w:p>
    <w:p w14:paraId="72CDC2B5" w14:textId="667E8AC2" w:rsidR="00120C41" w:rsidRDefault="009F2ED8" w:rsidP="00B1230B">
      <w:pPr>
        <w:widowControl w:val="0"/>
        <w:spacing w:after="120"/>
        <w:rPr>
          <w:rFonts w:ascii="Times New Roman" w:hAnsi="Times New Roman"/>
          <w:bCs/>
          <w:szCs w:val="24"/>
        </w:rPr>
      </w:pPr>
      <w:r>
        <w:rPr>
          <w:rFonts w:ascii="Times New Roman" w:hAnsi="Times New Roman"/>
        </w:rPr>
        <w:t>Enfin, le 13 juin 2023, la Commission a présenté un ensemble d’initiatives visant à exploiter pleinement le potentiel de l’économie sociale en termes d’emploi, d’innovation et d’inclusion sociale</w:t>
      </w:r>
      <w:r>
        <w:rPr>
          <w:rStyle w:val="FootnoteReference"/>
          <w:rFonts w:ascii="Times New Roman" w:hAnsi="Times New Roman"/>
          <w:bCs/>
          <w:szCs w:val="24"/>
          <w:lang w:val="en-IE"/>
        </w:rPr>
        <w:footnoteReference w:id="10"/>
      </w:r>
      <w:r>
        <w:rPr>
          <w:rFonts w:ascii="Times New Roman" w:hAnsi="Times New Roman"/>
        </w:rPr>
        <w:t>.</w:t>
      </w:r>
    </w:p>
    <w:p w14:paraId="23141862" w14:textId="77777777" w:rsidR="007C1EF0" w:rsidRDefault="007C1EF0" w:rsidP="00B1230B">
      <w:pPr>
        <w:widowControl w:val="0"/>
        <w:spacing w:after="120"/>
        <w:rPr>
          <w:rFonts w:ascii="Times New Roman" w:hAnsi="Times New Roman"/>
          <w:bCs/>
          <w:szCs w:val="24"/>
        </w:rPr>
      </w:pPr>
      <w:r>
        <w:rPr>
          <w:rFonts w:ascii="Times New Roman" w:hAnsi="Times New Roman"/>
        </w:rPr>
        <w:lastRenderedPageBreak/>
        <w:t>La stratégie européenne en matière de compétences, y compris son action 6, porte sur le renforcement des compétences des travailleurs pour les transitions écologique et numérique (</w:t>
      </w:r>
      <w:r>
        <w:rPr>
          <w:rFonts w:ascii="Times New Roman" w:hAnsi="Times New Roman"/>
          <w:b/>
          <w:bCs/>
        </w:rPr>
        <w:t>paragraphe 44</w:t>
      </w:r>
      <w:r>
        <w:rPr>
          <w:rFonts w:ascii="Times New Roman" w:hAnsi="Times New Roman"/>
        </w:rPr>
        <w:t>). L’une de ses actions, le pacte pour les compétences, a donné lieu à 18 partenariats sectoriels multipartites à grande échelle au niveau de l’UE, qui se sont engagé à investir dans la reconversion et le perfectionnement professionnels pour la double transition. Une autre action, à savoir la recommandation du Conseil de 2022 relative aux comptes de formation individuels, invite les États membres à mettre en place des programmes permettant aux personnes d’accéder à une formation adaptée au marché du travail. Le 18 avril 2023, la Commission a adopté deux propositions de recommandation du Conseil visant à aider les États membres et le secteur de l’éducation et de la formation à fournir une éducation et une formation numériques de qualité, inclusives et accessibles afin de développer les compétences numériques des Européens.</w:t>
      </w:r>
    </w:p>
    <w:p w14:paraId="54F81E13" w14:textId="0C7079B9" w:rsidR="007C1EF0" w:rsidRPr="003B0583" w:rsidRDefault="007C1EF0" w:rsidP="00B1230B">
      <w:pPr>
        <w:widowControl w:val="0"/>
        <w:spacing w:after="120"/>
        <w:rPr>
          <w:rFonts w:ascii="Times New Roman" w:hAnsi="Times New Roman"/>
          <w:bCs/>
          <w:szCs w:val="24"/>
        </w:rPr>
      </w:pPr>
      <w:r>
        <w:rPr>
          <w:rFonts w:ascii="Times New Roman" w:hAnsi="Times New Roman"/>
        </w:rPr>
        <w:t>Afin d’améliorer l’attractivité de l’Europe en tant que lieu d’emploi pour les ingénieurs et les universitaires (</w:t>
      </w:r>
      <w:r>
        <w:rPr>
          <w:rFonts w:ascii="Times New Roman" w:hAnsi="Times New Roman"/>
          <w:b/>
          <w:bCs/>
        </w:rPr>
        <w:t>paragraphe 45</w:t>
      </w:r>
      <w:r>
        <w:rPr>
          <w:rFonts w:ascii="Times New Roman" w:hAnsi="Times New Roman"/>
        </w:rPr>
        <w:t>), deux partenariats régionaux ont été lancés dans le cadre du pacte pour les compétences: la région de Lombardie (Italie) et le réseau européen des régions chimiques. Les partenariats en matière de compétences prévus par le pacte pour les compétences rassemblent des parties prenantes (tant publiques que privées, y compris les partenaires sociaux, les organisations et groupements industriels, les prestataires d’enseignement et de formation, les chambres de commerce, les agences de développement et les services publics de l’emploi) afin de mettre en œuvre des actions concrètes de perfectionnement et de reconversion professionnels.</w:t>
      </w:r>
    </w:p>
    <w:p w14:paraId="4DA69AC4" w14:textId="77777777" w:rsidR="007C1EF0" w:rsidRDefault="007C1EF0" w:rsidP="00B1230B">
      <w:pPr>
        <w:widowControl w:val="0"/>
        <w:spacing w:after="120"/>
        <w:rPr>
          <w:rFonts w:ascii="Times New Roman" w:hAnsi="Times New Roman"/>
          <w:bCs/>
          <w:szCs w:val="24"/>
        </w:rPr>
      </w:pPr>
      <w:r>
        <w:rPr>
          <w:rFonts w:ascii="Times New Roman" w:hAnsi="Times New Roman"/>
        </w:rPr>
        <w:t>En outre, en 2021, la Commission a lancé la plateforme pour les compétences et les emplois numériques afin de soutenir la mise en œuvre du pilier «compétences numériques» du programme pour une Europe numérique. Cette plateforme offre un accès gratuit aux bonnes pratiques, aux possibilités de formation, aux études, aux stratégies nationales, ainsi qu’à des données et des avis. Elle comporte également un dispositif relatif aux engagements, dans le cadre desquels les entreprises, les organisations et d’autres acteurs apportent des contributions concrètes à la réduction du déficit de compétences numériques en Europe. La plateforme est également le siège de la coalition en faveur des compétences et des emplois numériques, qui s’attaque au déficit de compétences numériques en réunissant les États membres, les partenaires sociaux, les entreprises, les organisations à but non lucratif et les prestataires d’enseignement, afin de sensibiliser et d’encourager les organisations à prendre différentes mesures pour soutenir la formation aux compétences numériques. Il existe actuellement des coalitions nationales dans 25 États membres de l’UE. 15 coalitions nationales disposent d’un site web connecté à la plateforme centrale pour les compétences et les emplois numériques et contribuent régulièrement avec de nouveaux contenus pertinents sur les compétences numériques.</w:t>
      </w:r>
    </w:p>
    <w:p w14:paraId="0B8C1F35" w14:textId="5AAADEAE" w:rsidR="007C1EF0" w:rsidRDefault="007C1EF0" w:rsidP="00B1230B">
      <w:pPr>
        <w:widowControl w:val="0"/>
        <w:spacing w:after="120"/>
        <w:rPr>
          <w:rFonts w:ascii="Times New Roman" w:eastAsia="Courier New" w:hAnsi="Times New Roman"/>
        </w:rPr>
      </w:pPr>
      <w:r>
        <w:rPr>
          <w:rFonts w:ascii="Times New Roman" w:hAnsi="Times New Roman"/>
        </w:rPr>
        <w:t>Qui plus est, l’UE prend des mesures pour relever les défis liés aux compétences posés par la double transition écologique et numérique dans le cadre plus large de la stratégie européenne en matière de compétences, qui fonctionne en synergie avec l’espace européen de l’éducation (</w:t>
      </w:r>
      <w:r>
        <w:rPr>
          <w:rFonts w:ascii="Times New Roman" w:hAnsi="Times New Roman"/>
          <w:b/>
          <w:bCs/>
        </w:rPr>
        <w:t>paragraphe 46</w:t>
      </w:r>
      <w:r>
        <w:rPr>
          <w:rFonts w:ascii="Times New Roman" w:hAnsi="Times New Roman"/>
        </w:rPr>
        <w:t>). Le forum industriel sur l’énergie propre s’engage quant à lui à intensifier les efforts et les investissements dans le développement des compétences. Le plan d’action en matière d’éducation numérique, la décennie numérique et le dialogue structuré sur l’éducation et les compétences numériques qui a eu lieu en 2022 ont préparé le terrain pour accélérer les actions visant à réformer les systèmes éducatifs et développer des compétences numériques de base et avancées dans l’ensemble de l’économie et à tout âge. Le 18 avril 2023, la Commission a adopté deux propositions de recommandation du Conseil</w:t>
      </w:r>
      <w:r>
        <w:rPr>
          <w:rStyle w:val="FootnoteReference"/>
          <w:rFonts w:ascii="Times New Roman" w:eastAsia="Courier New" w:hAnsi="Times New Roman"/>
          <w:lang w:val="en-IE"/>
        </w:rPr>
        <w:footnoteReference w:id="11"/>
      </w:r>
      <w:r>
        <w:rPr>
          <w:rFonts w:ascii="Times New Roman" w:hAnsi="Times New Roman"/>
        </w:rPr>
        <w:t xml:space="preserve">, l’une sur les facteurs favorisant la réussite </w:t>
      </w:r>
      <w:r>
        <w:rPr>
          <w:rFonts w:ascii="Times New Roman" w:hAnsi="Times New Roman"/>
        </w:rPr>
        <w:lastRenderedPageBreak/>
        <w:t>de l’éducation et de la formation numériques et l’autre sur l’amélioration de l’enseignement des compétences numériques dans le domaine de l’éducation et de la formation. Ces propositions portent sur les deux principaux défis recensés par la Commission et les États membres: l’absence d’une approche en matière d’éducation et de formation numériques à l’échelle gouvernementale et les difficultés rencontrées pour doter les personnes des compétences numériques nécessaires. La communication récente sur l’exploitation des talents dans les régions d’Europe</w:t>
      </w:r>
      <w:r>
        <w:rPr>
          <w:rStyle w:val="FootnoteReference"/>
          <w:rFonts w:ascii="Times New Roman" w:eastAsia="Courier New" w:hAnsi="Times New Roman"/>
          <w:lang w:val="en-IE"/>
        </w:rPr>
        <w:footnoteReference w:id="12"/>
      </w:r>
      <w:r>
        <w:rPr>
          <w:rFonts w:ascii="Times New Roman" w:hAnsi="Times New Roman"/>
        </w:rPr>
        <w:t xml:space="preserve"> soutient les politiques visant à contribuer à l’acquisition et au développement des compétences nécessaires à la transition écologique dans toutes les régions de l’UE. L’Année européenne des compétences 2023 est une occasion unique de promouvoir les besoins de compétences pour la vie comme la norme permettant à tous de prospérer dans une économie en mutation rapide et d’intensifier les efforts et les investissements en conséquence. </w:t>
      </w:r>
    </w:p>
    <w:p w14:paraId="1995EB1B" w14:textId="3A7FE817" w:rsidR="007C1EF0" w:rsidRDefault="007C1EF0" w:rsidP="007C1EF0">
      <w:pPr>
        <w:spacing w:before="120" w:after="120"/>
        <w:ind w:right="57"/>
        <w:rPr>
          <w:rFonts w:ascii="Times New Roman" w:hAnsi="Times New Roman"/>
        </w:rPr>
      </w:pPr>
      <w:r>
        <w:rPr>
          <w:rFonts w:ascii="Times New Roman" w:hAnsi="Times New Roman"/>
        </w:rPr>
        <w:t xml:space="preserve">Les prestataires d’enseignement et de formation professionnels sont présents tant dans le pacte pour les compétences que dans les académies de l’industrie «zéro net». La Commission collabore avec les États membres, les partenaires sociaux et les prestataires d’enseignement et de formation professionnels pour mettre en œuvre un cadre stratégique en matière d’EFP solide et axé sur la compétitivité durable et la double transition. Par exemple, la Commission met à disposition 400 millions d’euros au cours de la période 2021-2027 pour le développement de </w:t>
      </w:r>
      <w:hyperlink r:id="rId8" w:anchor=":~:text=Centres%20of%20Vocational%20Excellence%20(CoVEs,specialisation%20strategies%20and%20social%20inclusion." w:tgtFrame="_blank" w:history="1">
        <w:r>
          <w:rPr>
            <w:rFonts w:ascii="Times New Roman" w:hAnsi="Times New Roman"/>
          </w:rPr>
          <w:t>centres d’excellence professionnelle</w:t>
        </w:r>
      </w:hyperlink>
      <w:r>
        <w:rPr>
          <w:rFonts w:ascii="Times New Roman" w:hAnsi="Times New Roman"/>
        </w:rPr>
        <w:t>. Ces centres développent des «écosystèmes de compétences» locaux, en étroite collaboration avec les entreprises, y compris les PME, et contribuent au développement régional, à l’esprit d’entreprise, à l’innovation, aux pôles industriels et aux stratégies de spécialisation intelligente.</w:t>
      </w:r>
    </w:p>
    <w:p w14:paraId="27691CCA" w14:textId="77777777" w:rsidR="007C1EF0" w:rsidRDefault="007C1EF0" w:rsidP="007C1EF0">
      <w:pPr>
        <w:spacing w:before="120" w:after="120"/>
        <w:ind w:right="57"/>
        <w:rPr>
          <w:rFonts w:ascii="Times New Roman" w:hAnsi="Times New Roman"/>
        </w:rPr>
      </w:pPr>
      <w:r>
        <w:rPr>
          <w:rFonts w:ascii="Times New Roman" w:hAnsi="Times New Roman"/>
        </w:rPr>
        <w:t>L’apprentissage est un moyen efficace de garantir le développement des compétences que les entreprises peinent à trouver, y compris pour la transition écologique et numérique. L’Alliance européenne pour l’apprentissage (EAfA) œuvre à l’amélioration de l’offre, de la qualité et de l’image de l’apprentissage, ainsi qu’à la promotion de la mobilité des apprentis depuis 2013. En dix ans, 39 pays ont présenté des engagements concrets en vue d’améliorer la qualité et l’offre d’apprentissage et plus d’un million de stages d’apprentissage ont été offerts.</w:t>
      </w:r>
    </w:p>
    <w:p w14:paraId="06822AC8" w14:textId="77777777" w:rsidR="007C1EF0" w:rsidRDefault="007C1EF0" w:rsidP="007C1EF0">
      <w:pPr>
        <w:spacing w:before="120" w:after="120"/>
        <w:ind w:right="57"/>
        <w:rPr>
          <w:rFonts w:ascii="Times New Roman" w:hAnsi="Times New Roman"/>
          <w:bCs/>
          <w:szCs w:val="24"/>
        </w:rPr>
      </w:pPr>
      <w:r>
        <w:rPr>
          <w:rFonts w:ascii="Times New Roman" w:hAnsi="Times New Roman"/>
        </w:rPr>
        <w:t>La garantie renforcée pour la jeunesse, à laquelle tous les États membres se sont engagé à participer, vise à veiller à ce que tous les jeunes âgés de moins de 30 ans bénéficient d’une offre de qualité pour un emploi, une formation continue, un apprentissage ou un stage dans les quatre mois suivant la perte de leur emploi ou la fin de leurs études (</w:t>
      </w:r>
      <w:r>
        <w:rPr>
          <w:rFonts w:ascii="Times New Roman" w:hAnsi="Times New Roman"/>
          <w:b/>
          <w:bCs/>
        </w:rPr>
        <w:t>paragraphe 47</w:t>
      </w:r>
      <w:r>
        <w:rPr>
          <w:rFonts w:ascii="Times New Roman" w:hAnsi="Times New Roman"/>
        </w:rPr>
        <w:t>). Elle s’efforce d’aider les jeunes à acquérir une expérience professionnelle utile et à développer les compétences appropriées pour les transitions écologique et numérique. La garantie renforcée pour la jeunesse accorde une attention particulière aux personnes les plus difficiles à toucher, y compris les jeunes ne travaillant pas et ne suivant pas d’études ni de formation (NEET), au moyen d’approches sur mesure et individualisées.</w:t>
      </w:r>
    </w:p>
    <w:p w14:paraId="4AAFF360" w14:textId="77777777" w:rsidR="007C1EF0" w:rsidRDefault="007C1EF0" w:rsidP="007C1EF0">
      <w:pPr>
        <w:spacing w:before="120" w:after="120"/>
        <w:ind w:right="57"/>
        <w:rPr>
          <w:rFonts w:ascii="Times New Roman" w:hAnsi="Times New Roman"/>
          <w:bCs/>
          <w:szCs w:val="24"/>
        </w:rPr>
      </w:pPr>
      <w:r>
        <w:rPr>
          <w:rFonts w:ascii="Times New Roman" w:hAnsi="Times New Roman"/>
        </w:rPr>
        <w:t>Le manque d’intérêt et le fait de ne ressentir aucun besoin de formation (</w:t>
      </w:r>
      <w:r>
        <w:rPr>
          <w:rFonts w:ascii="Times New Roman" w:hAnsi="Times New Roman"/>
          <w:b/>
          <w:bCs/>
        </w:rPr>
        <w:t>paragraphe 48</w:t>
      </w:r>
      <w:r>
        <w:rPr>
          <w:rFonts w:ascii="Times New Roman" w:hAnsi="Times New Roman"/>
        </w:rPr>
        <w:t>) peuvent expliquer en partie la faible proportion de la population adulte participant à la formation, mais la Commission estime que l’une des principales raisons est le manque d’accès à des offres de formation adéquates dans de nombreux domaines de l’UE. La recommandation du Conseil de 2022 relative aux comptes de formation individuels invite les États membres à accorder aux individus des droits financiers pour accéder à la formation et à envisager des périodes de congé payé pour suivre des formations.</w:t>
      </w:r>
    </w:p>
    <w:p w14:paraId="5B1896F8" w14:textId="77777777" w:rsidR="007C1EF0" w:rsidRDefault="007C1EF0" w:rsidP="007C1EF0">
      <w:pPr>
        <w:spacing w:before="120" w:after="120"/>
        <w:ind w:right="57"/>
        <w:rPr>
          <w:rFonts w:ascii="Times New Roman" w:hAnsi="Times New Roman"/>
          <w:b/>
          <w:szCs w:val="24"/>
        </w:rPr>
      </w:pPr>
      <w:r>
        <w:rPr>
          <w:rFonts w:ascii="Times New Roman" w:hAnsi="Times New Roman"/>
          <w:b/>
        </w:rPr>
        <w:lastRenderedPageBreak/>
        <w:t>Commerce ouvert et équitable et chaînes d’approvisionnement résilientes</w:t>
      </w:r>
    </w:p>
    <w:p w14:paraId="028B6076" w14:textId="0C1C033F" w:rsidR="007C1EF0" w:rsidRDefault="007C1EF0" w:rsidP="00B1230B">
      <w:pPr>
        <w:widowControl w:val="0"/>
        <w:spacing w:after="120"/>
        <w:rPr>
          <w:rFonts w:ascii="Times New Roman" w:hAnsi="Times New Roman"/>
          <w:bCs/>
          <w:szCs w:val="24"/>
        </w:rPr>
      </w:pPr>
      <w:r>
        <w:rPr>
          <w:rFonts w:ascii="Times New Roman" w:hAnsi="Times New Roman"/>
        </w:rPr>
        <w:t>Afin de renforcer la résilience et la durabilité grâce à des chaînes d’approvisionnement diversifiées et fiables (</w:t>
      </w:r>
      <w:r>
        <w:rPr>
          <w:rFonts w:ascii="Times New Roman" w:hAnsi="Times New Roman"/>
          <w:b/>
          <w:bCs/>
        </w:rPr>
        <w:t>paragraphe 49</w:t>
      </w:r>
      <w:r>
        <w:rPr>
          <w:rFonts w:ascii="Times New Roman" w:hAnsi="Times New Roman"/>
        </w:rPr>
        <w:t>), la Commission continuera de développer le réseau d’accords de libre-échange de l’UE et d’autres formes de coopération. En particulier, comme annoncé dans la communication de février 2023 intitulée «Un plan industriel du pacte vert pour l’ère du zéro émission nette», la Commission s’emploiera à conclure les négociations avec l’Australie d’ici l’été 2023 et à réaliser des progrès significatifs avec l’Inde et l’Indonésie. Les négociations de l’ALE avec la Thaïlande ont été relancées en mars 2023. En outre, la Commission a également signé cinq partenariats stratégiques sur les chaînes de valeur des matières premières critiques avec le Canada, l’Ukraine, la Namibie, le Kazakhstan et l’Argentine, afin de diversifier et de renforcer la résilience des chaînes d’approvisionnement de l’UE en matières premières critiques. En outre, la Commission a déjà intensifié ses efforts en matière de suivi, d’analyse des chaînes d’approvisionnement et de recensement des lacunes en matière de capacités dans des secteurs critiques tels que l’espace et la défense. Par exemple, la Commission développe actuellement l’observatoire européen des technologies critiques en tant que nouvel outil qui servira cet objectif. Afin de diversifier l’approvisionnement de l’UE, le nouveau club des matières premières critiques réunira des pays consommateurs et riches en ressources et partageant les mêmes valeurs afin de promouvoir un approvisionnement sûr et durable en matières premières, qui sont essentielles à la transition écologique et numérique de l’UE.</w:t>
      </w:r>
    </w:p>
    <w:p w14:paraId="3FCD3A63" w14:textId="4A02551F" w:rsidR="007C1EF0" w:rsidRPr="007C1EF0" w:rsidRDefault="007C1EF0" w:rsidP="00B1230B">
      <w:pPr>
        <w:widowControl w:val="0"/>
        <w:spacing w:after="120"/>
        <w:rPr>
          <w:rFonts w:ascii="Times New Roman" w:hAnsi="Times New Roman"/>
          <w:b/>
          <w:iCs/>
          <w:szCs w:val="24"/>
        </w:rPr>
      </w:pPr>
      <w:r>
        <w:rPr>
          <w:rFonts w:ascii="Times New Roman" w:hAnsi="Times New Roman"/>
        </w:rPr>
        <w:t>La Commission est pleinement consciente du fait que de nombreux partenaires commerciaux ne respectent pas les règles du jeu et reçoivent des niveaux d’aide d’État sans précédent, qui changent, sont complexes et produisent des distorsions (</w:t>
      </w:r>
      <w:r>
        <w:rPr>
          <w:rFonts w:ascii="Times New Roman" w:hAnsi="Times New Roman"/>
          <w:b/>
          <w:bCs/>
        </w:rPr>
        <w:t>paragraphe</w:t>
      </w:r>
      <w:r>
        <w:rPr>
          <w:rFonts w:ascii="Times New Roman" w:hAnsi="Times New Roman"/>
        </w:rPr>
        <w:t xml:space="preserve"> </w:t>
      </w:r>
      <w:r>
        <w:rPr>
          <w:rFonts w:ascii="Times New Roman" w:hAnsi="Times New Roman"/>
          <w:b/>
          <w:bCs/>
        </w:rPr>
        <w:t>51</w:t>
      </w:r>
      <w:r>
        <w:rPr>
          <w:rFonts w:ascii="Times New Roman" w:hAnsi="Times New Roman"/>
        </w:rPr>
        <w:t>). En outre, les politiques et pratiques non fondées sur le marché qui faussent les conditions de concurrence, auxquelles certains pays tiers ont recours, peuvent exacerber les dépendances stratégiques. L’Union a déjà mis en place des outils et des mesures spécifiques de réduction des risques pour se protéger contre les risques pesant sur la sécurité économique. Au fur et à mesure de l’évolution des risques, la Commission évaluera l’efficacité de ces outils et envisagera des mises à jour ou la mise en place de nouveaux instruments si besoin, comme annoncé dans la communication conjointe sur la stratégie en matière de sécurité économique</w:t>
      </w:r>
      <w:r>
        <w:rPr>
          <w:rStyle w:val="FootnoteReference"/>
          <w:rFonts w:ascii="Times New Roman" w:hAnsi="Times New Roman"/>
          <w:bCs/>
          <w:szCs w:val="24"/>
          <w:lang w:val="en-IE"/>
        </w:rPr>
        <w:footnoteReference w:id="13"/>
      </w:r>
      <w:r>
        <w:rPr>
          <w:rFonts w:ascii="Times New Roman" w:hAnsi="Times New Roman"/>
        </w:rPr>
        <w:t>. Cette communication fournit également des informations sur le réexamen du règlement relatif au filtrage des investissements directs étrangers et souligne la nécessité de mettre pleinement en œuvre le règlement de l’UE sur le contrôle des exportations et d’évaluer les risques liés aux investissements sortants.</w:t>
      </w:r>
    </w:p>
    <w:sectPr w:rsidR="007C1EF0" w:rsidRPr="007C1EF0" w:rsidSect="000A07D2">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A76F" w14:textId="77777777" w:rsidR="00434BB4" w:rsidRDefault="00434BB4">
      <w:r>
        <w:separator/>
      </w:r>
    </w:p>
  </w:endnote>
  <w:endnote w:type="continuationSeparator" w:id="0">
    <w:p w14:paraId="2F136C33" w14:textId="77777777" w:rsidR="00434BB4" w:rsidRDefault="0043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D216"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7572924C"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E1F8" w14:textId="738F4AEB"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1E7CAFC7"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C290" w14:textId="5C57064A" w:rsidR="005E6EC2" w:rsidRPr="00441223" w:rsidRDefault="005E6EC2" w:rsidP="0044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7417" w14:textId="77777777" w:rsidR="00434BB4" w:rsidRDefault="00434BB4">
      <w:r>
        <w:separator/>
      </w:r>
    </w:p>
  </w:footnote>
  <w:footnote w:type="continuationSeparator" w:id="0">
    <w:p w14:paraId="404ECBF0" w14:textId="77777777" w:rsidR="00434BB4" w:rsidRDefault="00434BB4">
      <w:r>
        <w:continuationSeparator/>
      </w:r>
    </w:p>
  </w:footnote>
  <w:footnote w:id="1">
    <w:p w14:paraId="47ADFABC" w14:textId="3A68654B" w:rsidR="00851D50" w:rsidRPr="006C5027" w:rsidRDefault="00851D50" w:rsidP="00441223">
      <w:pPr>
        <w:pStyle w:val="FootnoteText"/>
        <w:spacing w:after="0"/>
      </w:pPr>
      <w:r>
        <w:rPr>
          <w:rStyle w:val="FootnoteReference"/>
        </w:rPr>
        <w:footnoteRef/>
      </w:r>
      <w:r>
        <w:t xml:space="preserve"> </w:t>
      </w:r>
      <w:hyperlink r:id="rId1" w:history="1">
        <w:r>
          <w:rPr>
            <w:rStyle w:val="Hyperlink"/>
            <w:rFonts w:ascii="Times New Roman" w:hAnsi="Times New Roman"/>
          </w:rPr>
          <w:t>https://eur-lex.europa.eu/legal-content/FR/TXT/PDF/?uri=CELEX:52023DC0168&amp;qid=1683019039547</w:t>
        </w:r>
      </w:hyperlink>
    </w:p>
  </w:footnote>
  <w:footnote w:id="2">
    <w:p w14:paraId="3DFBA26B" w14:textId="32078F23" w:rsidR="00821AB7" w:rsidRPr="001F4DFA" w:rsidRDefault="00821AB7" w:rsidP="001F4DFA">
      <w:pPr>
        <w:pStyle w:val="FootnoteText"/>
        <w:spacing w:after="0"/>
        <w:rPr>
          <w:rFonts w:ascii="Times New Roman" w:hAnsi="Times New Roman"/>
        </w:rPr>
      </w:pPr>
      <w:r>
        <w:rPr>
          <w:rStyle w:val="FootnoteReference"/>
        </w:rPr>
        <w:footnoteRef/>
      </w:r>
      <w:r>
        <w:t xml:space="preserve"> </w:t>
      </w:r>
      <w:r>
        <w:tab/>
      </w:r>
      <w:hyperlink r:id="rId2" w:history="1">
        <w:r>
          <w:rPr>
            <w:rStyle w:val="Hyperlink"/>
            <w:rFonts w:ascii="Times New Roman" w:hAnsi="Times New Roman"/>
          </w:rPr>
          <w:t>https://commission.europa.eu/strategy-and-policy/priorities-2019-2024/europe-fit-digital-age/european-industrial-strategy_en#:~:text=On%2011%20May%202021%2C%20the,resilient%20and%20globally%20competitive%20economy</w:t>
        </w:r>
      </w:hyperlink>
    </w:p>
  </w:footnote>
  <w:footnote w:id="3">
    <w:p w14:paraId="0E4932F8" w14:textId="166368E6" w:rsidR="00821AB7" w:rsidRPr="001F4DFA" w:rsidRDefault="00821AB7" w:rsidP="001F4DFA">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3" w:history="1">
        <w:r>
          <w:rPr>
            <w:rStyle w:val="Hyperlink"/>
            <w:rFonts w:ascii="Times New Roman" w:hAnsi="Times New Roman"/>
          </w:rPr>
          <w:t>https://commission.europa.eu/strategy-and-policy/priorities-2019-2024/europe-fit-digital-age/european-chips-act_fr</w:t>
        </w:r>
      </w:hyperlink>
    </w:p>
  </w:footnote>
  <w:footnote w:id="4">
    <w:p w14:paraId="432DF8F8" w14:textId="01CC8519" w:rsidR="00821AB7" w:rsidRPr="001F4DFA" w:rsidRDefault="00821AB7" w:rsidP="001F4DFA">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4" w:history="1">
        <w:r>
          <w:rPr>
            <w:rStyle w:val="Hyperlink"/>
            <w:rFonts w:ascii="Times New Roman" w:hAnsi="Times New Roman"/>
          </w:rPr>
          <w:t>https://ec.europa.eu/commission/presscorner/detail/fr/ip_23_1661</w:t>
        </w:r>
      </w:hyperlink>
    </w:p>
  </w:footnote>
  <w:footnote w:id="5">
    <w:p w14:paraId="2841D988" w14:textId="5A02AEC7" w:rsidR="00D46AAE" w:rsidRPr="00B91708" w:rsidRDefault="00D46AAE">
      <w:pPr>
        <w:pStyle w:val="FootnoteText"/>
      </w:pPr>
      <w:r>
        <w:rPr>
          <w:rStyle w:val="FootnoteReference"/>
        </w:rPr>
        <w:footnoteRef/>
      </w:r>
      <w:r>
        <w:t xml:space="preserve"> </w:t>
      </w:r>
      <w:r>
        <w:tab/>
      </w:r>
      <w:hyperlink r:id="rId5" w:history="1">
        <w:r>
          <w:rPr>
            <w:rStyle w:val="Hyperlink"/>
            <w:rFonts w:ascii="Times New Roman" w:hAnsi="Times New Roman"/>
          </w:rPr>
          <w:t>https://ec.europa.eu/commission/presscorner/detail/fr/ip_23_3358</w:t>
        </w:r>
      </w:hyperlink>
      <w:r>
        <w:rPr>
          <w:rFonts w:ascii="Times New Roman" w:hAnsi="Times New Roman"/>
        </w:rPr>
        <w:t xml:space="preserve"> </w:t>
      </w:r>
    </w:p>
  </w:footnote>
  <w:footnote w:id="6">
    <w:p w14:paraId="7090ADEF" w14:textId="7DA90E28" w:rsidR="00792E64" w:rsidRPr="00B91708" w:rsidRDefault="00792E64" w:rsidP="001F4DFA">
      <w:pPr>
        <w:pStyle w:val="FootnoteText"/>
        <w:spacing w:after="0"/>
      </w:pPr>
      <w:r>
        <w:rPr>
          <w:rStyle w:val="FootnoteReference"/>
        </w:rPr>
        <w:footnoteRef/>
      </w:r>
      <w:r>
        <w:t xml:space="preserve"> </w:t>
      </w:r>
      <w:hyperlink r:id="rId6" w:history="1">
        <w:r>
          <w:rPr>
            <w:rStyle w:val="Hyperlink"/>
            <w:rFonts w:ascii="Times New Roman" w:hAnsi="Times New Roman"/>
          </w:rPr>
          <w:t>https://energy.ec.europa.eu/news/preparing-next-winter-starts-now-commission-proposes-prolong-gas-demand-reduction-measures-2023-03-20_en</w:t>
        </w:r>
      </w:hyperlink>
      <w:r>
        <w:rPr>
          <w:rFonts w:ascii="Times New Roman" w:hAnsi="Times New Roman"/>
        </w:rPr>
        <w:t xml:space="preserve"> </w:t>
      </w:r>
    </w:p>
  </w:footnote>
  <w:footnote w:id="7">
    <w:p w14:paraId="604EA9F7" w14:textId="558668F9" w:rsidR="0017773F" w:rsidRPr="006C5027" w:rsidRDefault="0017773F" w:rsidP="001F4DFA">
      <w:pPr>
        <w:pStyle w:val="FootnoteText"/>
        <w:spacing w:after="0"/>
        <w:rPr>
          <w:rFonts w:ascii="Times New Roman" w:hAnsi="Times New Roman"/>
        </w:rPr>
      </w:pPr>
      <w:r>
        <w:rPr>
          <w:rStyle w:val="FootnoteReference"/>
        </w:rPr>
        <w:footnoteRef/>
      </w:r>
      <w:r>
        <w:t>.</w:t>
      </w:r>
      <w:r>
        <w:tab/>
      </w:r>
      <w:hyperlink r:id="rId7" w:history="1">
        <w:r>
          <w:rPr>
            <w:rStyle w:val="Hyperlink"/>
            <w:rFonts w:ascii="Times New Roman" w:hAnsi="Times New Roman"/>
          </w:rPr>
          <w:t>https://defence-industry-space.ec.europa.eu/eu-defence-industry/act-support-ammunition-production-asap_en</w:t>
        </w:r>
      </w:hyperlink>
      <w:r>
        <w:rPr>
          <w:rFonts w:ascii="Times New Roman" w:hAnsi="Times New Roman"/>
        </w:rPr>
        <w:t xml:space="preserve"> </w:t>
      </w:r>
    </w:p>
  </w:footnote>
  <w:footnote w:id="8">
    <w:p w14:paraId="3EB95F03" w14:textId="665FF893" w:rsidR="0017773F" w:rsidRPr="006C5027" w:rsidRDefault="0017773F" w:rsidP="001F4DFA">
      <w:pPr>
        <w:pStyle w:val="FootnoteText"/>
        <w:spacing w:after="0"/>
      </w:pPr>
      <w:r>
        <w:rPr>
          <w:rStyle w:val="FootnoteReference"/>
          <w:rFonts w:ascii="Times New Roman" w:hAnsi="Times New Roman"/>
        </w:rPr>
        <w:footnoteRef/>
      </w:r>
      <w:r>
        <w:rPr>
          <w:rFonts w:ascii="Times New Roman" w:hAnsi="Times New Roman"/>
        </w:rPr>
        <w:t xml:space="preserve"> </w:t>
      </w:r>
      <w:r>
        <w:tab/>
      </w:r>
      <w:hyperlink r:id="rId8" w:history="1">
        <w:r>
          <w:rPr>
            <w:rStyle w:val="Hyperlink"/>
            <w:rFonts w:ascii="Times New Roman" w:hAnsi="Times New Roman"/>
          </w:rPr>
          <w:t>https://ec.europa.eu/commission/presscorner/detail/fr/IP_22_4491</w:t>
        </w:r>
      </w:hyperlink>
      <w:r>
        <w:rPr>
          <w:rFonts w:ascii="Times New Roman" w:hAnsi="Times New Roman"/>
        </w:rPr>
        <w:t xml:space="preserve"> </w:t>
      </w:r>
    </w:p>
  </w:footnote>
  <w:footnote w:id="9">
    <w:p w14:paraId="3EA1027E" w14:textId="04700A61" w:rsidR="00D95931" w:rsidRPr="00D95931" w:rsidRDefault="00D95931" w:rsidP="006C5027">
      <w:pPr>
        <w:pStyle w:val="FootnoteText"/>
      </w:pPr>
      <w:r>
        <w:rPr>
          <w:rStyle w:val="FootnoteReference"/>
        </w:rPr>
        <w:footnoteRef/>
      </w:r>
      <w:r>
        <w:t xml:space="preserve"> </w:t>
      </w:r>
      <w:r>
        <w:tab/>
      </w:r>
      <w:hyperlink r:id="rId9" w:history="1">
        <w:r>
          <w:rPr>
            <w:rStyle w:val="Hyperlink"/>
            <w:rFonts w:ascii="Times New Roman" w:hAnsi="Times New Roman"/>
          </w:rPr>
          <w:t>EUR-Lex - 32020Q1222(01) - FR - EUR-Lex (europa.eu)</w:t>
        </w:r>
      </w:hyperlink>
      <w:r>
        <w:rPr>
          <w:rFonts w:ascii="Times New Roman" w:hAnsi="Times New Roman"/>
        </w:rPr>
        <w:t xml:space="preserve"> </w:t>
      </w:r>
      <w:r>
        <w:rPr>
          <w:rFonts w:ascii="Times New Roman" w:hAnsi="Times New Roman"/>
          <w:color w:val="333333"/>
          <w:shd w:val="clear" w:color="auto" w:fill="FFFFFF"/>
        </w:rPr>
        <w:t>Accord interinstitutionnel du 16 décembre 2020 entre le Parlement européen, le Conseil de l’Union européenne et la Commission européenne sur la discipline budgétaire, la coopération en matière budgétaire et la bonne gestion financière, ainsi que sur de nouvelles ressources propres, comportant une feuille de route en vue de la mise en place de nouvelles ressources propres</w:t>
      </w:r>
    </w:p>
  </w:footnote>
  <w:footnote w:id="10">
    <w:p w14:paraId="4C0D8822" w14:textId="0BFEAA6E" w:rsidR="00120C41" w:rsidRPr="00B1230B" w:rsidRDefault="00120C41" w:rsidP="00B1230B">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tab/>
      </w:r>
      <w:hyperlink r:id="rId10" w:history="1">
        <w:r>
          <w:rPr>
            <w:rStyle w:val="Hyperlink"/>
            <w:rFonts w:ascii="Times New Roman" w:hAnsi="Times New Roman"/>
          </w:rPr>
          <w:t>https://ec.europa.eu/commission/presscorner/detail/fr/ip_23_3188</w:t>
        </w:r>
      </w:hyperlink>
      <w:r>
        <w:rPr>
          <w:rFonts w:ascii="Times New Roman" w:hAnsi="Times New Roman"/>
        </w:rPr>
        <w:t xml:space="preserve"> </w:t>
      </w:r>
    </w:p>
  </w:footnote>
  <w:footnote w:id="11">
    <w:p w14:paraId="5FD38B61" w14:textId="3FCDBAC9" w:rsidR="007C1EF0" w:rsidRPr="00B1230B" w:rsidRDefault="007C1EF0" w:rsidP="00B1230B">
      <w:pPr>
        <w:pStyle w:val="Caption"/>
        <w:spacing w:before="0" w:after="0"/>
        <w:ind w:left="357" w:hanging="357"/>
        <w:rPr>
          <w:rFonts w:ascii="Times New Roman" w:hAnsi="Times New Roman"/>
          <w:sz w:val="20"/>
        </w:rPr>
      </w:pPr>
      <w:r>
        <w:rPr>
          <w:rStyle w:val="FootnoteReference"/>
          <w:rFonts w:ascii="Times New Roman" w:hAnsi="Times New Roman"/>
          <w:b w:val="0"/>
          <w:sz w:val="20"/>
        </w:rPr>
        <w:footnoteRef/>
      </w:r>
      <w:r>
        <w:rPr>
          <w:rFonts w:ascii="Times New Roman" w:hAnsi="Times New Roman"/>
          <w:b w:val="0"/>
          <w:sz w:val="20"/>
        </w:rPr>
        <w:t xml:space="preserve"> </w:t>
      </w:r>
      <w:r>
        <w:tab/>
      </w:r>
      <w:hyperlink r:id="rId11" w:history="1">
        <w:r>
          <w:rPr>
            <w:rStyle w:val="Hyperlink"/>
            <w:rFonts w:ascii="Times New Roman" w:hAnsi="Times New Roman"/>
            <w:b w:val="0"/>
            <w:sz w:val="20"/>
          </w:rPr>
          <w:t>https://ec.europa.eu/commission/presscorner/detail/fr/ip_23_2246</w:t>
        </w:r>
      </w:hyperlink>
    </w:p>
  </w:footnote>
  <w:footnote w:id="12">
    <w:p w14:paraId="5196F542" w14:textId="1413140C" w:rsidR="007C1EF0" w:rsidRPr="00B1230B" w:rsidRDefault="007C1EF0" w:rsidP="00B1230B">
      <w:pPr>
        <w:pStyle w:val="Caption"/>
        <w:spacing w:before="0" w:after="0"/>
        <w:ind w:left="357" w:hanging="357"/>
        <w:rPr>
          <w:rFonts w:ascii="Times New Roman" w:hAnsi="Times New Roman"/>
          <w:sz w:val="20"/>
        </w:rPr>
      </w:pPr>
      <w:r>
        <w:rPr>
          <w:rStyle w:val="FootnoteReference"/>
          <w:rFonts w:ascii="Times New Roman" w:hAnsi="Times New Roman"/>
          <w:b w:val="0"/>
          <w:sz w:val="20"/>
        </w:rPr>
        <w:footnoteRef/>
      </w:r>
      <w:r>
        <w:rPr>
          <w:rFonts w:ascii="Times New Roman" w:hAnsi="Times New Roman"/>
          <w:sz w:val="20"/>
        </w:rPr>
        <w:t>.</w:t>
      </w:r>
      <w:r>
        <w:tab/>
      </w:r>
      <w:hyperlink r:id="rId12" w:history="1">
        <w:r>
          <w:rPr>
            <w:rStyle w:val="Hyperlink"/>
            <w:rFonts w:ascii="Times New Roman" w:hAnsi="Times New Roman"/>
            <w:b w:val="0"/>
            <w:sz w:val="20"/>
          </w:rPr>
          <w:t>https://ec.europa.eu/regional_policy/sources/communication/harnessing-talents/harnessing-talents-regions_en.pdf</w:t>
        </w:r>
      </w:hyperlink>
      <w:r>
        <w:rPr>
          <w:rFonts w:ascii="Times New Roman" w:hAnsi="Times New Roman"/>
          <w:sz w:val="20"/>
        </w:rPr>
        <w:t xml:space="preserve"> </w:t>
      </w:r>
    </w:p>
  </w:footnote>
  <w:footnote w:id="13">
    <w:p w14:paraId="697E6057" w14:textId="7B6F6517" w:rsidR="00663D6E" w:rsidRPr="006C5027" w:rsidRDefault="00663D6E">
      <w:pPr>
        <w:pStyle w:val="FootnoteText"/>
      </w:pPr>
      <w:r>
        <w:rPr>
          <w:rStyle w:val="FootnoteReference"/>
        </w:rPr>
        <w:footnoteRef/>
      </w:r>
      <w:r>
        <w:t xml:space="preserve"> </w:t>
      </w:r>
      <w:hyperlink r:id="rId13" w:history="1">
        <w:r>
          <w:rPr>
            <w:rStyle w:val="Hyperlink"/>
            <w:rFonts w:ascii="Times New Roman" w:hAnsi="Times New Roman"/>
          </w:rPr>
          <w:t>https://ec.europa.eu/commission/presscorner/detail/fr/IP_23_3358</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C2D20" w14:textId="77777777" w:rsidR="00441223" w:rsidRDefault="0044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0BF0" w14:textId="77777777" w:rsidR="00441223" w:rsidRDefault="0044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FB43" w14:textId="77777777" w:rsidR="00441223" w:rsidRDefault="00441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8"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5"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884247906">
    <w:abstractNumId w:val="6"/>
  </w:num>
  <w:num w:numId="2" w16cid:durableId="565189461">
    <w:abstractNumId w:val="1"/>
  </w:num>
  <w:num w:numId="3" w16cid:durableId="1702822442">
    <w:abstractNumId w:val="31"/>
  </w:num>
  <w:num w:numId="4" w16cid:durableId="1773546569">
    <w:abstractNumId w:val="12"/>
  </w:num>
  <w:num w:numId="5" w16cid:durableId="116292258">
    <w:abstractNumId w:val="24"/>
  </w:num>
  <w:num w:numId="6" w16cid:durableId="2122063311">
    <w:abstractNumId w:val="10"/>
  </w:num>
  <w:num w:numId="7" w16cid:durableId="232815734">
    <w:abstractNumId w:val="5"/>
  </w:num>
  <w:num w:numId="8" w16cid:durableId="1391153994">
    <w:abstractNumId w:val="15"/>
  </w:num>
  <w:num w:numId="9" w16cid:durableId="893927119">
    <w:abstractNumId w:val="30"/>
  </w:num>
  <w:num w:numId="10" w16cid:durableId="1717852255">
    <w:abstractNumId w:val="20"/>
  </w:num>
  <w:num w:numId="11" w16cid:durableId="1718043381">
    <w:abstractNumId w:val="22"/>
  </w:num>
  <w:num w:numId="12" w16cid:durableId="715469184">
    <w:abstractNumId w:val="11"/>
  </w:num>
  <w:num w:numId="13" w16cid:durableId="1596281272">
    <w:abstractNumId w:val="16"/>
  </w:num>
  <w:num w:numId="14" w16cid:durableId="729578718">
    <w:abstractNumId w:val="26"/>
  </w:num>
  <w:num w:numId="15" w16cid:durableId="1628463881">
    <w:abstractNumId w:val="14"/>
  </w:num>
  <w:num w:numId="16" w16cid:durableId="986738667">
    <w:abstractNumId w:val="32"/>
  </w:num>
  <w:num w:numId="17" w16cid:durableId="1943798777">
    <w:abstractNumId w:val="29"/>
  </w:num>
  <w:num w:numId="18" w16cid:durableId="1437094148">
    <w:abstractNumId w:val="18"/>
  </w:num>
  <w:num w:numId="19" w16cid:durableId="363291987">
    <w:abstractNumId w:val="19"/>
  </w:num>
  <w:num w:numId="20" w16cid:durableId="573899304">
    <w:abstractNumId w:val="23"/>
  </w:num>
  <w:num w:numId="21" w16cid:durableId="1646811511">
    <w:abstractNumId w:val="3"/>
  </w:num>
  <w:num w:numId="22" w16cid:durableId="325129321">
    <w:abstractNumId w:val="4"/>
  </w:num>
  <w:num w:numId="23" w16cid:durableId="1527716859">
    <w:abstractNumId w:val="17"/>
  </w:num>
  <w:num w:numId="24" w16cid:durableId="1130126310">
    <w:abstractNumId w:val="27"/>
  </w:num>
  <w:num w:numId="25" w16cid:durableId="1346710479">
    <w:abstractNumId w:val="9"/>
  </w:num>
  <w:num w:numId="26" w16cid:durableId="491407473">
    <w:abstractNumId w:val="28"/>
  </w:num>
  <w:num w:numId="27" w16cid:durableId="1244991278">
    <w:abstractNumId w:val="8"/>
  </w:num>
  <w:num w:numId="28" w16cid:durableId="627399094">
    <w:abstractNumId w:val="2"/>
  </w:num>
  <w:num w:numId="29" w16cid:durableId="553732529">
    <w:abstractNumId w:val="13"/>
  </w:num>
  <w:num w:numId="30" w16cid:durableId="888496562">
    <w:abstractNumId w:val="21"/>
  </w:num>
  <w:num w:numId="31" w16cid:durableId="2124375604">
    <w:abstractNumId w:val="31"/>
  </w:num>
  <w:num w:numId="32" w16cid:durableId="1239680639">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5E0"/>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062"/>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1BF"/>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4AC0"/>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75E"/>
    <w:rsid w:val="000508EC"/>
    <w:rsid w:val="000509DA"/>
    <w:rsid w:val="00050AFA"/>
    <w:rsid w:val="00051333"/>
    <w:rsid w:val="00051E3C"/>
    <w:rsid w:val="000520B1"/>
    <w:rsid w:val="0005215A"/>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CC3"/>
    <w:rsid w:val="00117E41"/>
    <w:rsid w:val="00117F86"/>
    <w:rsid w:val="00120043"/>
    <w:rsid w:val="00120230"/>
    <w:rsid w:val="00120411"/>
    <w:rsid w:val="0012079D"/>
    <w:rsid w:val="00120C4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2F20"/>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38"/>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AFC"/>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3F"/>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5E"/>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BB2"/>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DFA"/>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64A"/>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C4F"/>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80"/>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5C1"/>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397"/>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BB4"/>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23"/>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CA"/>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D39"/>
    <w:rsid w:val="005D10A9"/>
    <w:rsid w:val="005D1144"/>
    <w:rsid w:val="005D19AC"/>
    <w:rsid w:val="005D1C5B"/>
    <w:rsid w:val="005D1EF4"/>
    <w:rsid w:val="005D2072"/>
    <w:rsid w:val="005D221A"/>
    <w:rsid w:val="005D2333"/>
    <w:rsid w:val="005D234F"/>
    <w:rsid w:val="005D246D"/>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30"/>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9B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0"/>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D6E"/>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56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02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2E64"/>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EF0"/>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641"/>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896"/>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AB7"/>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D50"/>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2F0"/>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926"/>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9ED"/>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79"/>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0F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D01"/>
    <w:rsid w:val="008B5E20"/>
    <w:rsid w:val="008B615E"/>
    <w:rsid w:val="008B63D6"/>
    <w:rsid w:val="008B67BC"/>
    <w:rsid w:val="008B6E48"/>
    <w:rsid w:val="008B6FC0"/>
    <w:rsid w:val="008B7102"/>
    <w:rsid w:val="008B723D"/>
    <w:rsid w:val="008B76EE"/>
    <w:rsid w:val="008B7721"/>
    <w:rsid w:val="008B77E9"/>
    <w:rsid w:val="008B781A"/>
    <w:rsid w:val="008B7B44"/>
    <w:rsid w:val="008B7CB2"/>
    <w:rsid w:val="008C0597"/>
    <w:rsid w:val="008C081E"/>
    <w:rsid w:val="008C0B81"/>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A63"/>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4C"/>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ED8"/>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900"/>
    <w:rsid w:val="00A21AE9"/>
    <w:rsid w:val="00A21B58"/>
    <w:rsid w:val="00A220F0"/>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2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0B"/>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0F8B"/>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08"/>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0F96"/>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5B51"/>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13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30"/>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44AB"/>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2166"/>
    <w:rsid w:val="00C82540"/>
    <w:rsid w:val="00C82624"/>
    <w:rsid w:val="00C82EBF"/>
    <w:rsid w:val="00C82ED3"/>
    <w:rsid w:val="00C82FB5"/>
    <w:rsid w:val="00C82FEF"/>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602"/>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5E3"/>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AC1"/>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1E"/>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88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6C"/>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92D"/>
    <w:rsid w:val="00D15E75"/>
    <w:rsid w:val="00D160C6"/>
    <w:rsid w:val="00D161E6"/>
    <w:rsid w:val="00D16440"/>
    <w:rsid w:val="00D166A4"/>
    <w:rsid w:val="00D16B2F"/>
    <w:rsid w:val="00D16C40"/>
    <w:rsid w:val="00D16E07"/>
    <w:rsid w:val="00D17071"/>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6AA"/>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AE"/>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142"/>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31"/>
    <w:rsid w:val="00D95963"/>
    <w:rsid w:val="00D95B84"/>
    <w:rsid w:val="00D95CB4"/>
    <w:rsid w:val="00D95E94"/>
    <w:rsid w:val="00D95F9E"/>
    <w:rsid w:val="00D96231"/>
    <w:rsid w:val="00D96714"/>
    <w:rsid w:val="00D969F4"/>
    <w:rsid w:val="00D96AFE"/>
    <w:rsid w:val="00D96EA9"/>
    <w:rsid w:val="00D971E5"/>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2D8"/>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EB4"/>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13"/>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D71"/>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C5E"/>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BE2"/>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C6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0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433"/>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A9"/>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F2C38"/>
  <w15:docId w15:val="{D8E72ABB-9DD3-4C50-B0E9-591CA4B3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eastAsia="en-GB"/>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UnresolvedMention1">
    <w:name w:val="Unresolved Mention1"/>
    <w:uiPriority w:val="99"/>
    <w:semiHidden/>
    <w:unhideWhenUsed/>
    <w:rsid w:val="00D46AAE"/>
    <w:rPr>
      <w:color w:val="605E5C"/>
      <w:shd w:val="clear" w:color="auto" w:fill="E1DFDD"/>
    </w:rPr>
  </w:style>
  <w:style w:type="character" w:styleId="UnresolvedMention">
    <w:name w:val="Unresolved Mention"/>
    <w:uiPriority w:val="99"/>
    <w:semiHidden/>
    <w:unhideWhenUsed/>
    <w:rsid w:val="00821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150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fr/IP_22_4491" TargetMode="External"/><Relationship Id="rId13" Type="http://schemas.openxmlformats.org/officeDocument/2006/relationships/hyperlink" Target="https://ec.europa.eu/commission/presscorner/detail/fr/IP_23_3358" TargetMode="External"/><Relationship Id="rId3" Type="http://schemas.openxmlformats.org/officeDocument/2006/relationships/hyperlink" Target="https://commission.europa.eu/strategy-and-policy/priorities-2019-2024/europe-fit-digital-age/european-chips-act_fr" TargetMode="External"/><Relationship Id="rId7" Type="http://schemas.openxmlformats.org/officeDocument/2006/relationships/hyperlink" Target="https://defence-industry-space.ec.europa.eu/eu-defence-industry/act-support-ammunition-production-asap_en" TargetMode="External"/><Relationship Id="rId12" Type="http://schemas.openxmlformats.org/officeDocument/2006/relationships/hyperlink" Target="https://ec.europa.eu/regional_policy/sources/communication/harnessing-talents/harnessing-talents-regions_en.pdf" TargetMode="External"/><Relationship Id="rId2" Type="http://schemas.openxmlformats.org/officeDocument/2006/relationships/hyperlink" Target="https://commission.europa.eu/strategy-and-policy/priorities-2019-2024/europe-fit-digital-age/european-industrial-strategy_en%23:~:text=On%2011%20May%202021%2C%20the,resilient%20and%20globally%20competitive%20economy" TargetMode="External"/><Relationship Id="rId1" Type="http://schemas.openxmlformats.org/officeDocument/2006/relationships/hyperlink" Target="https://eur-lex.europa.eu/legal-content/FR/TXT/PDF/?uri=CELEX:52023DC0168&amp;qid=1683019039547" TargetMode="External"/><Relationship Id="rId6" Type="http://schemas.openxmlformats.org/officeDocument/2006/relationships/hyperlink" Target="https://energy.ec.europa.eu/news/preparing-next-winter-starts-now-commission-proposes-prolong-gas-demand-reduction-measures-2023-03-20_en" TargetMode="External"/><Relationship Id="rId11" Type="http://schemas.openxmlformats.org/officeDocument/2006/relationships/hyperlink" Target="https://ec.europa.eu/commission/presscorner/detail/fr/ip_23_2246" TargetMode="External"/><Relationship Id="rId5" Type="http://schemas.openxmlformats.org/officeDocument/2006/relationships/hyperlink" Target="https://ec.europa.eu/commission/presscorner/detail/fr/ip_23_3358" TargetMode="External"/><Relationship Id="rId10" Type="http://schemas.openxmlformats.org/officeDocument/2006/relationships/hyperlink" Target="https://ec.europa.eu/commission/presscorner/detail/fr/ip_23_3188" TargetMode="External"/><Relationship Id="rId4" Type="http://schemas.openxmlformats.org/officeDocument/2006/relationships/hyperlink" Target="https://ec.europa.eu/commission/presscorner/detail/fr/ip_23_1661" TargetMode="External"/><Relationship Id="rId9" Type="http://schemas.openxmlformats.org/officeDocument/2006/relationships/hyperlink" Target="https://eur-lex.europa.eu/legal-content/EN/TXT/?uri=uriserv%3AOJ.LI.2020.433.01.0028.01.F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66B4-02F3-4DDA-9E0B-31540972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10</Pages>
  <Words>5386</Words>
  <Characters>30706</Characters>
  <Application>Microsoft Office Word</Application>
  <DocSecurity>0</DocSecurity>
  <PresentationFormat>Microsoft Word 8.0b</PresentationFormat>
  <Lines>451</Lines>
  <Paragraphs>67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36025</CharactersWithSpaces>
  <SharedDoc>false</SharedDoc>
  <HLinks>
    <vt:vector size="6" baseType="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WERKER</dc:creator>
  <cp:keywords>EL4</cp:keywords>
  <cp:lastModifiedBy>DELBAER Gerda (SG)</cp:lastModifiedBy>
  <cp:revision>3</cp:revision>
  <cp:lastPrinted>2017-11-23T08:32:00Z</cp:lastPrinted>
  <dcterms:created xsi:type="dcterms:W3CDTF">2023-09-04T15:27:00Z</dcterms:created>
  <dcterms:modified xsi:type="dcterms:W3CDTF">2023-09-18T07:46:00Z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2023-06-26T07:48:17Z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2beeb687-09b5-4e0c-9a24-0d886622253f</vt:lpwstr>
  </property>
  <property fmtid="{D5CDD505-2E9C-101B-9397-08002B2CF9AE}" pid="19" name="MSIP_Label_6bd9ddd1-4d20-43f6-abfa-fc3c07406f94_ContentBits">
    <vt:lpwstr>0</vt:lpwstr>
  </property>
</Properties>
</file>