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09229" w14:textId="77777777" w:rsidR="00F17987" w:rsidRDefault="00F17987" w:rsidP="00F17987">
      <w:pPr>
        <w:spacing w:after="0"/>
        <w:jc w:val="center"/>
        <w:rPr>
          <w:rFonts w:ascii="Times New Roman" w:hAnsi="Times New Roman"/>
          <w:b/>
        </w:rPr>
      </w:pPr>
      <w:bookmarkStart w:id="0" w:name="RoL"/>
      <w:r>
        <w:rPr>
          <w:rFonts w:ascii="Times New Roman" w:hAnsi="Times New Roman"/>
          <w:b/>
          <w:bCs/>
        </w:rPr>
        <w:t xml:space="preserve">Follow up to the </w:t>
      </w:r>
      <w:r>
        <w:rPr>
          <w:rFonts w:ascii="Times New Roman" w:hAnsi="Times New Roman"/>
          <w:b/>
        </w:rPr>
        <w:t xml:space="preserve">European Parliament </w:t>
      </w:r>
      <w:r>
        <w:rPr>
          <w:rFonts w:ascii="Times New Roman" w:hAnsi="Times New Roman"/>
          <w:b/>
          <w:szCs w:val="24"/>
        </w:rPr>
        <w:t xml:space="preserve">non-legislative </w:t>
      </w:r>
      <w:r>
        <w:rPr>
          <w:rFonts w:ascii="Times New Roman" w:hAnsi="Times New Roman"/>
          <w:b/>
        </w:rPr>
        <w:t xml:space="preserve">resolution on the </w:t>
      </w:r>
    </w:p>
    <w:p w14:paraId="7013F374" w14:textId="77777777" w:rsidR="00F17987" w:rsidRDefault="00F17987" w:rsidP="00F17987">
      <w:pPr>
        <w:spacing w:after="600"/>
        <w:jc w:val="center"/>
        <w:rPr>
          <w:rFonts w:ascii="Times New Roman" w:hAnsi="Times New Roman"/>
          <w:b/>
        </w:rPr>
      </w:pPr>
      <w:r w:rsidRPr="00520720">
        <w:rPr>
          <w:rFonts w:ascii="Times New Roman" w:hAnsi="Times New Roman"/>
          <w:b/>
        </w:rPr>
        <w:t>Implementation of the Audiovisual Media Services Directive</w:t>
      </w:r>
    </w:p>
    <w:bookmarkEnd w:id="0"/>
    <w:p w14:paraId="486F8AB2" w14:textId="77777777" w:rsidR="00F17987" w:rsidRPr="000F7FA0" w:rsidRDefault="00F17987" w:rsidP="00F17987">
      <w:pPr>
        <w:numPr>
          <w:ilvl w:val="0"/>
          <w:numId w:val="1"/>
        </w:numPr>
        <w:ind w:left="567" w:hanging="567"/>
        <w:rPr>
          <w:rFonts w:ascii="Times New Roman" w:hAnsi="Times New Roman"/>
          <w:b/>
          <w:szCs w:val="24"/>
          <w:lang w:val="fr-BE"/>
        </w:rPr>
      </w:pPr>
      <w:r w:rsidRPr="00CB25BE">
        <w:rPr>
          <w:rFonts w:ascii="Times New Roman" w:eastAsia="SimSun" w:hAnsi="Times New Roman"/>
          <w:b/>
          <w:szCs w:val="24"/>
          <w:lang w:val="fr-BE" w:eastAsia="ko-KR"/>
        </w:rPr>
        <w:t>Rapporteur:</w:t>
      </w:r>
      <w:r>
        <w:rPr>
          <w:rFonts w:ascii="Times New Roman" w:eastAsia="SimSun" w:hAnsi="Times New Roman"/>
          <w:b/>
          <w:szCs w:val="24"/>
          <w:lang w:val="fr-BE" w:eastAsia="ko-KR"/>
        </w:rPr>
        <w:t xml:space="preserve"> </w:t>
      </w:r>
      <w:r w:rsidRPr="000F7FA0">
        <w:rPr>
          <w:rFonts w:ascii="Times New Roman" w:hAnsi="Times New Roman"/>
          <w:color w:val="1E1E1F"/>
          <w:szCs w:val="24"/>
          <w:shd w:val="clear" w:color="auto" w:fill="FFFFFF"/>
          <w:lang w:val="fr-BE"/>
        </w:rPr>
        <w:t>P</w:t>
      </w:r>
      <w:r w:rsidRPr="000F7FA0">
        <w:rPr>
          <w:rFonts w:ascii="Times New Roman" w:eastAsia="SimSun" w:hAnsi="Times New Roman"/>
          <w:szCs w:val="24"/>
          <w:lang w:val="fr-BE" w:eastAsia="ko-KR"/>
        </w:rPr>
        <w:t>etra KAMMEREVERT (S&amp;D</w:t>
      </w:r>
      <w:r>
        <w:rPr>
          <w:rFonts w:ascii="Times New Roman" w:eastAsia="SimSun" w:hAnsi="Times New Roman"/>
          <w:szCs w:val="24"/>
          <w:lang w:val="fr-BE" w:eastAsia="ko-KR"/>
        </w:rPr>
        <w:t xml:space="preserve"> / DE)</w:t>
      </w:r>
    </w:p>
    <w:p w14:paraId="7A28BBAE" w14:textId="77777777" w:rsidR="00F17987" w:rsidRDefault="00F17987" w:rsidP="00F17987">
      <w:pPr>
        <w:numPr>
          <w:ilvl w:val="0"/>
          <w:numId w:val="1"/>
        </w:numPr>
        <w:ind w:left="567" w:hanging="567"/>
        <w:rPr>
          <w:rFonts w:ascii="Times New Roman" w:hAnsi="Times New Roman"/>
          <w:i/>
          <w:szCs w:val="24"/>
        </w:rPr>
      </w:pPr>
      <w:r>
        <w:rPr>
          <w:rFonts w:ascii="Times New Roman" w:hAnsi="Times New Roman"/>
          <w:b/>
          <w:szCs w:val="24"/>
        </w:rPr>
        <w:t>Reference numbers:</w:t>
      </w:r>
      <w:r>
        <w:rPr>
          <w:rFonts w:ascii="Times New Roman" w:hAnsi="Times New Roman"/>
          <w:i/>
          <w:szCs w:val="24"/>
        </w:rPr>
        <w:t xml:space="preserve"> </w:t>
      </w:r>
      <w:r w:rsidRPr="00520720">
        <w:rPr>
          <w:rFonts w:ascii="Times New Roman" w:hAnsi="Times New Roman"/>
          <w:iCs/>
          <w:szCs w:val="24"/>
        </w:rPr>
        <w:t>2022/2038</w:t>
      </w:r>
      <w:r>
        <w:rPr>
          <w:rFonts w:ascii="Times New Roman" w:hAnsi="Times New Roman"/>
          <w:iCs/>
          <w:szCs w:val="24"/>
        </w:rPr>
        <w:t xml:space="preserve"> </w:t>
      </w:r>
      <w:r w:rsidRPr="00520720">
        <w:rPr>
          <w:rFonts w:ascii="Times New Roman" w:hAnsi="Times New Roman"/>
          <w:iCs/>
          <w:szCs w:val="24"/>
        </w:rPr>
        <w:t>(INI)</w:t>
      </w:r>
      <w:r w:rsidRPr="00520720">
        <w:rPr>
          <w:rFonts w:ascii="Times New Roman" w:eastAsia="Calibri" w:hAnsi="Times New Roman"/>
          <w:iCs/>
          <w:szCs w:val="24"/>
        </w:rPr>
        <w:t xml:space="preserve"> </w:t>
      </w:r>
      <w:r>
        <w:rPr>
          <w:rFonts w:ascii="Times New Roman" w:eastAsia="Calibri" w:hAnsi="Times New Roman"/>
          <w:bCs/>
          <w:iCs/>
          <w:szCs w:val="24"/>
          <w:lang w:eastAsia="en-US"/>
        </w:rPr>
        <w:t xml:space="preserve">/ </w:t>
      </w:r>
      <w:r w:rsidRPr="00520720">
        <w:rPr>
          <w:rFonts w:ascii="Times New Roman" w:hAnsi="Times New Roman"/>
          <w:iCs/>
          <w:szCs w:val="24"/>
        </w:rPr>
        <w:t xml:space="preserve">A9-0139/2023 </w:t>
      </w:r>
      <w:r>
        <w:rPr>
          <w:rFonts w:ascii="Times New Roman" w:hAnsi="Times New Roman"/>
          <w:iCs/>
          <w:szCs w:val="24"/>
        </w:rPr>
        <w:t xml:space="preserve">/ </w:t>
      </w:r>
      <w:r w:rsidRPr="00520720">
        <w:rPr>
          <w:rFonts w:ascii="Times New Roman" w:hAnsi="Times New Roman"/>
          <w:iCs/>
          <w:szCs w:val="24"/>
        </w:rPr>
        <w:t>P9_TA(2023)0134</w:t>
      </w:r>
    </w:p>
    <w:p w14:paraId="07B50D6E" w14:textId="77777777" w:rsidR="00F17987" w:rsidRDefault="00F17987" w:rsidP="00F17987">
      <w:pPr>
        <w:numPr>
          <w:ilvl w:val="0"/>
          <w:numId w:val="1"/>
        </w:numPr>
        <w:ind w:left="567" w:hanging="567"/>
        <w:rPr>
          <w:rFonts w:ascii="Times New Roman" w:hAnsi="Times New Roman"/>
          <w:szCs w:val="24"/>
        </w:rPr>
      </w:pPr>
      <w:r>
        <w:rPr>
          <w:rFonts w:ascii="Times New Roman" w:hAnsi="Times New Roman"/>
          <w:b/>
          <w:szCs w:val="24"/>
        </w:rPr>
        <w:t xml:space="preserve">Date of adoption of the resolution: </w:t>
      </w:r>
      <w:r>
        <w:rPr>
          <w:rFonts w:ascii="Times New Roman" w:hAnsi="Times New Roman"/>
          <w:iCs/>
        </w:rPr>
        <w:t>9 May 2023</w:t>
      </w:r>
    </w:p>
    <w:p w14:paraId="47D0FB52" w14:textId="77777777" w:rsidR="00F17987" w:rsidRPr="00520720" w:rsidRDefault="00F17987" w:rsidP="00F17987">
      <w:pPr>
        <w:widowControl w:val="0"/>
        <w:numPr>
          <w:ilvl w:val="0"/>
          <w:numId w:val="1"/>
        </w:numPr>
        <w:ind w:left="567" w:hanging="567"/>
        <w:rPr>
          <w:rFonts w:ascii="Times New Roman" w:hAnsi="Times New Roman"/>
          <w:szCs w:val="24"/>
        </w:rPr>
      </w:pPr>
      <w:r w:rsidRPr="00520720">
        <w:rPr>
          <w:rFonts w:ascii="Times New Roman" w:hAnsi="Times New Roman"/>
          <w:b/>
        </w:rPr>
        <w:t>Competent Parliamentary Committee</w:t>
      </w:r>
      <w:r w:rsidRPr="00520720">
        <w:rPr>
          <w:b/>
        </w:rPr>
        <w:t>:</w:t>
      </w:r>
      <w:r>
        <w:t xml:space="preserve"> </w:t>
      </w:r>
      <w:r w:rsidRPr="00520720">
        <w:rPr>
          <w:rFonts w:ascii="Times New Roman" w:hAnsi="Times New Roman"/>
        </w:rPr>
        <w:t xml:space="preserve">Committee on Culture and Education </w:t>
      </w:r>
      <w:r>
        <w:rPr>
          <w:rFonts w:ascii="Times New Roman" w:hAnsi="Times New Roman"/>
        </w:rPr>
        <w:t>(CULT)</w:t>
      </w:r>
    </w:p>
    <w:p w14:paraId="374641C5" w14:textId="77777777" w:rsidR="00F17987" w:rsidRPr="003A6F76" w:rsidRDefault="00F17987" w:rsidP="00F17987">
      <w:pPr>
        <w:widowControl w:val="0"/>
        <w:numPr>
          <w:ilvl w:val="0"/>
          <w:numId w:val="1"/>
        </w:numPr>
        <w:ind w:left="567" w:hanging="567"/>
        <w:rPr>
          <w:rFonts w:ascii="Times New Roman" w:hAnsi="Times New Roman"/>
          <w:szCs w:val="24"/>
        </w:rPr>
      </w:pPr>
      <w:r w:rsidRPr="003A6F76">
        <w:rPr>
          <w:rFonts w:ascii="Times New Roman" w:hAnsi="Times New Roman"/>
          <w:b/>
          <w:szCs w:val="24"/>
        </w:rPr>
        <w:t>Brief analysis/ assessment of the resolution and requests made in it:</w:t>
      </w:r>
      <w:r w:rsidRPr="003A6F76">
        <w:rPr>
          <w:rFonts w:ascii="Times New Roman" w:hAnsi="Times New Roman"/>
          <w:szCs w:val="24"/>
        </w:rPr>
        <w:t xml:space="preserve"> </w:t>
      </w:r>
    </w:p>
    <w:p w14:paraId="1D55F943" w14:textId="77777777" w:rsidR="00F17987" w:rsidRPr="005C7B23" w:rsidRDefault="00F17987" w:rsidP="00F17987">
      <w:pPr>
        <w:widowControl w:val="0"/>
        <w:rPr>
          <w:rFonts w:ascii="Times New Roman" w:hAnsi="Times New Roman"/>
          <w:bCs/>
          <w:szCs w:val="24"/>
        </w:rPr>
      </w:pPr>
      <w:r w:rsidRPr="00735FCC">
        <w:rPr>
          <w:rFonts w:ascii="Times New Roman" w:hAnsi="Times New Roman"/>
          <w:bCs/>
          <w:szCs w:val="24"/>
        </w:rPr>
        <w:t>Th</w:t>
      </w:r>
      <w:r>
        <w:rPr>
          <w:rFonts w:ascii="Times New Roman" w:hAnsi="Times New Roman"/>
          <w:bCs/>
          <w:szCs w:val="24"/>
        </w:rPr>
        <w:t>is</w:t>
      </w:r>
      <w:r w:rsidRPr="00735FCC">
        <w:rPr>
          <w:rFonts w:ascii="Times New Roman" w:hAnsi="Times New Roman"/>
          <w:bCs/>
          <w:szCs w:val="24"/>
        </w:rPr>
        <w:t xml:space="preserve"> </w:t>
      </w:r>
      <w:r>
        <w:rPr>
          <w:rFonts w:ascii="Times New Roman" w:hAnsi="Times New Roman"/>
          <w:bCs/>
          <w:szCs w:val="24"/>
        </w:rPr>
        <w:t xml:space="preserve">resolution is based on an own-initiative </w:t>
      </w:r>
      <w:r w:rsidRPr="00735FCC">
        <w:rPr>
          <w:rFonts w:ascii="Times New Roman" w:hAnsi="Times New Roman"/>
          <w:bCs/>
          <w:szCs w:val="24"/>
        </w:rPr>
        <w:t>report</w:t>
      </w:r>
      <w:r>
        <w:rPr>
          <w:rFonts w:ascii="Times New Roman" w:hAnsi="Times New Roman"/>
          <w:bCs/>
          <w:szCs w:val="24"/>
        </w:rPr>
        <w:t xml:space="preserve">, prepared by the CULT committee. It </w:t>
      </w:r>
      <w:r w:rsidRPr="00735FCC">
        <w:rPr>
          <w:rFonts w:ascii="Times New Roman" w:hAnsi="Times New Roman"/>
          <w:bCs/>
          <w:szCs w:val="24"/>
        </w:rPr>
        <w:t xml:space="preserve">examines the implementation of the Audiovisual Media Services Directive (“AVMSD”) since its 2018 revision. </w:t>
      </w:r>
      <w:r>
        <w:rPr>
          <w:rFonts w:ascii="Times New Roman" w:hAnsi="Times New Roman"/>
          <w:bCs/>
          <w:szCs w:val="24"/>
        </w:rPr>
        <w:t xml:space="preserve">The resolution includes some </w:t>
      </w:r>
      <w:r w:rsidRPr="00735FCC">
        <w:rPr>
          <w:rFonts w:ascii="Times New Roman" w:hAnsi="Times New Roman"/>
          <w:bCs/>
          <w:szCs w:val="24"/>
        </w:rPr>
        <w:t xml:space="preserve">calls for future modifications, and </w:t>
      </w:r>
      <w:r>
        <w:rPr>
          <w:rFonts w:ascii="Times New Roman" w:hAnsi="Times New Roman"/>
          <w:bCs/>
          <w:szCs w:val="24"/>
        </w:rPr>
        <w:t xml:space="preserve">a </w:t>
      </w:r>
      <w:r w:rsidRPr="00735FCC">
        <w:rPr>
          <w:rFonts w:ascii="Times New Roman" w:hAnsi="Times New Roman"/>
          <w:bCs/>
          <w:szCs w:val="24"/>
        </w:rPr>
        <w:t>few definitive</w:t>
      </w:r>
      <w:r>
        <w:rPr>
          <w:rFonts w:ascii="Times New Roman" w:hAnsi="Times New Roman"/>
          <w:bCs/>
          <w:szCs w:val="24"/>
        </w:rPr>
        <w:t xml:space="preserve"> </w:t>
      </w:r>
      <w:r w:rsidRPr="00735FCC">
        <w:rPr>
          <w:rFonts w:ascii="Times New Roman" w:hAnsi="Times New Roman"/>
          <w:bCs/>
          <w:szCs w:val="24"/>
        </w:rPr>
        <w:t>conclusions</w:t>
      </w:r>
      <w:r>
        <w:rPr>
          <w:rFonts w:ascii="Times New Roman" w:hAnsi="Times New Roman"/>
          <w:bCs/>
          <w:szCs w:val="24"/>
        </w:rPr>
        <w:t xml:space="preserve">, pointing to the fact that, due to the </w:t>
      </w:r>
      <w:r w:rsidRPr="00735FCC">
        <w:rPr>
          <w:rFonts w:ascii="Times New Roman" w:hAnsi="Times New Roman"/>
          <w:bCs/>
          <w:szCs w:val="24"/>
        </w:rPr>
        <w:t>late transposition by Member States</w:t>
      </w:r>
      <w:r>
        <w:rPr>
          <w:rFonts w:ascii="Times New Roman" w:hAnsi="Times New Roman"/>
          <w:bCs/>
          <w:szCs w:val="24"/>
        </w:rPr>
        <w:t xml:space="preserve">, it is not possible to have </w:t>
      </w:r>
      <w:r w:rsidRPr="000849CD">
        <w:rPr>
          <w:rFonts w:ascii="Times New Roman" w:hAnsi="Times New Roman"/>
          <w:bCs/>
          <w:szCs w:val="24"/>
        </w:rPr>
        <w:t>a full-scale evaluation</w:t>
      </w:r>
      <w:r w:rsidRPr="00735FCC">
        <w:rPr>
          <w:rFonts w:ascii="Times New Roman" w:hAnsi="Times New Roman"/>
          <w:bCs/>
          <w:szCs w:val="24"/>
        </w:rPr>
        <w:t>.</w:t>
      </w:r>
      <w:r>
        <w:rPr>
          <w:rFonts w:ascii="Times New Roman" w:hAnsi="Times New Roman"/>
          <w:bCs/>
          <w:szCs w:val="24"/>
        </w:rPr>
        <w:t xml:space="preserve"> The resolution reminds the </w:t>
      </w:r>
      <w:r w:rsidRPr="000849CD">
        <w:rPr>
          <w:rFonts w:ascii="Times New Roman" w:hAnsi="Times New Roman"/>
          <w:bCs/>
          <w:szCs w:val="24"/>
        </w:rPr>
        <w:t xml:space="preserve">key role </w:t>
      </w:r>
      <w:r>
        <w:rPr>
          <w:rFonts w:ascii="Times New Roman" w:hAnsi="Times New Roman"/>
          <w:bCs/>
          <w:szCs w:val="24"/>
        </w:rPr>
        <w:t xml:space="preserve">played by AVMSD </w:t>
      </w:r>
      <w:r w:rsidRPr="000849CD">
        <w:rPr>
          <w:rFonts w:ascii="Times New Roman" w:hAnsi="Times New Roman"/>
          <w:bCs/>
          <w:szCs w:val="24"/>
        </w:rPr>
        <w:t>in structuring the European audiovisual ecosystem</w:t>
      </w:r>
      <w:r>
        <w:rPr>
          <w:rFonts w:ascii="Times New Roman" w:hAnsi="Times New Roman"/>
          <w:bCs/>
          <w:szCs w:val="24"/>
        </w:rPr>
        <w:t>. It cr</w:t>
      </w:r>
      <w:r w:rsidRPr="0089739C">
        <w:rPr>
          <w:rFonts w:ascii="Times New Roman" w:hAnsi="Times New Roman"/>
          <w:bCs/>
          <w:szCs w:val="24"/>
        </w:rPr>
        <w:t>iticises Member States’ significant delays in transposing the AVMSD</w:t>
      </w:r>
      <w:r>
        <w:rPr>
          <w:rFonts w:ascii="Times New Roman" w:hAnsi="Times New Roman"/>
          <w:bCs/>
          <w:szCs w:val="24"/>
        </w:rPr>
        <w:t xml:space="preserve"> </w:t>
      </w:r>
      <w:r w:rsidRPr="0089739C">
        <w:rPr>
          <w:rFonts w:ascii="Times New Roman" w:hAnsi="Times New Roman"/>
          <w:bCs/>
          <w:szCs w:val="24"/>
        </w:rPr>
        <w:t xml:space="preserve">and the </w:t>
      </w:r>
      <w:r>
        <w:rPr>
          <w:rFonts w:ascii="Times New Roman" w:hAnsi="Times New Roman"/>
          <w:bCs/>
          <w:szCs w:val="24"/>
        </w:rPr>
        <w:t xml:space="preserve">late reaction from the </w:t>
      </w:r>
      <w:r w:rsidRPr="0089739C">
        <w:rPr>
          <w:rFonts w:ascii="Times New Roman" w:hAnsi="Times New Roman"/>
          <w:bCs/>
          <w:szCs w:val="24"/>
        </w:rPr>
        <w:t>Commission</w:t>
      </w:r>
      <w:r>
        <w:rPr>
          <w:rFonts w:ascii="Times New Roman" w:hAnsi="Times New Roman"/>
          <w:bCs/>
          <w:szCs w:val="24"/>
        </w:rPr>
        <w:t xml:space="preserve"> to initiate </w:t>
      </w:r>
      <w:r w:rsidRPr="0089739C">
        <w:rPr>
          <w:rFonts w:ascii="Times New Roman" w:hAnsi="Times New Roman"/>
          <w:bCs/>
          <w:szCs w:val="24"/>
        </w:rPr>
        <w:t>infringement procedures</w:t>
      </w:r>
      <w:r>
        <w:rPr>
          <w:rFonts w:ascii="Times New Roman" w:hAnsi="Times New Roman"/>
          <w:bCs/>
          <w:szCs w:val="24"/>
        </w:rPr>
        <w:t xml:space="preserve"> and to publish </w:t>
      </w:r>
      <w:r w:rsidRPr="0089739C">
        <w:rPr>
          <w:rFonts w:ascii="Times New Roman" w:hAnsi="Times New Roman"/>
          <w:bCs/>
          <w:szCs w:val="24"/>
        </w:rPr>
        <w:t>guidelines</w:t>
      </w:r>
      <w:r>
        <w:rPr>
          <w:rFonts w:ascii="Times New Roman" w:hAnsi="Times New Roman"/>
          <w:bCs/>
          <w:szCs w:val="24"/>
        </w:rPr>
        <w:t>. The Parliament r</w:t>
      </w:r>
      <w:r w:rsidRPr="0089739C">
        <w:rPr>
          <w:rFonts w:ascii="Times New Roman" w:hAnsi="Times New Roman"/>
          <w:bCs/>
          <w:szCs w:val="24"/>
        </w:rPr>
        <w:t>ecalls the C</w:t>
      </w:r>
      <w:r>
        <w:rPr>
          <w:rFonts w:ascii="Times New Roman" w:hAnsi="Times New Roman"/>
          <w:bCs/>
          <w:szCs w:val="24"/>
        </w:rPr>
        <w:t xml:space="preserve">ommission obligation to </w:t>
      </w:r>
      <w:r w:rsidRPr="0089739C">
        <w:rPr>
          <w:rFonts w:ascii="Times New Roman" w:hAnsi="Times New Roman"/>
          <w:bCs/>
          <w:szCs w:val="24"/>
        </w:rPr>
        <w:t xml:space="preserve">submit </w:t>
      </w:r>
      <w:r>
        <w:rPr>
          <w:rFonts w:ascii="Times New Roman" w:hAnsi="Times New Roman"/>
          <w:bCs/>
          <w:szCs w:val="24"/>
        </w:rPr>
        <w:t xml:space="preserve">a general report on the application of </w:t>
      </w:r>
      <w:r w:rsidRPr="0089739C">
        <w:rPr>
          <w:rFonts w:ascii="Times New Roman" w:hAnsi="Times New Roman"/>
          <w:bCs/>
          <w:szCs w:val="24"/>
        </w:rPr>
        <w:t xml:space="preserve">AVMSD and reports on </w:t>
      </w:r>
      <w:r>
        <w:rPr>
          <w:rFonts w:ascii="Times New Roman" w:hAnsi="Times New Roman"/>
          <w:bCs/>
          <w:szCs w:val="24"/>
        </w:rPr>
        <w:t>the application of the provisions related to the promotion of European works. The resolution r</w:t>
      </w:r>
      <w:r w:rsidRPr="00C94057">
        <w:rPr>
          <w:rFonts w:ascii="Times New Roman" w:hAnsi="Times New Roman"/>
          <w:bCs/>
          <w:szCs w:val="24"/>
        </w:rPr>
        <w:t xml:space="preserve">ecognises that </w:t>
      </w:r>
      <w:r>
        <w:rPr>
          <w:rFonts w:ascii="Times New Roman" w:hAnsi="Times New Roman"/>
          <w:bCs/>
          <w:szCs w:val="24"/>
        </w:rPr>
        <w:t xml:space="preserve">the definition of European works </w:t>
      </w:r>
      <w:r w:rsidRPr="00C94057">
        <w:rPr>
          <w:rFonts w:ascii="Times New Roman" w:hAnsi="Times New Roman"/>
          <w:bCs/>
          <w:szCs w:val="24"/>
        </w:rPr>
        <w:t>is an open and broad concept</w:t>
      </w:r>
      <w:r>
        <w:rPr>
          <w:rFonts w:ascii="Times New Roman" w:hAnsi="Times New Roman"/>
          <w:bCs/>
          <w:szCs w:val="24"/>
        </w:rPr>
        <w:t xml:space="preserve">. It </w:t>
      </w:r>
      <w:r w:rsidRPr="00C94057">
        <w:rPr>
          <w:rFonts w:ascii="Times New Roman" w:hAnsi="Times New Roman"/>
          <w:bCs/>
          <w:szCs w:val="24"/>
        </w:rPr>
        <w:t xml:space="preserve">asks </w:t>
      </w:r>
      <w:r>
        <w:rPr>
          <w:rFonts w:ascii="Times New Roman" w:hAnsi="Times New Roman"/>
          <w:bCs/>
          <w:szCs w:val="24"/>
        </w:rPr>
        <w:t xml:space="preserve">the Commission </w:t>
      </w:r>
      <w:r w:rsidRPr="00C94057">
        <w:rPr>
          <w:rFonts w:ascii="Times New Roman" w:hAnsi="Times New Roman"/>
          <w:bCs/>
          <w:szCs w:val="24"/>
        </w:rPr>
        <w:t xml:space="preserve">to evaluate </w:t>
      </w:r>
      <w:r>
        <w:rPr>
          <w:rFonts w:ascii="Times New Roman" w:hAnsi="Times New Roman"/>
          <w:bCs/>
          <w:szCs w:val="24"/>
        </w:rPr>
        <w:t xml:space="preserve">that concept </w:t>
      </w:r>
      <w:r w:rsidRPr="00C94057">
        <w:rPr>
          <w:rFonts w:ascii="Times New Roman" w:hAnsi="Times New Roman"/>
          <w:bCs/>
          <w:szCs w:val="24"/>
        </w:rPr>
        <w:t>exclusively on the basis of scientific findings</w:t>
      </w:r>
      <w:r>
        <w:rPr>
          <w:rFonts w:ascii="Times New Roman" w:hAnsi="Times New Roman"/>
          <w:bCs/>
          <w:szCs w:val="24"/>
        </w:rPr>
        <w:t xml:space="preserve"> and </w:t>
      </w:r>
      <w:r w:rsidRPr="00D0431A">
        <w:rPr>
          <w:rFonts w:ascii="Times New Roman" w:hAnsi="Times New Roman"/>
          <w:bCs/>
          <w:szCs w:val="24"/>
        </w:rPr>
        <w:t xml:space="preserve">calls to assess </w:t>
      </w:r>
      <w:r>
        <w:rPr>
          <w:rFonts w:ascii="Times New Roman" w:hAnsi="Times New Roman"/>
          <w:bCs/>
          <w:szCs w:val="24"/>
        </w:rPr>
        <w:t xml:space="preserve">what </w:t>
      </w:r>
      <w:r w:rsidRPr="00D0431A">
        <w:rPr>
          <w:rFonts w:ascii="Times New Roman" w:hAnsi="Times New Roman"/>
          <w:bCs/>
          <w:szCs w:val="24"/>
        </w:rPr>
        <w:t xml:space="preserve">types of programmes </w:t>
      </w:r>
      <w:r>
        <w:rPr>
          <w:rFonts w:ascii="Times New Roman" w:hAnsi="Times New Roman"/>
          <w:bCs/>
          <w:szCs w:val="24"/>
        </w:rPr>
        <w:t xml:space="preserve">are included </w:t>
      </w:r>
      <w:r w:rsidRPr="00D0431A">
        <w:rPr>
          <w:rFonts w:ascii="Times New Roman" w:hAnsi="Times New Roman"/>
          <w:bCs/>
          <w:szCs w:val="24"/>
        </w:rPr>
        <w:t>by audiovisual on-demand services in the</w:t>
      </w:r>
      <w:r>
        <w:rPr>
          <w:rFonts w:ascii="Times New Roman" w:hAnsi="Times New Roman"/>
          <w:bCs/>
          <w:szCs w:val="24"/>
        </w:rPr>
        <w:t>ir</w:t>
      </w:r>
      <w:r w:rsidRPr="00D0431A">
        <w:rPr>
          <w:rFonts w:ascii="Times New Roman" w:hAnsi="Times New Roman"/>
          <w:bCs/>
          <w:szCs w:val="24"/>
        </w:rPr>
        <w:t xml:space="preserve"> </w:t>
      </w:r>
      <w:r>
        <w:rPr>
          <w:rFonts w:ascii="Times New Roman" w:hAnsi="Times New Roman"/>
          <w:bCs/>
          <w:szCs w:val="24"/>
        </w:rPr>
        <w:t xml:space="preserve">quota </w:t>
      </w:r>
      <w:r w:rsidRPr="00D0431A">
        <w:rPr>
          <w:rFonts w:ascii="Times New Roman" w:hAnsi="Times New Roman"/>
          <w:bCs/>
          <w:szCs w:val="24"/>
        </w:rPr>
        <w:t>of European works</w:t>
      </w:r>
      <w:r>
        <w:rPr>
          <w:rFonts w:ascii="Times New Roman" w:hAnsi="Times New Roman"/>
          <w:bCs/>
          <w:szCs w:val="24"/>
        </w:rPr>
        <w:t>.</w:t>
      </w:r>
      <w:r w:rsidRPr="00D0431A">
        <w:rPr>
          <w:rFonts w:ascii="Times New Roman" w:hAnsi="Times New Roman"/>
          <w:bCs/>
          <w:szCs w:val="24"/>
        </w:rPr>
        <w:t xml:space="preserve"> </w:t>
      </w:r>
      <w:r w:rsidRPr="00C94057">
        <w:rPr>
          <w:rFonts w:ascii="Times New Roman" w:hAnsi="Times New Roman"/>
          <w:bCs/>
          <w:szCs w:val="24"/>
        </w:rPr>
        <w:t xml:space="preserve">It calls on the </w:t>
      </w:r>
      <w:r>
        <w:rPr>
          <w:rFonts w:ascii="Times New Roman" w:hAnsi="Times New Roman"/>
          <w:bCs/>
          <w:szCs w:val="24"/>
        </w:rPr>
        <w:t xml:space="preserve">Commission </w:t>
      </w:r>
      <w:r w:rsidRPr="00C94057">
        <w:rPr>
          <w:rFonts w:ascii="Times New Roman" w:hAnsi="Times New Roman"/>
          <w:bCs/>
          <w:szCs w:val="24"/>
        </w:rPr>
        <w:t xml:space="preserve">to take measures to prevent any abuse in the application of Article 2(4) and to review the procedures of Articles 3 and 4 to ensure their effectiveness and </w:t>
      </w:r>
      <w:r>
        <w:rPr>
          <w:rFonts w:ascii="Times New Roman" w:hAnsi="Times New Roman"/>
          <w:bCs/>
          <w:szCs w:val="24"/>
        </w:rPr>
        <w:t xml:space="preserve">to </w:t>
      </w:r>
      <w:r w:rsidRPr="00C94057">
        <w:rPr>
          <w:rFonts w:ascii="Times New Roman" w:hAnsi="Times New Roman"/>
          <w:bCs/>
          <w:szCs w:val="24"/>
        </w:rPr>
        <w:t>strengthen the country-of-origin principle.</w:t>
      </w:r>
      <w:r w:rsidRPr="000F7FA0">
        <w:rPr>
          <w:rFonts w:ascii="Times New Roman" w:hAnsi="Times New Roman"/>
        </w:rPr>
        <w:t xml:space="preserve"> </w:t>
      </w:r>
      <w:r>
        <w:rPr>
          <w:rFonts w:ascii="Times New Roman" w:hAnsi="Times New Roman"/>
          <w:bCs/>
          <w:szCs w:val="24"/>
        </w:rPr>
        <w:t>Regarding the new AVSMD provision on accessibility, it ac</w:t>
      </w:r>
      <w:r w:rsidRPr="005C7B23">
        <w:rPr>
          <w:rFonts w:ascii="Times New Roman" w:hAnsi="Times New Roman"/>
          <w:bCs/>
          <w:szCs w:val="24"/>
        </w:rPr>
        <w:t xml:space="preserve">knowledges the divergences in implementation across </w:t>
      </w:r>
      <w:r>
        <w:rPr>
          <w:rFonts w:ascii="Times New Roman" w:hAnsi="Times New Roman"/>
          <w:bCs/>
          <w:szCs w:val="24"/>
        </w:rPr>
        <w:t xml:space="preserve">the </w:t>
      </w:r>
      <w:r w:rsidRPr="005C7B23">
        <w:rPr>
          <w:rFonts w:ascii="Times New Roman" w:hAnsi="Times New Roman"/>
          <w:bCs/>
          <w:szCs w:val="24"/>
        </w:rPr>
        <w:t>M</w:t>
      </w:r>
      <w:r>
        <w:rPr>
          <w:rFonts w:ascii="Times New Roman" w:hAnsi="Times New Roman"/>
          <w:bCs/>
          <w:szCs w:val="24"/>
        </w:rPr>
        <w:t xml:space="preserve">ember </w:t>
      </w:r>
      <w:r w:rsidRPr="005C7B23">
        <w:rPr>
          <w:rFonts w:ascii="Times New Roman" w:hAnsi="Times New Roman"/>
          <w:bCs/>
          <w:szCs w:val="24"/>
        </w:rPr>
        <w:t>S</w:t>
      </w:r>
      <w:r>
        <w:rPr>
          <w:rFonts w:ascii="Times New Roman" w:hAnsi="Times New Roman"/>
          <w:bCs/>
          <w:szCs w:val="24"/>
        </w:rPr>
        <w:t>tates</w:t>
      </w:r>
      <w:r w:rsidRPr="005C7B23">
        <w:rPr>
          <w:rFonts w:ascii="Times New Roman" w:hAnsi="Times New Roman"/>
          <w:bCs/>
          <w:szCs w:val="24"/>
        </w:rPr>
        <w:t xml:space="preserve"> and the importance of the measures</w:t>
      </w:r>
      <w:r>
        <w:rPr>
          <w:rFonts w:ascii="Times New Roman" w:hAnsi="Times New Roman"/>
          <w:bCs/>
          <w:szCs w:val="24"/>
        </w:rPr>
        <w:t xml:space="preserve">, calling </w:t>
      </w:r>
      <w:r w:rsidRPr="00342542">
        <w:rPr>
          <w:rFonts w:ascii="Times New Roman" w:hAnsi="Times New Roman"/>
          <w:bCs/>
          <w:szCs w:val="24"/>
        </w:rPr>
        <w:t xml:space="preserve">the Commission to carry out a study </w:t>
      </w:r>
      <w:r>
        <w:rPr>
          <w:rFonts w:ascii="Times New Roman" w:hAnsi="Times New Roman"/>
          <w:bCs/>
          <w:szCs w:val="24"/>
        </w:rPr>
        <w:t xml:space="preserve">on accessibility of </w:t>
      </w:r>
      <w:r w:rsidRPr="00342542">
        <w:rPr>
          <w:rFonts w:ascii="Times New Roman" w:hAnsi="Times New Roman"/>
          <w:bCs/>
          <w:szCs w:val="24"/>
        </w:rPr>
        <w:t xml:space="preserve">media </w:t>
      </w:r>
      <w:r>
        <w:rPr>
          <w:rFonts w:ascii="Times New Roman" w:hAnsi="Times New Roman"/>
          <w:bCs/>
          <w:szCs w:val="24"/>
        </w:rPr>
        <w:t xml:space="preserve">in the </w:t>
      </w:r>
      <w:r w:rsidRPr="00342542">
        <w:rPr>
          <w:rFonts w:ascii="Times New Roman" w:hAnsi="Times New Roman"/>
          <w:bCs/>
          <w:szCs w:val="24"/>
        </w:rPr>
        <w:t>Member States</w:t>
      </w:r>
      <w:r>
        <w:rPr>
          <w:rFonts w:ascii="Times New Roman" w:hAnsi="Times New Roman"/>
          <w:bCs/>
          <w:szCs w:val="24"/>
        </w:rPr>
        <w:t xml:space="preserve"> and to promote common targets.</w:t>
      </w:r>
      <w:r w:rsidRPr="000F7FA0">
        <w:rPr>
          <w:rFonts w:ascii="Times New Roman" w:hAnsi="Times New Roman"/>
        </w:rPr>
        <w:t xml:space="preserve"> </w:t>
      </w:r>
      <w:r w:rsidRPr="005C7B23">
        <w:rPr>
          <w:rFonts w:ascii="Times New Roman" w:hAnsi="Times New Roman"/>
        </w:rPr>
        <w:t xml:space="preserve">The resolution recognises the importance </w:t>
      </w:r>
      <w:r>
        <w:rPr>
          <w:rFonts w:ascii="Times New Roman" w:hAnsi="Times New Roman"/>
        </w:rPr>
        <w:t xml:space="preserve">of new provisions regarding the </w:t>
      </w:r>
      <w:r w:rsidRPr="005C7B23">
        <w:rPr>
          <w:rFonts w:ascii="Times New Roman" w:hAnsi="Times New Roman"/>
          <w:bCs/>
          <w:szCs w:val="24"/>
        </w:rPr>
        <w:t>prominence of audiovisual media services of general interest (Article 7a) and protecting the integrity of audiovisual media services (Article 7b)</w:t>
      </w:r>
      <w:r>
        <w:rPr>
          <w:rFonts w:ascii="Times New Roman" w:hAnsi="Times New Roman"/>
          <w:bCs/>
          <w:szCs w:val="24"/>
        </w:rPr>
        <w:t xml:space="preserve">. Regarding the </w:t>
      </w:r>
      <w:r w:rsidRPr="00D0431A">
        <w:rPr>
          <w:rFonts w:ascii="Times New Roman" w:hAnsi="Times New Roman"/>
          <w:bCs/>
          <w:szCs w:val="24"/>
        </w:rPr>
        <w:t>events of major importance</w:t>
      </w:r>
      <w:r>
        <w:rPr>
          <w:rFonts w:ascii="Times New Roman" w:hAnsi="Times New Roman"/>
          <w:bCs/>
          <w:szCs w:val="24"/>
        </w:rPr>
        <w:t xml:space="preserve">, the resolution </w:t>
      </w:r>
      <w:r w:rsidRPr="00D0431A">
        <w:rPr>
          <w:rFonts w:ascii="Times New Roman" w:hAnsi="Times New Roman"/>
          <w:bCs/>
          <w:szCs w:val="24"/>
        </w:rPr>
        <w:t xml:space="preserve">calls on the Commission to closely monitor the implementation of the rules to ensure that </w:t>
      </w:r>
      <w:r>
        <w:rPr>
          <w:rFonts w:ascii="Times New Roman" w:hAnsi="Times New Roman"/>
          <w:bCs/>
          <w:szCs w:val="24"/>
        </w:rPr>
        <w:t xml:space="preserve">such events </w:t>
      </w:r>
      <w:r w:rsidRPr="00D0431A">
        <w:rPr>
          <w:rFonts w:ascii="Times New Roman" w:hAnsi="Times New Roman"/>
          <w:bCs/>
          <w:szCs w:val="24"/>
        </w:rPr>
        <w:t>remain accessible</w:t>
      </w:r>
      <w:r>
        <w:rPr>
          <w:rFonts w:ascii="Times New Roman" w:hAnsi="Times New Roman"/>
          <w:bCs/>
          <w:szCs w:val="24"/>
        </w:rPr>
        <w:t xml:space="preserve"> to a large audience.</w:t>
      </w:r>
      <w:r w:rsidRPr="000F7FA0">
        <w:rPr>
          <w:rFonts w:ascii="Times New Roman" w:hAnsi="Times New Roman"/>
        </w:rPr>
        <w:t xml:space="preserve"> </w:t>
      </w:r>
      <w:r w:rsidRPr="00D0431A">
        <w:rPr>
          <w:rFonts w:ascii="Times New Roman" w:hAnsi="Times New Roman"/>
          <w:bCs/>
          <w:szCs w:val="24"/>
        </w:rPr>
        <w:t xml:space="preserve">The Parliament welcomes the </w:t>
      </w:r>
      <w:r>
        <w:rPr>
          <w:rFonts w:ascii="Times New Roman" w:hAnsi="Times New Roman"/>
          <w:bCs/>
          <w:szCs w:val="24"/>
        </w:rPr>
        <w:t xml:space="preserve">rules of the </w:t>
      </w:r>
      <w:r w:rsidRPr="00D0431A">
        <w:rPr>
          <w:rFonts w:ascii="Times New Roman" w:hAnsi="Times New Roman"/>
          <w:bCs/>
          <w:szCs w:val="24"/>
        </w:rPr>
        <w:t xml:space="preserve">Digital Markets Act </w:t>
      </w:r>
      <w:r>
        <w:rPr>
          <w:rFonts w:ascii="Times New Roman" w:hAnsi="Times New Roman"/>
          <w:bCs/>
          <w:szCs w:val="24"/>
        </w:rPr>
        <w:t xml:space="preserve">requiring gatekeepers </w:t>
      </w:r>
      <w:r w:rsidRPr="00D0431A">
        <w:rPr>
          <w:rFonts w:ascii="Times New Roman" w:hAnsi="Times New Roman"/>
          <w:bCs/>
          <w:szCs w:val="24"/>
        </w:rPr>
        <w:t xml:space="preserve">to share some of the data </w:t>
      </w:r>
      <w:r>
        <w:rPr>
          <w:rFonts w:ascii="Times New Roman" w:hAnsi="Times New Roman"/>
          <w:bCs/>
          <w:szCs w:val="24"/>
        </w:rPr>
        <w:t xml:space="preserve">but considers that they might not be sufficient, therefore </w:t>
      </w:r>
      <w:r w:rsidRPr="00D0431A">
        <w:rPr>
          <w:rFonts w:ascii="Times New Roman" w:hAnsi="Times New Roman"/>
          <w:bCs/>
          <w:szCs w:val="24"/>
        </w:rPr>
        <w:t>calls on the Commission to ensure that audiovisual media service providers are able to access all data relating to the use of their services</w:t>
      </w:r>
      <w:r>
        <w:rPr>
          <w:rFonts w:ascii="Times New Roman" w:hAnsi="Times New Roman"/>
          <w:bCs/>
          <w:szCs w:val="24"/>
        </w:rPr>
        <w:t xml:space="preserve">. The resolution calls on the Commission to </w:t>
      </w:r>
      <w:r w:rsidRPr="003B710A">
        <w:rPr>
          <w:rFonts w:ascii="Times New Roman" w:hAnsi="Times New Roman"/>
          <w:bCs/>
          <w:szCs w:val="24"/>
        </w:rPr>
        <w:t xml:space="preserve">further investigate the fast-growing </w:t>
      </w:r>
      <w:r>
        <w:rPr>
          <w:rFonts w:ascii="Times New Roman" w:hAnsi="Times New Roman"/>
          <w:bCs/>
          <w:szCs w:val="24"/>
        </w:rPr>
        <w:t xml:space="preserve">offer of </w:t>
      </w:r>
      <w:r w:rsidRPr="003B710A">
        <w:rPr>
          <w:rFonts w:ascii="Times New Roman" w:hAnsi="Times New Roman"/>
          <w:bCs/>
          <w:szCs w:val="24"/>
        </w:rPr>
        <w:t>audiovisual media services produced by online influencers</w:t>
      </w:r>
      <w:r>
        <w:rPr>
          <w:rFonts w:ascii="Times New Roman" w:hAnsi="Times New Roman"/>
          <w:bCs/>
          <w:szCs w:val="24"/>
        </w:rPr>
        <w:t xml:space="preserve">. </w:t>
      </w:r>
      <w:r w:rsidRPr="00F46522">
        <w:rPr>
          <w:rFonts w:ascii="Times New Roman" w:hAnsi="Times New Roman"/>
        </w:rPr>
        <w:t>The Parliament demands</w:t>
      </w:r>
      <w:r>
        <w:rPr>
          <w:rFonts w:ascii="Times New Roman" w:hAnsi="Times New Roman"/>
        </w:rPr>
        <w:t xml:space="preserve"> that</w:t>
      </w:r>
      <w:r w:rsidRPr="00F46522">
        <w:rPr>
          <w:rFonts w:ascii="Times New Roman" w:hAnsi="Times New Roman"/>
        </w:rPr>
        <w:t xml:space="preserve"> the Commission act</w:t>
      </w:r>
      <w:r>
        <w:rPr>
          <w:rFonts w:ascii="Times New Roman" w:hAnsi="Times New Roman"/>
        </w:rPr>
        <w:t>s</w:t>
      </w:r>
      <w:r w:rsidRPr="00F46522">
        <w:rPr>
          <w:rFonts w:ascii="Times New Roman" w:hAnsi="Times New Roman"/>
        </w:rPr>
        <w:t xml:space="preserve"> swiftly </w:t>
      </w:r>
      <w:r>
        <w:rPr>
          <w:rFonts w:ascii="Times New Roman" w:hAnsi="Times New Roman"/>
        </w:rPr>
        <w:t xml:space="preserve">against </w:t>
      </w:r>
      <w:r w:rsidRPr="00F46522">
        <w:rPr>
          <w:rFonts w:ascii="Times New Roman" w:hAnsi="Times New Roman"/>
        </w:rPr>
        <w:t xml:space="preserve">any national regulatory authority </w:t>
      </w:r>
      <w:r>
        <w:rPr>
          <w:rFonts w:ascii="Times New Roman" w:hAnsi="Times New Roman"/>
        </w:rPr>
        <w:t>that e</w:t>
      </w:r>
      <w:r w:rsidRPr="00F46522">
        <w:rPr>
          <w:rFonts w:ascii="Times New Roman" w:hAnsi="Times New Roman"/>
        </w:rPr>
        <w:t>xercise</w:t>
      </w:r>
      <w:r>
        <w:rPr>
          <w:rFonts w:ascii="Times New Roman" w:hAnsi="Times New Roman"/>
        </w:rPr>
        <w:t>s</w:t>
      </w:r>
      <w:r w:rsidRPr="00F46522">
        <w:rPr>
          <w:rFonts w:ascii="Times New Roman" w:hAnsi="Times New Roman"/>
        </w:rPr>
        <w:t xml:space="preserve"> its powers in a manner incompatible with the objectives and values of the EU</w:t>
      </w:r>
      <w:r>
        <w:rPr>
          <w:rFonts w:ascii="Times New Roman" w:hAnsi="Times New Roman"/>
        </w:rPr>
        <w:t>. Finally, it ur</w:t>
      </w:r>
      <w:r w:rsidRPr="00F46522">
        <w:rPr>
          <w:rFonts w:ascii="Times New Roman" w:hAnsi="Times New Roman"/>
        </w:rPr>
        <w:t xml:space="preserve">ges the Commission to issue in good time the guidelines </w:t>
      </w:r>
      <w:r>
        <w:rPr>
          <w:rFonts w:ascii="Times New Roman" w:hAnsi="Times New Roman"/>
        </w:rPr>
        <w:t>on media literacy reporting.</w:t>
      </w:r>
    </w:p>
    <w:p w14:paraId="064838E3" w14:textId="77777777" w:rsidR="00F17987" w:rsidRPr="008E2DCD" w:rsidRDefault="00F17987" w:rsidP="00F17987">
      <w:pPr>
        <w:keepNext/>
        <w:keepLines/>
        <w:widowControl w:val="0"/>
        <w:numPr>
          <w:ilvl w:val="0"/>
          <w:numId w:val="1"/>
        </w:numPr>
        <w:ind w:left="567" w:hanging="567"/>
        <w:rPr>
          <w:rFonts w:ascii="Times New Roman" w:hAnsi="Times New Roman"/>
          <w:b/>
          <w:i/>
          <w:szCs w:val="24"/>
        </w:rPr>
      </w:pPr>
      <w:r w:rsidRPr="008E2DCD">
        <w:rPr>
          <w:rFonts w:ascii="Times New Roman" w:hAnsi="Times New Roman"/>
          <w:b/>
          <w:szCs w:val="24"/>
        </w:rPr>
        <w:lastRenderedPageBreak/>
        <w:t>Response to the requests in the resolution and overview of the action taken, or intended to be taken, by the Commission:</w:t>
      </w:r>
    </w:p>
    <w:p w14:paraId="1BBB2320" w14:textId="77777777" w:rsidR="00F17987" w:rsidRDefault="00F17987" w:rsidP="00F17987">
      <w:pPr>
        <w:keepNext/>
        <w:keepLines/>
        <w:spacing w:after="120"/>
        <w:rPr>
          <w:rFonts w:ascii="Times New Roman" w:hAnsi="Times New Roman"/>
        </w:rPr>
      </w:pPr>
      <w:r w:rsidRPr="00515DD0">
        <w:rPr>
          <w:rFonts w:ascii="Times New Roman" w:hAnsi="Times New Roman"/>
        </w:rPr>
        <w:t xml:space="preserve">The Commission welcomes the Parliament’s resolution and fully shares </w:t>
      </w:r>
      <w:r>
        <w:rPr>
          <w:rFonts w:ascii="Times New Roman" w:hAnsi="Times New Roman"/>
        </w:rPr>
        <w:t xml:space="preserve">the view that </w:t>
      </w:r>
      <w:r w:rsidRPr="00515DD0">
        <w:rPr>
          <w:rFonts w:ascii="Times New Roman" w:hAnsi="Times New Roman"/>
        </w:rPr>
        <w:t>the Audiovisual Media Services Directive (AVMSD) play</w:t>
      </w:r>
      <w:r>
        <w:rPr>
          <w:rFonts w:ascii="Times New Roman" w:hAnsi="Times New Roman"/>
        </w:rPr>
        <w:t>s</w:t>
      </w:r>
      <w:r w:rsidRPr="00515DD0">
        <w:rPr>
          <w:rFonts w:ascii="Times New Roman" w:hAnsi="Times New Roman"/>
        </w:rPr>
        <w:t xml:space="preserve"> a key role in structuring the European audiovisual ecosystem, guided by the principles of protecting cultural and linguistic diversity and pluralism of opinion</w:t>
      </w:r>
      <w:r>
        <w:rPr>
          <w:rFonts w:ascii="Times New Roman" w:hAnsi="Times New Roman"/>
        </w:rPr>
        <w:t>.</w:t>
      </w:r>
      <w:r w:rsidRPr="00515DD0">
        <w:rPr>
          <w:rFonts w:ascii="Times New Roman" w:hAnsi="Times New Roman"/>
        </w:rPr>
        <w:t xml:space="preserve"> The Commission has given the resolution careful consideration. </w:t>
      </w:r>
      <w:r>
        <w:rPr>
          <w:rFonts w:ascii="Times New Roman" w:hAnsi="Times New Roman"/>
        </w:rPr>
        <w:t>It provides a very good overview of the current situation and points to some of the challenges for the sector.</w:t>
      </w:r>
    </w:p>
    <w:p w14:paraId="753F411D" w14:textId="77777777" w:rsidR="00F17987" w:rsidRDefault="00F17987" w:rsidP="00F17987">
      <w:pPr>
        <w:spacing w:after="120"/>
        <w:rPr>
          <w:rFonts w:ascii="Times New Roman" w:hAnsi="Times New Roman"/>
        </w:rPr>
      </w:pPr>
      <w:r>
        <w:rPr>
          <w:rFonts w:ascii="Times New Roman" w:hAnsi="Times New Roman"/>
        </w:rPr>
        <w:t xml:space="preserve">The Commission </w:t>
      </w:r>
      <w:r w:rsidRPr="00B871AB">
        <w:rPr>
          <w:rFonts w:ascii="Times New Roman" w:hAnsi="Times New Roman"/>
        </w:rPr>
        <w:t>welcome</w:t>
      </w:r>
      <w:r>
        <w:rPr>
          <w:rFonts w:ascii="Times New Roman" w:hAnsi="Times New Roman"/>
        </w:rPr>
        <w:t>s</w:t>
      </w:r>
      <w:r w:rsidRPr="00B871AB">
        <w:rPr>
          <w:rFonts w:ascii="Times New Roman" w:hAnsi="Times New Roman"/>
        </w:rPr>
        <w:t xml:space="preserve"> the support from the </w:t>
      </w:r>
      <w:r>
        <w:rPr>
          <w:rFonts w:ascii="Times New Roman" w:hAnsi="Times New Roman"/>
        </w:rPr>
        <w:t xml:space="preserve">Parliament </w:t>
      </w:r>
      <w:r w:rsidRPr="00B871AB">
        <w:rPr>
          <w:rFonts w:ascii="Times New Roman" w:hAnsi="Times New Roman"/>
        </w:rPr>
        <w:t xml:space="preserve">to </w:t>
      </w:r>
      <w:r>
        <w:rPr>
          <w:rFonts w:ascii="Times New Roman" w:hAnsi="Times New Roman"/>
        </w:rPr>
        <w:t>its</w:t>
      </w:r>
      <w:r w:rsidRPr="00B871AB">
        <w:rPr>
          <w:rFonts w:ascii="Times New Roman" w:hAnsi="Times New Roman"/>
        </w:rPr>
        <w:t xml:space="preserve"> actions to ensure a rapid and proper implementation of the revised </w:t>
      </w:r>
      <w:r>
        <w:rPr>
          <w:rFonts w:ascii="Times New Roman" w:hAnsi="Times New Roman"/>
        </w:rPr>
        <w:t>d</w:t>
      </w:r>
      <w:r w:rsidRPr="00B871AB">
        <w:rPr>
          <w:rFonts w:ascii="Times New Roman" w:hAnsi="Times New Roman"/>
        </w:rPr>
        <w:t>irective.</w:t>
      </w:r>
      <w:r>
        <w:rPr>
          <w:rFonts w:ascii="Times New Roman" w:hAnsi="Times New Roman"/>
        </w:rPr>
        <w:t xml:space="preserve"> </w:t>
      </w:r>
      <w:r w:rsidRPr="00B871AB">
        <w:rPr>
          <w:rFonts w:ascii="Times New Roman" w:hAnsi="Times New Roman"/>
        </w:rPr>
        <w:t xml:space="preserve">The </w:t>
      </w:r>
      <w:r w:rsidRPr="00693D9D">
        <w:rPr>
          <w:rFonts w:ascii="Times New Roman" w:hAnsi="Times New Roman"/>
          <w:b/>
          <w:bCs/>
        </w:rPr>
        <w:t>implementation of the AVMSD</w:t>
      </w:r>
      <w:r w:rsidRPr="00B871AB">
        <w:rPr>
          <w:rFonts w:ascii="Times New Roman" w:hAnsi="Times New Roman"/>
        </w:rPr>
        <w:t xml:space="preserve"> has been and is a priority for the Commission</w:t>
      </w:r>
      <w:r>
        <w:rPr>
          <w:rFonts w:ascii="Times New Roman" w:hAnsi="Times New Roman"/>
        </w:rPr>
        <w:t>, which h</w:t>
      </w:r>
      <w:r w:rsidRPr="00B871AB">
        <w:rPr>
          <w:rFonts w:ascii="Times New Roman" w:hAnsi="Times New Roman"/>
        </w:rPr>
        <w:t xml:space="preserve">as taken rapid and strong action to ensure </w:t>
      </w:r>
      <w:r w:rsidRPr="00693D9D">
        <w:rPr>
          <w:rFonts w:ascii="Times New Roman" w:hAnsi="Times New Roman"/>
          <w:b/>
          <w:bCs/>
        </w:rPr>
        <w:t xml:space="preserve">transposition by </w:t>
      </w:r>
      <w:r>
        <w:rPr>
          <w:rFonts w:ascii="Times New Roman" w:hAnsi="Times New Roman"/>
          <w:b/>
          <w:bCs/>
        </w:rPr>
        <w:t xml:space="preserve">the </w:t>
      </w:r>
      <w:r w:rsidRPr="00693D9D">
        <w:rPr>
          <w:rFonts w:ascii="Times New Roman" w:hAnsi="Times New Roman"/>
          <w:b/>
          <w:bCs/>
        </w:rPr>
        <w:t>Member States</w:t>
      </w:r>
      <w:r w:rsidRPr="00B871AB">
        <w:rPr>
          <w:rFonts w:ascii="Times New Roman" w:hAnsi="Times New Roman"/>
        </w:rPr>
        <w:t>, starting immediately after the deadline for transposing</w:t>
      </w:r>
      <w:r>
        <w:rPr>
          <w:rFonts w:ascii="Times New Roman" w:hAnsi="Times New Roman"/>
        </w:rPr>
        <w:t xml:space="preserve">, by launching </w:t>
      </w:r>
      <w:r w:rsidRPr="00693D9D">
        <w:rPr>
          <w:rFonts w:ascii="Times New Roman" w:hAnsi="Times New Roman"/>
          <w:b/>
          <w:bCs/>
        </w:rPr>
        <w:t>infringement procedures</w:t>
      </w:r>
      <w:r w:rsidRPr="00B871AB">
        <w:rPr>
          <w:rFonts w:ascii="Times New Roman" w:hAnsi="Times New Roman"/>
        </w:rPr>
        <w:t xml:space="preserve">. </w:t>
      </w:r>
      <w:r>
        <w:rPr>
          <w:rFonts w:ascii="Times New Roman" w:hAnsi="Times New Roman"/>
        </w:rPr>
        <w:t xml:space="preserve">The Commission </w:t>
      </w:r>
      <w:r w:rsidRPr="00B871AB">
        <w:rPr>
          <w:rFonts w:ascii="Times New Roman" w:hAnsi="Times New Roman"/>
        </w:rPr>
        <w:t>ha</w:t>
      </w:r>
      <w:r>
        <w:rPr>
          <w:rFonts w:ascii="Times New Roman" w:hAnsi="Times New Roman"/>
        </w:rPr>
        <w:t>s</w:t>
      </w:r>
      <w:r w:rsidRPr="00B871AB">
        <w:rPr>
          <w:rFonts w:ascii="Times New Roman" w:hAnsi="Times New Roman"/>
        </w:rPr>
        <w:t xml:space="preserve"> taken firm steps that ultimately led to the referral of 5 Member States to the Court of Justice in May </w:t>
      </w:r>
      <w:r>
        <w:rPr>
          <w:rFonts w:ascii="Times New Roman" w:hAnsi="Times New Roman"/>
        </w:rPr>
        <w:t>2022</w:t>
      </w:r>
      <w:r w:rsidRPr="00B871AB">
        <w:rPr>
          <w:rFonts w:ascii="Times New Roman" w:hAnsi="Times New Roman"/>
        </w:rPr>
        <w:t xml:space="preserve">. Since then, </w:t>
      </w:r>
      <w:r>
        <w:rPr>
          <w:rFonts w:ascii="Times New Roman" w:hAnsi="Times New Roman"/>
        </w:rPr>
        <w:t>four</w:t>
      </w:r>
      <w:r w:rsidRPr="00B871AB">
        <w:rPr>
          <w:rFonts w:ascii="Times New Roman" w:hAnsi="Times New Roman"/>
        </w:rPr>
        <w:t xml:space="preserve"> Member States have notified complete transposition and one </w:t>
      </w:r>
      <w:r>
        <w:rPr>
          <w:rFonts w:ascii="Times New Roman" w:hAnsi="Times New Roman"/>
        </w:rPr>
        <w:t xml:space="preserve">has notified </w:t>
      </w:r>
      <w:r w:rsidRPr="00B871AB">
        <w:rPr>
          <w:rFonts w:ascii="Times New Roman" w:hAnsi="Times New Roman"/>
        </w:rPr>
        <w:t>partial transposition</w:t>
      </w:r>
      <w:r>
        <w:rPr>
          <w:rFonts w:ascii="Times New Roman" w:hAnsi="Times New Roman"/>
        </w:rPr>
        <w:t xml:space="preserve"> (paragraph 1)</w:t>
      </w:r>
      <w:r w:rsidRPr="00B871AB">
        <w:rPr>
          <w:rFonts w:ascii="Times New Roman" w:hAnsi="Times New Roman"/>
        </w:rPr>
        <w:t>.</w:t>
      </w:r>
    </w:p>
    <w:p w14:paraId="16B1E21C" w14:textId="77777777" w:rsidR="00F17987" w:rsidRPr="00A64880" w:rsidRDefault="00F17987" w:rsidP="00F17987">
      <w:pPr>
        <w:spacing w:after="120"/>
        <w:rPr>
          <w:rFonts w:ascii="Times New Roman" w:hAnsi="Times New Roman"/>
        </w:rPr>
      </w:pPr>
      <w:r>
        <w:rPr>
          <w:rFonts w:ascii="Times New Roman" w:hAnsi="Times New Roman"/>
        </w:rPr>
        <w:t xml:space="preserve">The Commission </w:t>
      </w:r>
      <w:r w:rsidRPr="00693D9D">
        <w:rPr>
          <w:rFonts w:ascii="Times New Roman" w:hAnsi="Times New Roman"/>
          <w:b/>
          <w:bCs/>
        </w:rPr>
        <w:t>Report on the AVMSD provisions concerning the promotion of European works</w:t>
      </w:r>
      <w:r>
        <w:rPr>
          <w:rFonts w:ascii="Times New Roman" w:hAnsi="Times New Roman"/>
        </w:rPr>
        <w:t xml:space="preserve"> for the period 2015-2019 was published in May 2023, together with the accompanying independent study</w:t>
      </w:r>
      <w:r>
        <w:rPr>
          <w:rStyle w:val="FootnoteReference"/>
          <w:rFonts w:ascii="Times New Roman" w:hAnsi="Times New Roman"/>
        </w:rPr>
        <w:footnoteReference w:id="1"/>
      </w:r>
      <w:r>
        <w:rPr>
          <w:rFonts w:ascii="Times New Roman" w:hAnsi="Times New Roman"/>
        </w:rPr>
        <w:t xml:space="preserve">. The Commission is currently preparing the report for the period 2020-2021, based on an independent study and the information provided by the Member States, and expects to publish in Autumn 2023. The general </w:t>
      </w:r>
      <w:r w:rsidRPr="00693D9D">
        <w:rPr>
          <w:rFonts w:ascii="Times New Roman" w:hAnsi="Times New Roman"/>
          <w:b/>
          <w:bCs/>
        </w:rPr>
        <w:t>Report on the application of the AVMSD</w:t>
      </w:r>
      <w:r>
        <w:rPr>
          <w:rFonts w:ascii="Times New Roman" w:hAnsi="Times New Roman"/>
        </w:rPr>
        <w:t xml:space="preserve"> is in preparation and is expected to be published also in the autumn 2023 (paragraph 3). </w:t>
      </w:r>
      <w:r w:rsidRPr="00941CF8">
        <w:rPr>
          <w:rFonts w:ascii="Times New Roman" w:hAnsi="Times New Roman"/>
        </w:rPr>
        <w:t xml:space="preserve">The timing of the </w:t>
      </w:r>
      <w:r>
        <w:rPr>
          <w:rFonts w:ascii="Times New Roman" w:hAnsi="Times New Roman"/>
        </w:rPr>
        <w:t>r</w:t>
      </w:r>
      <w:r w:rsidRPr="00941CF8">
        <w:rPr>
          <w:rFonts w:ascii="Times New Roman" w:hAnsi="Times New Roman"/>
        </w:rPr>
        <w:t xml:space="preserve">eport </w:t>
      </w:r>
      <w:r>
        <w:rPr>
          <w:rFonts w:ascii="Times New Roman" w:hAnsi="Times New Roman"/>
        </w:rPr>
        <w:t xml:space="preserve">had </w:t>
      </w:r>
      <w:r w:rsidRPr="00941CF8">
        <w:rPr>
          <w:rFonts w:ascii="Times New Roman" w:hAnsi="Times New Roman"/>
        </w:rPr>
        <w:t xml:space="preserve">to take into consideration the significant delay by </w:t>
      </w:r>
      <w:r>
        <w:rPr>
          <w:rFonts w:ascii="Times New Roman" w:hAnsi="Times New Roman"/>
        </w:rPr>
        <w:t xml:space="preserve">the </w:t>
      </w:r>
      <w:r w:rsidRPr="00941CF8">
        <w:rPr>
          <w:rFonts w:ascii="Times New Roman" w:hAnsi="Times New Roman"/>
        </w:rPr>
        <w:t xml:space="preserve">Member States in transposing </w:t>
      </w:r>
      <w:r>
        <w:rPr>
          <w:rFonts w:ascii="Times New Roman" w:hAnsi="Times New Roman"/>
        </w:rPr>
        <w:t xml:space="preserve">the </w:t>
      </w:r>
      <w:r w:rsidRPr="00941CF8">
        <w:rPr>
          <w:rFonts w:ascii="Times New Roman" w:hAnsi="Times New Roman"/>
        </w:rPr>
        <w:t>AVMSD.</w:t>
      </w:r>
      <w:r>
        <w:rPr>
          <w:rFonts w:ascii="Times New Roman" w:hAnsi="Times New Roman"/>
        </w:rPr>
        <w:t xml:space="preserve"> The report </w:t>
      </w:r>
      <w:r w:rsidRPr="00663F71">
        <w:rPr>
          <w:rFonts w:ascii="Times New Roman" w:hAnsi="Times New Roman"/>
        </w:rPr>
        <w:t xml:space="preserve">will assess </w:t>
      </w:r>
      <w:r>
        <w:rPr>
          <w:rFonts w:ascii="Times New Roman" w:hAnsi="Times New Roman"/>
        </w:rPr>
        <w:t xml:space="preserve">inter alia, the implementation of the new rules on </w:t>
      </w:r>
      <w:r w:rsidRPr="00663F71">
        <w:rPr>
          <w:rFonts w:ascii="Times New Roman" w:hAnsi="Times New Roman"/>
        </w:rPr>
        <w:t xml:space="preserve">accessibility of audiovisual media services </w:t>
      </w:r>
      <w:r>
        <w:rPr>
          <w:rFonts w:ascii="Times New Roman" w:hAnsi="Times New Roman"/>
        </w:rPr>
        <w:t>(Article 7)</w:t>
      </w:r>
      <w:r w:rsidRPr="00663F71">
        <w:rPr>
          <w:rFonts w:ascii="Times New Roman" w:hAnsi="Times New Roman"/>
        </w:rPr>
        <w:t>, on prominence</w:t>
      </w:r>
      <w:r>
        <w:rPr>
          <w:rFonts w:ascii="Times New Roman" w:hAnsi="Times New Roman"/>
        </w:rPr>
        <w:t xml:space="preserve"> (Article 7a)</w:t>
      </w:r>
      <w:r w:rsidRPr="00663F71">
        <w:rPr>
          <w:rFonts w:ascii="Times New Roman" w:hAnsi="Times New Roman"/>
        </w:rPr>
        <w:t xml:space="preserve">, </w:t>
      </w:r>
      <w:r>
        <w:rPr>
          <w:rFonts w:ascii="Times New Roman" w:hAnsi="Times New Roman"/>
        </w:rPr>
        <w:t xml:space="preserve">on signal integrity (Article 7b) </w:t>
      </w:r>
      <w:r w:rsidRPr="00663F71">
        <w:rPr>
          <w:rFonts w:ascii="Times New Roman" w:hAnsi="Times New Roman"/>
        </w:rPr>
        <w:t>and on video sharing platforms</w:t>
      </w:r>
      <w:r>
        <w:rPr>
          <w:rFonts w:ascii="Times New Roman" w:hAnsi="Times New Roman"/>
        </w:rPr>
        <w:t xml:space="preserve"> (Article 28b)</w:t>
      </w:r>
      <w:r w:rsidRPr="00663F71">
        <w:rPr>
          <w:rFonts w:ascii="Times New Roman" w:hAnsi="Times New Roman"/>
        </w:rPr>
        <w:t>.</w:t>
      </w:r>
      <w:r>
        <w:rPr>
          <w:rFonts w:ascii="Times New Roman" w:hAnsi="Times New Roman"/>
        </w:rPr>
        <w:t>The future Commission Report on European works for the period 2020-2021, together with the findings of the Media Outlook that was published in May 2023</w:t>
      </w:r>
      <w:r>
        <w:rPr>
          <w:rStyle w:val="FootnoteReference"/>
          <w:rFonts w:ascii="Times New Roman" w:hAnsi="Times New Roman"/>
        </w:rPr>
        <w:footnoteReference w:id="2"/>
      </w:r>
      <w:r>
        <w:rPr>
          <w:rFonts w:ascii="Times New Roman" w:hAnsi="Times New Roman"/>
        </w:rPr>
        <w:t xml:space="preserve">, will provide relevant data to assess the situation </w:t>
      </w:r>
      <w:r w:rsidRPr="00693D9D">
        <w:rPr>
          <w:rFonts w:ascii="Times New Roman" w:hAnsi="Times New Roman"/>
          <w:b/>
          <w:bCs/>
        </w:rPr>
        <w:t>of European works.</w:t>
      </w:r>
      <w:r>
        <w:rPr>
          <w:rFonts w:ascii="Times New Roman" w:hAnsi="Times New Roman"/>
        </w:rPr>
        <w:t xml:space="preserve"> The Media Outlook </w:t>
      </w:r>
      <w:r w:rsidRPr="003F56FD">
        <w:rPr>
          <w:rFonts w:ascii="Times New Roman" w:hAnsi="Times New Roman"/>
        </w:rPr>
        <w:t xml:space="preserve">provides new insights </w:t>
      </w:r>
      <w:r>
        <w:rPr>
          <w:rFonts w:ascii="Times New Roman" w:hAnsi="Times New Roman"/>
        </w:rPr>
        <w:t>into</w:t>
      </w:r>
      <w:r w:rsidRPr="003F56FD">
        <w:rPr>
          <w:rFonts w:ascii="Times New Roman" w:hAnsi="Times New Roman"/>
        </w:rPr>
        <w:t xml:space="preserve"> the contractual and business relations between EU producers and streamers/broadcasters, as well as </w:t>
      </w:r>
      <w:r>
        <w:rPr>
          <w:rFonts w:ascii="Times New Roman" w:hAnsi="Times New Roman"/>
        </w:rPr>
        <w:t xml:space="preserve">the </w:t>
      </w:r>
      <w:r w:rsidRPr="003F56FD">
        <w:rPr>
          <w:rFonts w:ascii="Times New Roman" w:hAnsi="Times New Roman"/>
        </w:rPr>
        <w:t xml:space="preserve">preferences and consumption behaviours of European consumers. </w:t>
      </w:r>
      <w:r>
        <w:rPr>
          <w:rFonts w:ascii="Times New Roman" w:hAnsi="Times New Roman"/>
        </w:rPr>
        <w:t>I</w:t>
      </w:r>
      <w:r w:rsidRPr="003F56FD">
        <w:rPr>
          <w:rFonts w:ascii="Times New Roman" w:hAnsi="Times New Roman"/>
        </w:rPr>
        <w:t>n light of the results of the Media Outlook, the Commission is engaging in a dialogue with the audiovisual industries to reflect on how best to support their competitiveness</w:t>
      </w:r>
      <w:r>
        <w:rPr>
          <w:rFonts w:ascii="Times New Roman" w:hAnsi="Times New Roman"/>
        </w:rPr>
        <w:t xml:space="preserve">, including issues related to the exploitation of intellectual property (IP) rights and the </w:t>
      </w:r>
      <w:r w:rsidRPr="003F56FD">
        <w:rPr>
          <w:rFonts w:ascii="Times New Roman" w:hAnsi="Times New Roman"/>
        </w:rPr>
        <w:t>application of the term ‘European works’</w:t>
      </w:r>
      <w:r>
        <w:rPr>
          <w:rFonts w:ascii="Times New Roman" w:hAnsi="Times New Roman"/>
        </w:rPr>
        <w:t xml:space="preserve"> under the current framework for the promotion of European works (paragraph 4). The work of the European Audiovisual Observatory related to European works is also relevant in this context.</w:t>
      </w:r>
    </w:p>
    <w:p w14:paraId="413C074A" w14:textId="77777777" w:rsidR="00F17987" w:rsidRPr="00B47FB9" w:rsidRDefault="00F17987" w:rsidP="00F17987">
      <w:pPr>
        <w:spacing w:after="120"/>
        <w:rPr>
          <w:rFonts w:ascii="Times New Roman" w:hAnsi="Times New Roman"/>
        </w:rPr>
      </w:pPr>
      <w:r>
        <w:rPr>
          <w:rFonts w:ascii="Times New Roman" w:hAnsi="Times New Roman"/>
        </w:rPr>
        <w:t xml:space="preserve">Regarding the rules on </w:t>
      </w:r>
      <w:r w:rsidRPr="0093333D">
        <w:rPr>
          <w:rFonts w:ascii="Times New Roman" w:hAnsi="Times New Roman"/>
          <w:b/>
          <w:bCs/>
        </w:rPr>
        <w:t>prominence of European works</w:t>
      </w:r>
      <w:r>
        <w:rPr>
          <w:rFonts w:ascii="Times New Roman" w:hAnsi="Times New Roman"/>
        </w:rPr>
        <w:t xml:space="preserve">, the Commission shares the Parliament’s view about their importance. The Commission underlines that it has promoted the exchange of practices among Member States through the work done by the </w:t>
      </w:r>
      <w:r w:rsidRPr="00D528ED">
        <w:rPr>
          <w:rFonts w:ascii="Times New Roman" w:hAnsi="Times New Roman"/>
        </w:rPr>
        <w:t xml:space="preserve">European Regulators Group for Audiovisual Media Services </w:t>
      </w:r>
      <w:r>
        <w:rPr>
          <w:rFonts w:ascii="Times New Roman" w:hAnsi="Times New Roman"/>
        </w:rPr>
        <w:t xml:space="preserve">(ERGA) on this matter during the last few years (paragraph </w:t>
      </w:r>
      <w:r w:rsidRPr="0093333D">
        <w:rPr>
          <w:rFonts w:ascii="Times New Roman" w:hAnsi="Times New Roman"/>
        </w:rPr>
        <w:t xml:space="preserve">29). Concerning the </w:t>
      </w:r>
      <w:r w:rsidRPr="00176AA6">
        <w:rPr>
          <w:rFonts w:ascii="Times New Roman" w:hAnsi="Times New Roman"/>
          <w:b/>
          <w:bCs/>
        </w:rPr>
        <w:t>types of programmes</w:t>
      </w:r>
      <w:r w:rsidRPr="0093333D">
        <w:rPr>
          <w:rFonts w:ascii="Times New Roman" w:hAnsi="Times New Roman"/>
        </w:rPr>
        <w:t xml:space="preserve"> offered by audiovisual on-demand services</w:t>
      </w:r>
      <w:r>
        <w:rPr>
          <w:rFonts w:ascii="Times New Roman" w:hAnsi="Times New Roman"/>
        </w:rPr>
        <w:t xml:space="preserve"> in relation to </w:t>
      </w:r>
      <w:r>
        <w:rPr>
          <w:rFonts w:ascii="Times New Roman" w:hAnsi="Times New Roman"/>
        </w:rPr>
        <w:lastRenderedPageBreak/>
        <w:t xml:space="preserve">the European works quota, the Commission points to the </w:t>
      </w:r>
      <w:r w:rsidRPr="0093333D">
        <w:rPr>
          <w:rFonts w:ascii="Times New Roman" w:hAnsi="Times New Roman"/>
        </w:rPr>
        <w:t>study</w:t>
      </w:r>
      <w:r>
        <w:rPr>
          <w:rFonts w:ascii="Times New Roman" w:hAnsi="Times New Roman"/>
        </w:rPr>
        <w:t xml:space="preserve"> </w:t>
      </w:r>
      <w:r w:rsidRPr="0093333D">
        <w:rPr>
          <w:rFonts w:ascii="Times New Roman" w:hAnsi="Times New Roman"/>
        </w:rPr>
        <w:t xml:space="preserve">accompanying </w:t>
      </w:r>
      <w:r>
        <w:rPr>
          <w:rFonts w:ascii="Times New Roman" w:hAnsi="Times New Roman"/>
        </w:rPr>
        <w:t xml:space="preserve">the </w:t>
      </w:r>
      <w:r w:rsidRPr="00C056A9">
        <w:rPr>
          <w:rFonts w:ascii="Times New Roman" w:hAnsi="Times New Roman"/>
          <w:bCs/>
        </w:rPr>
        <w:t>Report on the AVMSD provisions concerning the promotion of European works</w:t>
      </w:r>
      <w:r>
        <w:rPr>
          <w:rFonts w:ascii="Times New Roman" w:hAnsi="Times New Roman"/>
        </w:rPr>
        <w:t xml:space="preserve"> for the period 2015-2019 mentioned above. </w:t>
      </w:r>
      <w:r w:rsidRPr="0093333D">
        <w:rPr>
          <w:rFonts w:ascii="Times New Roman" w:hAnsi="Times New Roman"/>
        </w:rPr>
        <w:t xml:space="preserve">This study provides an analysis of the audiovisual content offer in video on demand catalogues, including genres of the available productions and the share of European works. The next </w:t>
      </w:r>
      <w:r>
        <w:rPr>
          <w:rFonts w:ascii="Times New Roman" w:hAnsi="Times New Roman"/>
        </w:rPr>
        <w:t>report</w:t>
      </w:r>
      <w:r w:rsidRPr="0093333D">
        <w:rPr>
          <w:rFonts w:ascii="Times New Roman" w:hAnsi="Times New Roman"/>
        </w:rPr>
        <w:t xml:space="preserve">, covering the years 2020-2021, will also make available data regarding the audiovisual content offer </w:t>
      </w:r>
      <w:r>
        <w:rPr>
          <w:rFonts w:ascii="Times New Roman" w:hAnsi="Times New Roman"/>
        </w:rPr>
        <w:t>of</w:t>
      </w:r>
      <w:r w:rsidRPr="0093333D">
        <w:rPr>
          <w:rFonts w:ascii="Times New Roman" w:hAnsi="Times New Roman"/>
        </w:rPr>
        <w:t xml:space="preserve"> video on demand services and include further improvements in the methodology</w:t>
      </w:r>
      <w:r>
        <w:rPr>
          <w:rFonts w:ascii="Times New Roman" w:hAnsi="Times New Roman"/>
        </w:rPr>
        <w:t xml:space="preserve"> (paragraph 34)</w:t>
      </w:r>
      <w:r w:rsidRPr="0093333D">
        <w:rPr>
          <w:rFonts w:ascii="Times New Roman" w:hAnsi="Times New Roman"/>
        </w:rPr>
        <w:t>.</w:t>
      </w:r>
    </w:p>
    <w:p w14:paraId="36F087C9" w14:textId="77777777" w:rsidR="00F17987" w:rsidRDefault="00F17987" w:rsidP="00F17987">
      <w:pPr>
        <w:spacing w:after="120"/>
        <w:rPr>
          <w:rFonts w:ascii="Times New Roman" w:hAnsi="Times New Roman"/>
        </w:rPr>
      </w:pPr>
      <w:r>
        <w:rPr>
          <w:rFonts w:ascii="Times New Roman" w:hAnsi="Times New Roman"/>
        </w:rPr>
        <w:t>The resolution r</w:t>
      </w:r>
      <w:r w:rsidRPr="003F56FD">
        <w:rPr>
          <w:rFonts w:ascii="Times New Roman" w:hAnsi="Times New Roman"/>
        </w:rPr>
        <w:t>aise</w:t>
      </w:r>
      <w:r>
        <w:rPr>
          <w:rFonts w:ascii="Times New Roman" w:hAnsi="Times New Roman"/>
        </w:rPr>
        <w:t xml:space="preserve">s some challenges related </w:t>
      </w:r>
      <w:r w:rsidRPr="003F56FD">
        <w:rPr>
          <w:rFonts w:ascii="Times New Roman" w:hAnsi="Times New Roman"/>
        </w:rPr>
        <w:t xml:space="preserve">to the application of the </w:t>
      </w:r>
      <w:r w:rsidRPr="00693D9D">
        <w:rPr>
          <w:rFonts w:ascii="Times New Roman" w:hAnsi="Times New Roman"/>
          <w:b/>
          <w:bCs/>
        </w:rPr>
        <w:t>country-of-origin principle</w:t>
      </w:r>
      <w:r w:rsidRPr="003F56FD">
        <w:t xml:space="preserve"> </w:t>
      </w:r>
      <w:r w:rsidRPr="003F56FD">
        <w:rPr>
          <w:rFonts w:ascii="Times New Roman" w:hAnsi="Times New Roman"/>
        </w:rPr>
        <w:t xml:space="preserve">or the implementation of provisions concerning the </w:t>
      </w:r>
      <w:r w:rsidRPr="00693D9D">
        <w:rPr>
          <w:rFonts w:ascii="Times New Roman" w:hAnsi="Times New Roman"/>
          <w:b/>
          <w:bCs/>
        </w:rPr>
        <w:t>prominence of audiovisual media services of general interest</w:t>
      </w:r>
      <w:r w:rsidRPr="003F56FD">
        <w:rPr>
          <w:rFonts w:ascii="Times New Roman" w:hAnsi="Times New Roman"/>
        </w:rPr>
        <w:t>.</w:t>
      </w:r>
      <w:r>
        <w:rPr>
          <w:rFonts w:ascii="Times New Roman" w:hAnsi="Times New Roman"/>
        </w:rPr>
        <w:t xml:space="preserve"> T</w:t>
      </w:r>
      <w:r w:rsidRPr="003F56FD">
        <w:rPr>
          <w:rFonts w:ascii="Times New Roman" w:hAnsi="Times New Roman"/>
        </w:rPr>
        <w:t>he</w:t>
      </w:r>
      <w:r>
        <w:rPr>
          <w:rFonts w:ascii="Times New Roman" w:hAnsi="Times New Roman"/>
        </w:rPr>
        <w:t xml:space="preserve"> proposed</w:t>
      </w:r>
      <w:r w:rsidRPr="003F56FD">
        <w:rPr>
          <w:rFonts w:ascii="Times New Roman" w:hAnsi="Times New Roman"/>
        </w:rPr>
        <w:t xml:space="preserve"> </w:t>
      </w:r>
      <w:r w:rsidRPr="00693D9D">
        <w:rPr>
          <w:rFonts w:ascii="Times New Roman" w:hAnsi="Times New Roman"/>
          <w:b/>
          <w:bCs/>
        </w:rPr>
        <w:t>European Media Freedom Act</w:t>
      </w:r>
      <w:r w:rsidRPr="003F56FD">
        <w:rPr>
          <w:rFonts w:ascii="Times New Roman" w:hAnsi="Times New Roman"/>
        </w:rPr>
        <w:t xml:space="preserve"> (EMFA)</w:t>
      </w:r>
      <w:r>
        <w:rPr>
          <w:rStyle w:val="FootnoteReference"/>
          <w:rFonts w:ascii="Times New Roman" w:hAnsi="Times New Roman"/>
        </w:rPr>
        <w:footnoteReference w:id="3"/>
      </w:r>
      <w:r>
        <w:rPr>
          <w:rFonts w:ascii="Times New Roman" w:hAnsi="Times New Roman"/>
        </w:rPr>
        <w:t xml:space="preserve"> should help </w:t>
      </w:r>
      <w:r w:rsidRPr="003F56FD">
        <w:rPr>
          <w:rFonts w:ascii="Times New Roman" w:hAnsi="Times New Roman"/>
        </w:rPr>
        <w:t>address th</w:t>
      </w:r>
      <w:r>
        <w:rPr>
          <w:rFonts w:ascii="Times New Roman" w:hAnsi="Times New Roman"/>
        </w:rPr>
        <w:t>ose</w:t>
      </w:r>
      <w:r w:rsidRPr="003F56FD">
        <w:rPr>
          <w:rFonts w:ascii="Times New Roman" w:hAnsi="Times New Roman"/>
        </w:rPr>
        <w:t xml:space="preserve"> challenges</w:t>
      </w:r>
      <w:r>
        <w:rPr>
          <w:rFonts w:ascii="Times New Roman" w:hAnsi="Times New Roman"/>
        </w:rPr>
        <w:t>. Regarding the difficulties related to Article 2(4) AVMSD that may lead to</w:t>
      </w:r>
      <w:r w:rsidRPr="003F56FD">
        <w:rPr>
          <w:rFonts w:ascii="Times New Roman" w:hAnsi="Times New Roman"/>
        </w:rPr>
        <w:t xml:space="preserve"> </w:t>
      </w:r>
      <w:r>
        <w:rPr>
          <w:rFonts w:ascii="Times New Roman" w:hAnsi="Times New Roman"/>
        </w:rPr>
        <w:t xml:space="preserve">the </w:t>
      </w:r>
      <w:r w:rsidRPr="003F56FD">
        <w:rPr>
          <w:rFonts w:ascii="Times New Roman" w:hAnsi="Times New Roman"/>
        </w:rPr>
        <w:t xml:space="preserve">unintended consequences of allowing third-country providers to easily and quickly distribute audiovisual content via satellite without restriction, </w:t>
      </w:r>
      <w:r>
        <w:rPr>
          <w:rFonts w:ascii="Times New Roman" w:hAnsi="Times New Roman"/>
        </w:rPr>
        <w:t xml:space="preserve">the proposed </w:t>
      </w:r>
      <w:r w:rsidRPr="003F56FD">
        <w:rPr>
          <w:rFonts w:ascii="Times New Roman" w:hAnsi="Times New Roman"/>
        </w:rPr>
        <w:t>EMFA</w:t>
      </w:r>
      <w:r>
        <w:rPr>
          <w:rFonts w:ascii="Times New Roman" w:hAnsi="Times New Roman"/>
        </w:rPr>
        <w:t xml:space="preserve"> would </w:t>
      </w:r>
      <w:r w:rsidRPr="003F56FD">
        <w:rPr>
          <w:rFonts w:ascii="Times New Roman" w:hAnsi="Times New Roman"/>
        </w:rPr>
        <w:t>help fight</w:t>
      </w:r>
      <w:r>
        <w:rPr>
          <w:rFonts w:ascii="Times New Roman" w:hAnsi="Times New Roman"/>
        </w:rPr>
        <w:t>ing</w:t>
      </w:r>
      <w:r w:rsidRPr="003F56FD">
        <w:rPr>
          <w:rFonts w:ascii="Times New Roman" w:hAnsi="Times New Roman"/>
        </w:rPr>
        <w:t xml:space="preserve"> disinformation and foreign interference by fostering coordination of measures among Member States. </w:t>
      </w:r>
      <w:r>
        <w:rPr>
          <w:rFonts w:ascii="Times New Roman" w:hAnsi="Times New Roman"/>
        </w:rPr>
        <w:t>In particular, A</w:t>
      </w:r>
      <w:r w:rsidRPr="003F56FD">
        <w:rPr>
          <w:rFonts w:ascii="Times New Roman" w:hAnsi="Times New Roman"/>
        </w:rPr>
        <w:t>rticle 16 of</w:t>
      </w:r>
      <w:r>
        <w:rPr>
          <w:rFonts w:ascii="Times New Roman" w:hAnsi="Times New Roman"/>
        </w:rPr>
        <w:t xml:space="preserve"> the</w:t>
      </w:r>
      <w:r w:rsidRPr="003F56FD">
        <w:rPr>
          <w:rFonts w:ascii="Times New Roman" w:hAnsi="Times New Roman"/>
        </w:rPr>
        <w:t xml:space="preserve"> </w:t>
      </w:r>
      <w:r>
        <w:rPr>
          <w:rFonts w:ascii="Times New Roman" w:hAnsi="Times New Roman"/>
        </w:rPr>
        <w:t xml:space="preserve">proposed </w:t>
      </w:r>
      <w:r w:rsidRPr="003F56FD">
        <w:rPr>
          <w:rFonts w:ascii="Times New Roman" w:hAnsi="Times New Roman"/>
        </w:rPr>
        <w:t xml:space="preserve">EMFA </w:t>
      </w:r>
      <w:r>
        <w:rPr>
          <w:rFonts w:ascii="Times New Roman" w:hAnsi="Times New Roman"/>
        </w:rPr>
        <w:t xml:space="preserve">would be the tool to entrusting </w:t>
      </w:r>
      <w:r w:rsidRPr="003F56FD">
        <w:rPr>
          <w:rFonts w:ascii="Times New Roman" w:hAnsi="Times New Roman"/>
        </w:rPr>
        <w:t xml:space="preserve">the </w:t>
      </w:r>
      <w:r>
        <w:rPr>
          <w:rFonts w:ascii="Times New Roman" w:hAnsi="Times New Roman"/>
        </w:rPr>
        <w:t xml:space="preserve">envisaged </w:t>
      </w:r>
      <w:r w:rsidRPr="00D323AD">
        <w:rPr>
          <w:rFonts w:ascii="Times New Roman" w:hAnsi="Times New Roman"/>
        </w:rPr>
        <w:t>European Board for Media Services</w:t>
      </w:r>
      <w:r w:rsidRPr="003F56FD">
        <w:rPr>
          <w:rFonts w:ascii="Times New Roman" w:hAnsi="Times New Roman"/>
        </w:rPr>
        <w:t xml:space="preserve"> with the task to coordinate measures by media regulators on third country providers in case there is a prejudice or a serious and grave risk</w:t>
      </w:r>
      <w:r>
        <w:rPr>
          <w:rFonts w:ascii="Times New Roman" w:hAnsi="Times New Roman"/>
        </w:rPr>
        <w:t xml:space="preserve"> of prejudice</w:t>
      </w:r>
      <w:r w:rsidRPr="003F56FD">
        <w:rPr>
          <w:rFonts w:ascii="Times New Roman" w:hAnsi="Times New Roman"/>
        </w:rPr>
        <w:t xml:space="preserve"> to public security and defence.</w:t>
      </w:r>
      <w:r>
        <w:rPr>
          <w:rFonts w:ascii="Times New Roman" w:hAnsi="Times New Roman"/>
        </w:rPr>
        <w:t xml:space="preserve"> Regarding the </w:t>
      </w:r>
      <w:r w:rsidRPr="003F56FD">
        <w:rPr>
          <w:rFonts w:ascii="Times New Roman" w:hAnsi="Times New Roman"/>
        </w:rPr>
        <w:t xml:space="preserve">need of guidance by the Commission to help Member States to better use the opportunities </w:t>
      </w:r>
      <w:r>
        <w:rPr>
          <w:rFonts w:ascii="Times New Roman" w:hAnsi="Times New Roman"/>
        </w:rPr>
        <w:t>for</w:t>
      </w:r>
      <w:r w:rsidRPr="003F56FD">
        <w:rPr>
          <w:rFonts w:ascii="Times New Roman" w:hAnsi="Times New Roman"/>
        </w:rPr>
        <w:t xml:space="preserve"> the prominence of audiovisual media services of general interest (Article 7a AVMSD)</w:t>
      </w:r>
      <w:r>
        <w:rPr>
          <w:rFonts w:ascii="Times New Roman" w:hAnsi="Times New Roman"/>
        </w:rPr>
        <w:t xml:space="preserve">, the proposed </w:t>
      </w:r>
      <w:r w:rsidRPr="003F56FD">
        <w:rPr>
          <w:rFonts w:ascii="Times New Roman" w:hAnsi="Times New Roman"/>
        </w:rPr>
        <w:t xml:space="preserve">EMFA </w:t>
      </w:r>
      <w:r>
        <w:rPr>
          <w:rFonts w:ascii="Times New Roman" w:hAnsi="Times New Roman"/>
        </w:rPr>
        <w:t xml:space="preserve">would </w:t>
      </w:r>
      <w:r w:rsidRPr="003F56FD">
        <w:rPr>
          <w:rFonts w:ascii="Times New Roman" w:hAnsi="Times New Roman"/>
        </w:rPr>
        <w:t>allow the Commission to issue guidance</w:t>
      </w:r>
      <w:r>
        <w:rPr>
          <w:rFonts w:ascii="Times New Roman" w:hAnsi="Times New Roman"/>
        </w:rPr>
        <w:t xml:space="preserve"> on the matter</w:t>
      </w:r>
      <w:r w:rsidRPr="003F56FD">
        <w:rPr>
          <w:rFonts w:ascii="Times New Roman" w:hAnsi="Times New Roman"/>
        </w:rPr>
        <w:t xml:space="preserve"> with the assistance of the </w:t>
      </w:r>
      <w:r>
        <w:rPr>
          <w:rFonts w:ascii="Times New Roman" w:hAnsi="Times New Roman"/>
        </w:rPr>
        <w:t xml:space="preserve">envisaged </w:t>
      </w:r>
      <w:r w:rsidRPr="003F56FD">
        <w:rPr>
          <w:rFonts w:ascii="Times New Roman" w:hAnsi="Times New Roman"/>
        </w:rPr>
        <w:t>new Board.</w:t>
      </w:r>
      <w:r>
        <w:rPr>
          <w:rFonts w:ascii="Times New Roman" w:hAnsi="Times New Roman"/>
        </w:rPr>
        <w:t xml:space="preserve"> Additionally, regarding </w:t>
      </w:r>
      <w:r w:rsidRPr="00693D9D">
        <w:rPr>
          <w:rFonts w:ascii="Times New Roman" w:hAnsi="Times New Roman"/>
          <w:b/>
          <w:bCs/>
        </w:rPr>
        <w:t>Article 5(2) AVMSD</w:t>
      </w:r>
      <w:r>
        <w:rPr>
          <w:rFonts w:ascii="Times New Roman" w:hAnsi="Times New Roman"/>
        </w:rPr>
        <w:t>, t</w:t>
      </w:r>
      <w:r w:rsidRPr="00D323AD">
        <w:rPr>
          <w:rFonts w:ascii="Times New Roman" w:hAnsi="Times New Roman"/>
        </w:rPr>
        <w:t xml:space="preserve">he </w:t>
      </w:r>
      <w:r>
        <w:rPr>
          <w:rFonts w:ascii="Times New Roman" w:hAnsi="Times New Roman"/>
        </w:rPr>
        <w:t xml:space="preserve">proposed EMFA would also </w:t>
      </w:r>
      <w:r w:rsidRPr="00D323AD">
        <w:rPr>
          <w:rFonts w:ascii="Times New Roman" w:hAnsi="Times New Roman"/>
        </w:rPr>
        <w:t xml:space="preserve">require media service providers to ensure transparency of ownership by publicly disclosing such information. </w:t>
      </w:r>
      <w:r>
        <w:rPr>
          <w:rFonts w:ascii="Times New Roman" w:hAnsi="Times New Roman"/>
        </w:rPr>
        <w:t>In this regard, t</w:t>
      </w:r>
      <w:r w:rsidRPr="00D323AD">
        <w:rPr>
          <w:rFonts w:ascii="Times New Roman" w:hAnsi="Times New Roman"/>
        </w:rPr>
        <w:t xml:space="preserve">he Commission has also co-financed a pilot project establishing the European media ownership monitor (EurOMo) </w:t>
      </w:r>
      <w:r>
        <w:rPr>
          <w:rFonts w:ascii="Times New Roman" w:hAnsi="Times New Roman"/>
        </w:rPr>
        <w:t>(paragraphs 5, 7, 14, 22, 23 and 24).</w:t>
      </w:r>
    </w:p>
    <w:p w14:paraId="4496050F" w14:textId="77777777" w:rsidR="00F17987" w:rsidRDefault="00F17987" w:rsidP="00F17987">
      <w:pPr>
        <w:spacing w:after="120"/>
        <w:rPr>
          <w:rFonts w:ascii="Times New Roman" w:hAnsi="Times New Roman"/>
        </w:rPr>
      </w:pPr>
      <w:r w:rsidRPr="0093333D">
        <w:rPr>
          <w:rFonts w:ascii="Times New Roman" w:hAnsi="Times New Roman"/>
        </w:rPr>
        <w:t xml:space="preserve">Regarding the new AVMSD provisions aimed at improving the </w:t>
      </w:r>
      <w:r w:rsidRPr="0093333D">
        <w:rPr>
          <w:rFonts w:ascii="Times New Roman" w:hAnsi="Times New Roman"/>
          <w:b/>
          <w:bCs/>
        </w:rPr>
        <w:t>accessibility of media services</w:t>
      </w:r>
      <w:r w:rsidRPr="0093333D">
        <w:rPr>
          <w:rFonts w:ascii="Times New Roman" w:hAnsi="Times New Roman"/>
        </w:rPr>
        <w:t>, the Commission</w:t>
      </w:r>
      <w:r>
        <w:rPr>
          <w:rFonts w:ascii="Times New Roman" w:hAnsi="Times New Roman"/>
        </w:rPr>
        <w:t xml:space="preserve"> </w:t>
      </w:r>
      <w:r w:rsidRPr="00C056A9">
        <w:rPr>
          <w:rFonts w:ascii="Times New Roman" w:hAnsi="Times New Roman"/>
          <w:bCs/>
        </w:rPr>
        <w:t>Report on the application of the AVMSD</w:t>
      </w:r>
      <w:r>
        <w:rPr>
          <w:rFonts w:ascii="Times New Roman" w:hAnsi="Times New Roman"/>
        </w:rPr>
        <w:t xml:space="preserve"> </w:t>
      </w:r>
      <w:r w:rsidRPr="0093333D">
        <w:rPr>
          <w:rFonts w:ascii="Times New Roman" w:hAnsi="Times New Roman"/>
        </w:rPr>
        <w:t>will</w:t>
      </w:r>
      <w:r>
        <w:rPr>
          <w:rFonts w:ascii="Times New Roman" w:hAnsi="Times New Roman"/>
        </w:rPr>
        <w:t xml:space="preserve"> assess also the application of these important provisions, building on the information provided by the </w:t>
      </w:r>
      <w:r w:rsidRPr="0093333D">
        <w:rPr>
          <w:rFonts w:ascii="Times New Roman" w:hAnsi="Times New Roman"/>
        </w:rPr>
        <w:t xml:space="preserve">Member States Moreover, the European Audiovisual Observatory </w:t>
      </w:r>
      <w:r>
        <w:rPr>
          <w:rFonts w:ascii="Times New Roman" w:hAnsi="Times New Roman"/>
        </w:rPr>
        <w:t xml:space="preserve">is expected to </w:t>
      </w:r>
      <w:r w:rsidRPr="0093333D">
        <w:rPr>
          <w:rFonts w:ascii="Times New Roman" w:hAnsi="Times New Roman"/>
        </w:rPr>
        <w:t xml:space="preserve">issue a short report </w:t>
      </w:r>
      <w:r>
        <w:rPr>
          <w:rFonts w:ascii="Times New Roman" w:hAnsi="Times New Roman"/>
        </w:rPr>
        <w:t>focusing</w:t>
      </w:r>
      <w:r w:rsidRPr="0093333D">
        <w:rPr>
          <w:rFonts w:ascii="Times New Roman" w:hAnsi="Times New Roman"/>
        </w:rPr>
        <w:t xml:space="preserve"> on the application of the AVMSD accessibility rules in the M</w:t>
      </w:r>
      <w:r>
        <w:rPr>
          <w:rFonts w:ascii="Times New Roman" w:hAnsi="Times New Roman"/>
        </w:rPr>
        <w:t xml:space="preserve">ember </w:t>
      </w:r>
      <w:r w:rsidRPr="0093333D">
        <w:rPr>
          <w:rFonts w:ascii="Times New Roman" w:hAnsi="Times New Roman"/>
        </w:rPr>
        <w:t>S</w:t>
      </w:r>
      <w:r>
        <w:rPr>
          <w:rFonts w:ascii="Times New Roman" w:hAnsi="Times New Roman"/>
        </w:rPr>
        <w:t>tates</w:t>
      </w:r>
      <w:r w:rsidRPr="0093333D">
        <w:rPr>
          <w:rFonts w:ascii="Times New Roman" w:hAnsi="Times New Roman"/>
        </w:rPr>
        <w:t xml:space="preserve">. This will allow the Commission to have an overview of the situation across Member States and identify </w:t>
      </w:r>
      <w:r>
        <w:rPr>
          <w:rFonts w:ascii="Times New Roman" w:hAnsi="Times New Roman"/>
        </w:rPr>
        <w:t xml:space="preserve">potential </w:t>
      </w:r>
      <w:r w:rsidRPr="0093333D">
        <w:rPr>
          <w:rFonts w:ascii="Times New Roman" w:hAnsi="Times New Roman"/>
        </w:rPr>
        <w:t>gaps in the implementation of these important provisions</w:t>
      </w:r>
      <w:r>
        <w:rPr>
          <w:rFonts w:ascii="Times New Roman" w:hAnsi="Times New Roman"/>
        </w:rPr>
        <w:t xml:space="preserve"> or possibly advancements based on new technologies, such as artificial intelligence</w:t>
      </w:r>
      <w:r w:rsidRPr="0093333D">
        <w:rPr>
          <w:rFonts w:ascii="Times New Roman" w:hAnsi="Times New Roman"/>
        </w:rPr>
        <w:t xml:space="preserve"> </w:t>
      </w:r>
      <w:r>
        <w:rPr>
          <w:rFonts w:ascii="Times New Roman" w:hAnsi="Times New Roman"/>
        </w:rPr>
        <w:t>(paragraphs 15, 16, 18, 19, 20 and 21).</w:t>
      </w:r>
    </w:p>
    <w:p w14:paraId="4A4CDE86" w14:textId="77777777" w:rsidR="00F17987" w:rsidRDefault="00F17987" w:rsidP="00F17987">
      <w:pPr>
        <w:spacing w:after="120"/>
        <w:rPr>
          <w:rFonts w:ascii="Times New Roman" w:hAnsi="Times New Roman"/>
        </w:rPr>
      </w:pPr>
      <w:r>
        <w:rPr>
          <w:rFonts w:ascii="Times New Roman" w:hAnsi="Times New Roman"/>
        </w:rPr>
        <w:t xml:space="preserve">Concerning </w:t>
      </w:r>
      <w:r w:rsidRPr="002713CA">
        <w:rPr>
          <w:rFonts w:ascii="Times New Roman" w:hAnsi="Times New Roman"/>
          <w:b/>
          <w:bCs/>
        </w:rPr>
        <w:t>major events</w:t>
      </w:r>
      <w:r>
        <w:rPr>
          <w:rFonts w:ascii="Times New Roman" w:hAnsi="Times New Roman"/>
        </w:rPr>
        <w:t>, t</w:t>
      </w:r>
      <w:r w:rsidRPr="00176AA6">
        <w:rPr>
          <w:rFonts w:ascii="Times New Roman" w:hAnsi="Times New Roman"/>
        </w:rPr>
        <w:t xml:space="preserve">he Commission </w:t>
      </w:r>
      <w:r>
        <w:rPr>
          <w:rFonts w:ascii="Times New Roman" w:hAnsi="Times New Roman"/>
        </w:rPr>
        <w:t xml:space="preserve">shares the Parliament’s objective to ensure that the AVMSD rules are respected, so that a broader audience can have access to such events. In this respect, it </w:t>
      </w:r>
      <w:r w:rsidRPr="00176AA6">
        <w:rPr>
          <w:rFonts w:ascii="Times New Roman" w:hAnsi="Times New Roman"/>
        </w:rPr>
        <w:t>will continue assessing notifications by Member States under Article 14 AVMSD</w:t>
      </w:r>
      <w:r>
        <w:rPr>
          <w:rFonts w:ascii="Times New Roman" w:hAnsi="Times New Roman"/>
        </w:rPr>
        <w:t>,</w:t>
      </w:r>
      <w:r w:rsidRPr="00176AA6">
        <w:rPr>
          <w:rFonts w:ascii="Times New Roman" w:hAnsi="Times New Roman"/>
        </w:rPr>
        <w:t xml:space="preserve"> to ensure that broadcasters may acquire television broadcasting rights on an exclusive basis</w:t>
      </w:r>
      <w:r>
        <w:rPr>
          <w:rFonts w:ascii="Times New Roman" w:hAnsi="Times New Roman"/>
        </w:rPr>
        <w:t>,</w:t>
      </w:r>
      <w:r w:rsidRPr="00176AA6">
        <w:rPr>
          <w:rFonts w:ascii="Times New Roman" w:hAnsi="Times New Roman"/>
        </w:rPr>
        <w:t xml:space="preserve"> while protecting at the same time the right to information and ensuring wide access by the public to television coverage of national or non-national events of major importance for society</w:t>
      </w:r>
      <w:r>
        <w:rPr>
          <w:rFonts w:ascii="Times New Roman" w:hAnsi="Times New Roman"/>
        </w:rPr>
        <w:t xml:space="preserve"> (paragraph 37)</w:t>
      </w:r>
      <w:r w:rsidRPr="00176AA6">
        <w:rPr>
          <w:rFonts w:ascii="Times New Roman" w:hAnsi="Times New Roman"/>
        </w:rPr>
        <w:t>.</w:t>
      </w:r>
    </w:p>
    <w:p w14:paraId="02019EDD" w14:textId="77777777" w:rsidR="00F17987" w:rsidRDefault="00F17987" w:rsidP="00F17987">
      <w:pPr>
        <w:spacing w:after="120"/>
        <w:rPr>
          <w:rFonts w:ascii="Times New Roman" w:hAnsi="Times New Roman"/>
        </w:rPr>
      </w:pPr>
      <w:r>
        <w:rPr>
          <w:rFonts w:ascii="Times New Roman" w:hAnsi="Times New Roman"/>
        </w:rPr>
        <w:lastRenderedPageBreak/>
        <w:t>T</w:t>
      </w:r>
      <w:r w:rsidRPr="002713CA">
        <w:rPr>
          <w:rFonts w:ascii="Times New Roman" w:hAnsi="Times New Roman"/>
        </w:rPr>
        <w:t xml:space="preserve">he Commission </w:t>
      </w:r>
      <w:r>
        <w:rPr>
          <w:rFonts w:ascii="Times New Roman" w:hAnsi="Times New Roman"/>
        </w:rPr>
        <w:t xml:space="preserve">stresses that the </w:t>
      </w:r>
      <w:r w:rsidRPr="00F2043D">
        <w:rPr>
          <w:rFonts w:ascii="Times New Roman" w:hAnsi="Times New Roman"/>
          <w:b/>
          <w:bCs/>
        </w:rPr>
        <w:t>Digital Markets Act (DMA)</w:t>
      </w:r>
      <w:r>
        <w:rPr>
          <w:rStyle w:val="FootnoteReference"/>
          <w:rFonts w:ascii="Times New Roman" w:hAnsi="Times New Roman"/>
          <w:b/>
          <w:bCs/>
        </w:rPr>
        <w:footnoteReference w:id="4"/>
      </w:r>
      <w:r>
        <w:rPr>
          <w:rFonts w:ascii="Times New Roman" w:hAnsi="Times New Roman"/>
        </w:rPr>
        <w:t xml:space="preserve"> sets out</w:t>
      </w:r>
      <w:r w:rsidRPr="009A3318">
        <w:rPr>
          <w:rFonts w:ascii="Times New Roman" w:hAnsi="Times New Roman"/>
        </w:rPr>
        <w:t xml:space="preserve"> a number of obligations and prohibitions that should facilitate </w:t>
      </w:r>
      <w:r w:rsidRPr="00F2043D">
        <w:rPr>
          <w:rFonts w:ascii="Times New Roman" w:hAnsi="Times New Roman"/>
          <w:b/>
          <w:bCs/>
        </w:rPr>
        <w:t>access by audiovisual media service providers to data</w:t>
      </w:r>
      <w:r w:rsidRPr="009A3318">
        <w:rPr>
          <w:rFonts w:ascii="Times New Roman" w:hAnsi="Times New Roman"/>
        </w:rPr>
        <w:t xml:space="preserve"> relating to their use of core platform services of designated gatekeepers</w:t>
      </w:r>
      <w:r>
        <w:rPr>
          <w:rFonts w:ascii="Times New Roman" w:hAnsi="Times New Roman"/>
        </w:rPr>
        <w:t xml:space="preserve">. Notably, </w:t>
      </w:r>
      <w:r w:rsidRPr="009A3318">
        <w:rPr>
          <w:rFonts w:ascii="Times New Roman" w:hAnsi="Times New Roman"/>
        </w:rPr>
        <w:t xml:space="preserve">under Article 6(10) of the DMA, the gatekeepers are required to </w:t>
      </w:r>
      <w:r>
        <w:rPr>
          <w:rFonts w:ascii="Times New Roman" w:hAnsi="Times New Roman"/>
        </w:rPr>
        <w:t>grant</w:t>
      </w:r>
      <w:r w:rsidRPr="009A3318">
        <w:rPr>
          <w:rFonts w:ascii="Times New Roman" w:hAnsi="Times New Roman"/>
        </w:rPr>
        <w:t xml:space="preserve"> </w:t>
      </w:r>
      <w:r>
        <w:rPr>
          <w:rFonts w:ascii="Times New Roman" w:hAnsi="Times New Roman"/>
        </w:rPr>
        <w:t xml:space="preserve">those </w:t>
      </w:r>
      <w:r w:rsidRPr="009A3318">
        <w:rPr>
          <w:rFonts w:ascii="Times New Roman" w:hAnsi="Times New Roman"/>
        </w:rPr>
        <w:t>providers and third parties authorised by them, at their request, free of charge, effective, high-quality, continuous and real-time access to aggregated and non-aggregated data, including personal data, that is provided for or generated in the context of the use of the relevant core platform services.</w:t>
      </w:r>
      <w:r>
        <w:rPr>
          <w:rFonts w:ascii="Times New Roman" w:hAnsi="Times New Roman"/>
        </w:rPr>
        <w:t xml:space="preserve"> </w:t>
      </w:r>
      <w:r w:rsidRPr="009A3318">
        <w:rPr>
          <w:rFonts w:ascii="Times New Roman" w:hAnsi="Times New Roman"/>
        </w:rPr>
        <w:t>In addition, under Article 6(8) of the DMA</w:t>
      </w:r>
      <w:r>
        <w:rPr>
          <w:rFonts w:ascii="Times New Roman" w:hAnsi="Times New Roman"/>
        </w:rPr>
        <w:t>,</w:t>
      </w:r>
      <w:r w:rsidRPr="009A3318">
        <w:rPr>
          <w:rFonts w:ascii="Times New Roman" w:hAnsi="Times New Roman"/>
        </w:rPr>
        <w:t xml:space="preserve"> gatekeepers will be required to provide advertisers and publishers, as well as third parties authorised by them, upon their request and free of charge, with access to the performance measuring tools of the gatekeeper and the data necessary for advertisers and publishers to carry out their own independent verification of the advertisements inventory, including aggregated and non-aggregated data. Such data shall be provided in a manner that enables advertisers and publishers to run their own verification and measurement tools to assess the performance of the core platform services provided for by the gatekeepers</w:t>
      </w:r>
      <w:r>
        <w:rPr>
          <w:rFonts w:ascii="Times New Roman" w:hAnsi="Times New Roman"/>
        </w:rPr>
        <w:t xml:space="preserve">. Additionally, pursuant to Article 23 of the proposed </w:t>
      </w:r>
      <w:r w:rsidRPr="00DB441B">
        <w:rPr>
          <w:rFonts w:ascii="Times New Roman" w:hAnsi="Times New Roman"/>
          <w:b/>
          <w:bCs/>
        </w:rPr>
        <w:t>EMFA</w:t>
      </w:r>
      <w:r>
        <w:rPr>
          <w:rFonts w:ascii="Times New Roman" w:hAnsi="Times New Roman"/>
        </w:rPr>
        <w:t xml:space="preserve">, audiovisual media service providers would have access to information on the methodologies </w:t>
      </w:r>
      <w:r w:rsidRPr="00DB441B">
        <w:rPr>
          <w:rFonts w:ascii="Times New Roman" w:hAnsi="Times New Roman"/>
        </w:rPr>
        <w:t xml:space="preserve">used </w:t>
      </w:r>
      <w:r>
        <w:rPr>
          <w:rFonts w:ascii="Times New Roman" w:hAnsi="Times New Roman"/>
        </w:rPr>
        <w:t xml:space="preserve">for the </w:t>
      </w:r>
      <w:r w:rsidRPr="00DB441B">
        <w:rPr>
          <w:rFonts w:ascii="Times New Roman" w:hAnsi="Times New Roman"/>
          <w:b/>
          <w:bCs/>
        </w:rPr>
        <w:t>audience measurement</w:t>
      </w:r>
      <w:r>
        <w:rPr>
          <w:rFonts w:ascii="Times New Roman" w:hAnsi="Times New Roman"/>
        </w:rPr>
        <w:t xml:space="preserve"> of their content (paragraphs 38 and 39)</w:t>
      </w:r>
      <w:r w:rsidRPr="009A3318">
        <w:rPr>
          <w:rFonts w:ascii="Times New Roman" w:hAnsi="Times New Roman"/>
        </w:rPr>
        <w:t>.</w:t>
      </w:r>
    </w:p>
    <w:p w14:paraId="13383225" w14:textId="77777777" w:rsidR="00F17987" w:rsidRDefault="00F17987" w:rsidP="00F17987">
      <w:pPr>
        <w:spacing w:after="120"/>
        <w:rPr>
          <w:rFonts w:ascii="Times New Roman" w:hAnsi="Times New Roman"/>
        </w:rPr>
      </w:pPr>
      <w:r>
        <w:rPr>
          <w:rFonts w:ascii="Times New Roman" w:hAnsi="Times New Roman"/>
        </w:rPr>
        <w:t>The Commission agrees with the Parliament on the need for</w:t>
      </w:r>
      <w:r w:rsidRPr="00F75370">
        <w:rPr>
          <w:rFonts w:ascii="Times New Roman" w:hAnsi="Times New Roman"/>
        </w:rPr>
        <w:t xml:space="preserve"> the Commission to </w:t>
      </w:r>
      <w:r>
        <w:rPr>
          <w:rFonts w:ascii="Times New Roman" w:hAnsi="Times New Roman"/>
        </w:rPr>
        <w:t xml:space="preserve">follow closely the rapid development of </w:t>
      </w:r>
      <w:r w:rsidRPr="00F75370">
        <w:rPr>
          <w:rFonts w:ascii="Times New Roman" w:hAnsi="Times New Roman"/>
        </w:rPr>
        <w:t xml:space="preserve">audiovisual media services produced by </w:t>
      </w:r>
      <w:r w:rsidRPr="00DB441B">
        <w:rPr>
          <w:rFonts w:ascii="Times New Roman" w:hAnsi="Times New Roman"/>
          <w:b/>
          <w:bCs/>
        </w:rPr>
        <w:t>online influencers</w:t>
      </w:r>
      <w:r w:rsidRPr="00F75370">
        <w:rPr>
          <w:rFonts w:ascii="Times New Roman" w:hAnsi="Times New Roman"/>
        </w:rPr>
        <w:t xml:space="preserve">, </w:t>
      </w:r>
      <w:r>
        <w:rPr>
          <w:rFonts w:ascii="Times New Roman" w:hAnsi="Times New Roman"/>
        </w:rPr>
        <w:t xml:space="preserve">and in particular the need to </w:t>
      </w:r>
      <w:r w:rsidRPr="00F75370">
        <w:rPr>
          <w:rFonts w:ascii="Times New Roman" w:hAnsi="Times New Roman"/>
        </w:rPr>
        <w:t xml:space="preserve">identify commercial communications </w:t>
      </w:r>
      <w:r>
        <w:rPr>
          <w:rFonts w:ascii="Times New Roman" w:hAnsi="Times New Roman"/>
        </w:rPr>
        <w:t xml:space="preserve">clearly and to </w:t>
      </w:r>
      <w:r w:rsidRPr="00F75370">
        <w:rPr>
          <w:rFonts w:ascii="Times New Roman" w:hAnsi="Times New Roman"/>
        </w:rPr>
        <w:t>protect minors and consumers</w:t>
      </w:r>
      <w:r>
        <w:rPr>
          <w:rFonts w:ascii="Times New Roman" w:hAnsi="Times New Roman"/>
        </w:rPr>
        <w:t>. In this regard, the Commission recalls that the</w:t>
      </w:r>
      <w:r w:rsidRPr="004D0DBF">
        <w:rPr>
          <w:rFonts w:ascii="Times New Roman" w:hAnsi="Times New Roman"/>
        </w:rPr>
        <w:t xml:space="preserve"> AVMSD rules already </w:t>
      </w:r>
      <w:r>
        <w:rPr>
          <w:rFonts w:ascii="Times New Roman" w:hAnsi="Times New Roman"/>
        </w:rPr>
        <w:t>apply to</w:t>
      </w:r>
      <w:r w:rsidRPr="004D0DBF">
        <w:rPr>
          <w:rFonts w:ascii="Times New Roman" w:hAnsi="Times New Roman"/>
        </w:rPr>
        <w:t xml:space="preserve"> influencers when</w:t>
      </w:r>
      <w:r>
        <w:rPr>
          <w:rFonts w:ascii="Times New Roman" w:hAnsi="Times New Roman"/>
        </w:rPr>
        <w:t xml:space="preserve"> the latter fulfil the AVMSD criteria to be considered as video on-demand </w:t>
      </w:r>
      <w:r w:rsidRPr="004D0DBF">
        <w:rPr>
          <w:rFonts w:ascii="Times New Roman" w:hAnsi="Times New Roman"/>
        </w:rPr>
        <w:t>media service providers</w:t>
      </w:r>
      <w:r>
        <w:rPr>
          <w:rFonts w:ascii="Times New Roman" w:hAnsi="Times New Roman"/>
        </w:rPr>
        <w:t xml:space="preserve">. In that case, the AVMSD provisions concerning in particular audiovisual commercial communication </w:t>
      </w:r>
      <w:r w:rsidRPr="004D0DBF">
        <w:rPr>
          <w:rFonts w:ascii="Times New Roman" w:hAnsi="Times New Roman"/>
        </w:rPr>
        <w:t>provide effective protection of viewers against harmful or excessive commercial communication</w:t>
      </w:r>
      <w:r>
        <w:rPr>
          <w:rFonts w:ascii="Times New Roman" w:hAnsi="Times New Roman"/>
        </w:rPr>
        <w:t>. They also protect minors against harmful content</w:t>
      </w:r>
      <w:r w:rsidRPr="004D0DBF">
        <w:rPr>
          <w:rFonts w:ascii="Times New Roman" w:hAnsi="Times New Roman"/>
        </w:rPr>
        <w:t xml:space="preserve">. </w:t>
      </w:r>
      <w:r>
        <w:rPr>
          <w:rFonts w:ascii="Times New Roman" w:hAnsi="Times New Roman"/>
        </w:rPr>
        <w:t>Additionally, t</w:t>
      </w:r>
      <w:r w:rsidRPr="004D0DBF">
        <w:rPr>
          <w:rFonts w:ascii="Times New Roman" w:hAnsi="Times New Roman"/>
        </w:rPr>
        <w:t>he DSA</w:t>
      </w:r>
      <w:r>
        <w:rPr>
          <w:rStyle w:val="FootnoteReference"/>
          <w:rFonts w:ascii="Times New Roman" w:hAnsi="Times New Roman"/>
        </w:rPr>
        <w:footnoteReference w:id="5"/>
      </w:r>
      <w:r>
        <w:rPr>
          <w:rFonts w:ascii="Times New Roman" w:hAnsi="Times New Roman"/>
        </w:rPr>
        <w:t xml:space="preserve"> </w:t>
      </w:r>
      <w:r w:rsidRPr="004D0DBF">
        <w:rPr>
          <w:rFonts w:ascii="Times New Roman" w:hAnsi="Times New Roman"/>
        </w:rPr>
        <w:t>rules also contain important safeguards in this regard</w:t>
      </w:r>
      <w:r>
        <w:rPr>
          <w:rFonts w:ascii="Times New Roman" w:hAnsi="Times New Roman"/>
        </w:rPr>
        <w:t>, w</w:t>
      </w:r>
      <w:r w:rsidRPr="001349D8">
        <w:rPr>
          <w:rFonts w:ascii="Times New Roman" w:hAnsi="Times New Roman"/>
          <w:szCs w:val="24"/>
          <w:lang w:eastAsia="en-US"/>
        </w:rPr>
        <w:t xml:space="preserve">hile the DSA neither mentions the specific term of “influencers” nor directly regulates their activity, </w:t>
      </w:r>
      <w:r>
        <w:rPr>
          <w:rFonts w:ascii="Times New Roman" w:hAnsi="Times New Roman"/>
          <w:szCs w:val="24"/>
          <w:lang w:eastAsia="en-US"/>
        </w:rPr>
        <w:t xml:space="preserve">it </w:t>
      </w:r>
      <w:r w:rsidRPr="001349D8">
        <w:rPr>
          <w:rFonts w:ascii="Times New Roman" w:hAnsi="Times New Roman"/>
          <w:szCs w:val="24"/>
          <w:lang w:eastAsia="en-US"/>
        </w:rPr>
        <w:t xml:space="preserve">makes it clear </w:t>
      </w:r>
      <w:r>
        <w:rPr>
          <w:rFonts w:ascii="Times New Roman" w:hAnsi="Times New Roman"/>
          <w:szCs w:val="24"/>
          <w:lang w:eastAsia="en-US"/>
        </w:rPr>
        <w:t xml:space="preserve">in </w:t>
      </w:r>
      <w:r w:rsidRPr="001349D8">
        <w:rPr>
          <w:rFonts w:ascii="Times New Roman" w:hAnsi="Times New Roman"/>
          <w:szCs w:val="24"/>
          <w:lang w:eastAsia="en-US"/>
        </w:rPr>
        <w:t>recital 72 that “know your business customer” provisions (Article 30</w:t>
      </w:r>
      <w:r>
        <w:rPr>
          <w:rFonts w:ascii="Times New Roman" w:hAnsi="Times New Roman"/>
          <w:szCs w:val="24"/>
          <w:lang w:eastAsia="en-US"/>
        </w:rPr>
        <w:t xml:space="preserve"> DSA</w:t>
      </w:r>
      <w:r w:rsidRPr="001349D8">
        <w:rPr>
          <w:rFonts w:ascii="Times New Roman" w:hAnsi="Times New Roman"/>
          <w:szCs w:val="24"/>
          <w:lang w:eastAsia="en-US"/>
        </w:rPr>
        <w:t>) applicable to online marketplaces also apply to influencers. Moreover, Article 26(2) DSA includes a tool to facilitate compliance by influencers using a platform in order to provide content with commercial communications, by providing a functionality through which the user can declare if the service contains commercial communications</w:t>
      </w:r>
      <w:r>
        <w:rPr>
          <w:rFonts w:ascii="Times New Roman" w:hAnsi="Times New Roman"/>
          <w:szCs w:val="24"/>
          <w:lang w:eastAsia="en-US"/>
        </w:rPr>
        <w:t>, thus</w:t>
      </w:r>
      <w:r w:rsidRPr="001349D8">
        <w:rPr>
          <w:rFonts w:ascii="Times New Roman" w:hAnsi="Times New Roman"/>
          <w:szCs w:val="24"/>
          <w:lang w:eastAsia="en-US"/>
        </w:rPr>
        <w:t xml:space="preserve"> triggering specific markings in this re</w:t>
      </w:r>
      <w:r>
        <w:rPr>
          <w:rFonts w:ascii="Times New Roman" w:hAnsi="Times New Roman"/>
          <w:szCs w:val="24"/>
          <w:lang w:eastAsia="en-US"/>
        </w:rPr>
        <w:t>spect</w:t>
      </w:r>
      <w:r w:rsidRPr="002B67B5">
        <w:rPr>
          <w:rFonts w:ascii="Times New Roman" w:hAnsi="Times New Roman"/>
        </w:rPr>
        <w:t xml:space="preserve"> </w:t>
      </w:r>
      <w:r>
        <w:rPr>
          <w:rFonts w:ascii="Times New Roman" w:hAnsi="Times New Roman"/>
        </w:rPr>
        <w:t>(paragraph 42).</w:t>
      </w:r>
    </w:p>
    <w:p w14:paraId="6DE86F36" w14:textId="77777777" w:rsidR="00F17987" w:rsidRDefault="00F17987" w:rsidP="00F17987">
      <w:pPr>
        <w:spacing w:after="120"/>
        <w:rPr>
          <w:rFonts w:ascii="Times New Roman" w:hAnsi="Times New Roman"/>
        </w:rPr>
      </w:pPr>
      <w:r>
        <w:rPr>
          <w:rFonts w:ascii="Times New Roman" w:hAnsi="Times New Roman"/>
        </w:rPr>
        <w:t xml:space="preserve">With regard to the </w:t>
      </w:r>
      <w:r w:rsidRPr="00D01B57">
        <w:rPr>
          <w:rFonts w:ascii="Times New Roman" w:hAnsi="Times New Roman"/>
        </w:rPr>
        <w:t>demand that the Commission act</w:t>
      </w:r>
      <w:r>
        <w:rPr>
          <w:rFonts w:ascii="Times New Roman" w:hAnsi="Times New Roman"/>
        </w:rPr>
        <w:t>s</w:t>
      </w:r>
      <w:r w:rsidRPr="00D01B57">
        <w:rPr>
          <w:rFonts w:ascii="Times New Roman" w:hAnsi="Times New Roman"/>
        </w:rPr>
        <w:t xml:space="preserve"> swiftly </w:t>
      </w:r>
      <w:r>
        <w:rPr>
          <w:rFonts w:ascii="Times New Roman" w:hAnsi="Times New Roman"/>
        </w:rPr>
        <w:t xml:space="preserve">in case that </w:t>
      </w:r>
      <w:r w:rsidRPr="00D01B57">
        <w:rPr>
          <w:rFonts w:ascii="Times New Roman" w:hAnsi="Times New Roman"/>
        </w:rPr>
        <w:t xml:space="preserve">any </w:t>
      </w:r>
      <w:r w:rsidRPr="00D01B57">
        <w:rPr>
          <w:rFonts w:ascii="Times New Roman" w:hAnsi="Times New Roman"/>
          <w:b/>
          <w:bCs/>
        </w:rPr>
        <w:t>national regulatory authority or body</w:t>
      </w:r>
      <w:r w:rsidRPr="00D01B57">
        <w:rPr>
          <w:rFonts w:ascii="Times New Roman" w:hAnsi="Times New Roman"/>
        </w:rPr>
        <w:t xml:space="preserve"> exercise</w:t>
      </w:r>
      <w:r>
        <w:rPr>
          <w:rFonts w:ascii="Times New Roman" w:hAnsi="Times New Roman"/>
        </w:rPr>
        <w:t>s</w:t>
      </w:r>
      <w:r w:rsidRPr="00D01B57">
        <w:rPr>
          <w:rFonts w:ascii="Times New Roman" w:hAnsi="Times New Roman"/>
        </w:rPr>
        <w:t xml:space="preserve"> its powers in a manner incompatible with the objectives and</w:t>
      </w:r>
      <w:r w:rsidRPr="00D01B57">
        <w:t xml:space="preserve"> </w:t>
      </w:r>
      <w:r w:rsidRPr="00D01B57">
        <w:rPr>
          <w:rFonts w:ascii="Times New Roman" w:hAnsi="Times New Roman"/>
        </w:rPr>
        <w:t>values of the EU</w:t>
      </w:r>
      <w:r>
        <w:rPr>
          <w:rFonts w:ascii="Times New Roman" w:hAnsi="Times New Roman"/>
        </w:rPr>
        <w:t>, the Commission would not hesitate to use all the tools at its disposal in any such case. The independence of audiovisual national regulators is one of the Commission priorities in the monitoring of the implementation of the revised AVMSD by Member States (paragraph 45).</w:t>
      </w:r>
    </w:p>
    <w:p w14:paraId="08FF5D30" w14:textId="77777777" w:rsidR="00F17987" w:rsidRDefault="00F17987" w:rsidP="00F17987">
      <w:pPr>
        <w:spacing w:after="120"/>
        <w:rPr>
          <w:rFonts w:ascii="Times New Roman" w:hAnsi="Times New Roman"/>
        </w:rPr>
      </w:pPr>
      <w:r>
        <w:rPr>
          <w:rFonts w:ascii="Times New Roman" w:hAnsi="Times New Roman"/>
        </w:rPr>
        <w:t xml:space="preserve">Concerning the publication of the </w:t>
      </w:r>
      <w:r w:rsidRPr="00D01B57">
        <w:rPr>
          <w:rFonts w:ascii="Times New Roman" w:hAnsi="Times New Roman"/>
          <w:b/>
          <w:bCs/>
        </w:rPr>
        <w:t>Commission guidelines</w:t>
      </w:r>
      <w:r w:rsidRPr="00D01B57">
        <w:rPr>
          <w:rFonts w:ascii="Times New Roman" w:hAnsi="Times New Roman"/>
        </w:rPr>
        <w:t xml:space="preserve"> required under Article 33a(3) of the AVMSD on the scope of the Member States’ reports on the implementation of measures for the development of </w:t>
      </w:r>
      <w:r w:rsidRPr="00D01B57">
        <w:rPr>
          <w:rFonts w:ascii="Times New Roman" w:hAnsi="Times New Roman"/>
          <w:b/>
          <w:bCs/>
        </w:rPr>
        <w:t>media literacy</w:t>
      </w:r>
      <w:r w:rsidRPr="00D01B57">
        <w:rPr>
          <w:rFonts w:ascii="Times New Roman" w:hAnsi="Times New Roman"/>
        </w:rPr>
        <w:t xml:space="preserve"> skills</w:t>
      </w:r>
      <w:r>
        <w:rPr>
          <w:rFonts w:ascii="Times New Roman" w:hAnsi="Times New Roman"/>
        </w:rPr>
        <w:t xml:space="preserve">, the Commission points out that those guidelines were </w:t>
      </w:r>
      <w:r>
        <w:rPr>
          <w:rFonts w:ascii="Times New Roman" w:hAnsi="Times New Roman"/>
        </w:rPr>
        <w:lastRenderedPageBreak/>
        <w:t>published in February 2023</w:t>
      </w:r>
      <w:r>
        <w:rPr>
          <w:rStyle w:val="FootnoteReference"/>
          <w:rFonts w:ascii="Times New Roman" w:hAnsi="Times New Roman"/>
        </w:rPr>
        <w:footnoteReference w:id="6"/>
      </w:r>
      <w:r>
        <w:rPr>
          <w:rFonts w:ascii="Times New Roman" w:hAnsi="Times New Roman"/>
        </w:rPr>
        <w:t xml:space="preserve">. </w:t>
      </w:r>
      <w:bookmarkStart w:id="1" w:name="_Hlk137118976"/>
      <w:r>
        <w:rPr>
          <w:rFonts w:ascii="Times New Roman" w:hAnsi="Times New Roman"/>
        </w:rPr>
        <w:t>The Commission has received most reports on media literacy from Member States, required by AVMSD, which are now publicly available</w:t>
      </w:r>
      <w:bookmarkEnd w:id="1"/>
      <w:r>
        <w:rPr>
          <w:rStyle w:val="FootnoteReference"/>
          <w:rFonts w:ascii="Times New Roman" w:hAnsi="Times New Roman"/>
        </w:rPr>
        <w:footnoteReference w:id="7"/>
      </w:r>
      <w:r>
        <w:rPr>
          <w:rFonts w:ascii="Times New Roman" w:hAnsi="Times New Roman"/>
        </w:rPr>
        <w:t xml:space="preserve"> (paragraph 46).</w:t>
      </w:r>
    </w:p>
    <w:sectPr w:rsidR="00F179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08212" w14:textId="77777777" w:rsidR="004E1883" w:rsidRDefault="004E1883" w:rsidP="00520720">
      <w:pPr>
        <w:spacing w:after="0"/>
      </w:pPr>
      <w:r>
        <w:separator/>
      </w:r>
    </w:p>
  </w:endnote>
  <w:endnote w:type="continuationSeparator" w:id="0">
    <w:p w14:paraId="792746D6" w14:textId="77777777" w:rsidR="004E1883" w:rsidRDefault="004E1883" w:rsidP="005207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B0F04" w14:textId="77777777" w:rsidR="004E1883" w:rsidRDefault="004E1883" w:rsidP="00520720">
      <w:pPr>
        <w:spacing w:after="0"/>
      </w:pPr>
      <w:r>
        <w:separator/>
      </w:r>
    </w:p>
  </w:footnote>
  <w:footnote w:type="continuationSeparator" w:id="0">
    <w:p w14:paraId="77E6FC36" w14:textId="77777777" w:rsidR="004E1883" w:rsidRDefault="004E1883" w:rsidP="00520720">
      <w:pPr>
        <w:spacing w:after="0"/>
      </w:pPr>
      <w:r>
        <w:continuationSeparator/>
      </w:r>
    </w:p>
  </w:footnote>
  <w:footnote w:id="1">
    <w:p w14:paraId="47A6A393" w14:textId="77777777" w:rsidR="00F17987" w:rsidRPr="00FA7B83" w:rsidRDefault="00F17987" w:rsidP="00F17987">
      <w:pPr>
        <w:pStyle w:val="FootnoteText"/>
        <w:ind w:left="357" w:hanging="357"/>
        <w:rPr>
          <w:rFonts w:ascii="Times New Roman" w:hAnsi="Times New Roman"/>
        </w:rPr>
      </w:pPr>
      <w:r>
        <w:rPr>
          <w:rStyle w:val="FootnoteReference"/>
        </w:rPr>
        <w:footnoteRef/>
      </w:r>
      <w:r>
        <w:t>.</w:t>
      </w:r>
      <w:r>
        <w:tab/>
      </w:r>
      <w:hyperlink r:id="rId1" w:history="1">
        <w:r w:rsidRPr="00FA7B83">
          <w:rPr>
            <w:rStyle w:val="Hyperlink"/>
            <w:rFonts w:ascii="Times New Roman" w:hAnsi="Times New Roman"/>
          </w:rPr>
          <w:t>Commission reports on the promotion of European works by audiovisual media services | Shaping Europe’s digital future (europa.eu)</w:t>
        </w:r>
      </w:hyperlink>
    </w:p>
    <w:p w14:paraId="5EDE0D86" w14:textId="77777777" w:rsidR="00F17987" w:rsidRPr="00FA7B83" w:rsidRDefault="006B1B08" w:rsidP="00F17987">
      <w:pPr>
        <w:pStyle w:val="FootnoteText"/>
        <w:ind w:left="357"/>
        <w:rPr>
          <w:rFonts w:ascii="Times New Roman" w:hAnsi="Times New Roman"/>
          <w:lang w:val="en-IE"/>
        </w:rPr>
      </w:pPr>
      <w:hyperlink r:id="rId2" w:history="1">
        <w:r w:rsidR="00F17987" w:rsidRPr="00FA7B83">
          <w:rPr>
            <w:rStyle w:val="Hyperlink"/>
            <w:rFonts w:ascii="Times New Roman" w:hAnsi="Times New Roman"/>
          </w:rPr>
          <w:t>Study on the practical implementation of the provisions of the audiovisual media services directive concerning the promotion of European works in audiovisual media services - Publications Office of the EU (europa.eu)</w:t>
        </w:r>
      </w:hyperlink>
    </w:p>
  </w:footnote>
  <w:footnote w:id="2">
    <w:p w14:paraId="07B9C6B1" w14:textId="77777777" w:rsidR="00F17987" w:rsidRPr="00C056A9" w:rsidRDefault="00F17987" w:rsidP="00F17987">
      <w:pPr>
        <w:pStyle w:val="FootnoteText"/>
        <w:ind w:left="357" w:hanging="357"/>
        <w:rPr>
          <w:lang w:val="en-IE"/>
        </w:rPr>
      </w:pPr>
      <w:r w:rsidRPr="00FA7B83">
        <w:rPr>
          <w:rStyle w:val="FootnoteReference"/>
          <w:rFonts w:ascii="Times New Roman" w:hAnsi="Times New Roman"/>
        </w:rPr>
        <w:footnoteRef/>
      </w:r>
      <w:r w:rsidRPr="00FA7B83">
        <w:rPr>
          <w:rFonts w:ascii="Times New Roman" w:hAnsi="Times New Roman"/>
        </w:rPr>
        <w:t>.</w:t>
      </w:r>
      <w:r w:rsidRPr="00FA7B83">
        <w:rPr>
          <w:rFonts w:ascii="Times New Roman" w:hAnsi="Times New Roman"/>
        </w:rPr>
        <w:tab/>
      </w:r>
      <w:hyperlink r:id="rId3" w:history="1">
        <w:r w:rsidRPr="00FA7B83">
          <w:rPr>
            <w:rStyle w:val="Hyperlink"/>
            <w:rFonts w:ascii="Times New Roman" w:hAnsi="Times New Roman"/>
          </w:rPr>
          <w:t>The European Media Industry Outlook | Shaping Europe’s digital future (europa.eu)</w:t>
        </w:r>
      </w:hyperlink>
    </w:p>
  </w:footnote>
  <w:footnote w:id="3">
    <w:p w14:paraId="7D08352F" w14:textId="77777777" w:rsidR="00F17987" w:rsidRPr="007D4C97" w:rsidRDefault="00F17987" w:rsidP="00F17987">
      <w:pPr>
        <w:pStyle w:val="FootnoteText"/>
        <w:ind w:left="357" w:hanging="357"/>
      </w:pPr>
      <w:r>
        <w:rPr>
          <w:rStyle w:val="FootnoteReference"/>
        </w:rPr>
        <w:footnoteRef/>
      </w:r>
      <w:r>
        <w:rPr>
          <w:rFonts w:ascii="Times New Roman" w:hAnsi="Times New Roman"/>
        </w:rPr>
        <w:t xml:space="preserve"> </w:t>
      </w:r>
      <w:r>
        <w:rPr>
          <w:rFonts w:ascii="Times New Roman" w:hAnsi="Times New Roman"/>
        </w:rPr>
        <w:tab/>
      </w:r>
      <w:r w:rsidRPr="0028724C">
        <w:rPr>
          <w:rFonts w:ascii="Times New Roman" w:hAnsi="Times New Roman"/>
        </w:rPr>
        <w:t xml:space="preserve">Proposal for a </w:t>
      </w:r>
      <w:r w:rsidRPr="00A76B51">
        <w:rPr>
          <w:rFonts w:ascii="Times New Roman" w:hAnsi="Times New Roman"/>
        </w:rPr>
        <w:t xml:space="preserve">Regulation </w:t>
      </w:r>
      <w:r>
        <w:rPr>
          <w:rFonts w:ascii="Times New Roman" w:hAnsi="Times New Roman"/>
        </w:rPr>
        <w:t>o</w:t>
      </w:r>
      <w:r w:rsidRPr="00A76B51">
        <w:rPr>
          <w:rFonts w:ascii="Times New Roman" w:hAnsi="Times New Roman"/>
        </w:rPr>
        <w:t xml:space="preserve">f </w:t>
      </w:r>
      <w:r>
        <w:rPr>
          <w:rFonts w:ascii="Times New Roman" w:hAnsi="Times New Roman"/>
        </w:rPr>
        <w:t>t</w:t>
      </w:r>
      <w:r w:rsidRPr="00A76B51">
        <w:rPr>
          <w:rFonts w:ascii="Times New Roman" w:hAnsi="Times New Roman"/>
        </w:rPr>
        <w:t xml:space="preserve">he European Parliament </w:t>
      </w:r>
      <w:r>
        <w:rPr>
          <w:rFonts w:ascii="Times New Roman" w:hAnsi="Times New Roman"/>
        </w:rPr>
        <w:t>a</w:t>
      </w:r>
      <w:r w:rsidRPr="00A76B51">
        <w:rPr>
          <w:rFonts w:ascii="Times New Roman" w:hAnsi="Times New Roman"/>
        </w:rPr>
        <w:t xml:space="preserve">nd </w:t>
      </w:r>
      <w:r>
        <w:rPr>
          <w:rFonts w:ascii="Times New Roman" w:hAnsi="Times New Roman"/>
        </w:rPr>
        <w:t>o</w:t>
      </w:r>
      <w:r w:rsidRPr="00A76B51">
        <w:rPr>
          <w:rFonts w:ascii="Times New Roman" w:hAnsi="Times New Roman"/>
        </w:rPr>
        <w:t xml:space="preserve">f </w:t>
      </w:r>
      <w:r>
        <w:rPr>
          <w:rFonts w:ascii="Times New Roman" w:hAnsi="Times New Roman"/>
        </w:rPr>
        <w:t>th</w:t>
      </w:r>
      <w:r w:rsidRPr="00A76B51">
        <w:rPr>
          <w:rFonts w:ascii="Times New Roman" w:hAnsi="Times New Roman"/>
        </w:rPr>
        <w:t xml:space="preserve">e Council </w:t>
      </w:r>
      <w:r w:rsidRPr="0028724C">
        <w:rPr>
          <w:rFonts w:ascii="Times New Roman" w:hAnsi="Times New Roman"/>
        </w:rPr>
        <w:t>establishing a common framework for media services in the internal market (European Media Freedom Act) and amending Directive 2010/13/EU</w:t>
      </w:r>
    </w:p>
  </w:footnote>
  <w:footnote w:id="4">
    <w:p w14:paraId="3EED57D1" w14:textId="77777777" w:rsidR="00F17987" w:rsidRPr="00FA7B83" w:rsidRDefault="00F17987" w:rsidP="00F17987">
      <w:pPr>
        <w:pStyle w:val="FootnoteText"/>
        <w:ind w:left="357" w:hanging="357"/>
        <w:rPr>
          <w:rFonts w:ascii="Times New Roman" w:hAnsi="Times New Roman"/>
        </w:rPr>
      </w:pPr>
      <w:r>
        <w:rPr>
          <w:rStyle w:val="FootnoteReference"/>
        </w:rPr>
        <w:footnoteRef/>
      </w:r>
      <w:r>
        <w:t xml:space="preserve"> </w:t>
      </w:r>
      <w:r>
        <w:tab/>
      </w:r>
      <w:r w:rsidRPr="00FA7B83">
        <w:rPr>
          <w:rFonts w:ascii="Times New Roman" w:hAnsi="Times New Roman"/>
        </w:rPr>
        <w:t>Regulation (EU) 2022/1925 of the European Parliament and of the Council of 14 September 2022 on contestable and fair markets in the digital sector and amending Directives (EU) 2019/1937 and (EU) 2020/1828 (Digital Markets Act) (</w:t>
      </w:r>
      <w:hyperlink r:id="rId4" w:history="1">
        <w:r w:rsidRPr="00FA7B83">
          <w:rPr>
            <w:rStyle w:val="Hyperlink"/>
            <w:rFonts w:ascii="Times New Roman" w:hAnsi="Times New Roman"/>
          </w:rPr>
          <w:t>OJ L 265, 12.10.2022, p. 1</w:t>
        </w:r>
      </w:hyperlink>
      <w:r w:rsidRPr="00FA7B83">
        <w:rPr>
          <w:rFonts w:ascii="Times New Roman" w:hAnsi="Times New Roman"/>
        </w:rPr>
        <w:t>)</w:t>
      </w:r>
    </w:p>
  </w:footnote>
  <w:footnote w:id="5">
    <w:p w14:paraId="324EBDA0" w14:textId="77777777" w:rsidR="00F17987" w:rsidRPr="00FA7B83" w:rsidRDefault="00F17987" w:rsidP="00F17987">
      <w:pPr>
        <w:pStyle w:val="FootnoteText"/>
        <w:ind w:left="357" w:hanging="357"/>
        <w:rPr>
          <w:rFonts w:ascii="Times New Roman" w:hAnsi="Times New Roman"/>
        </w:rPr>
      </w:pPr>
      <w:r w:rsidRPr="00FA7B83">
        <w:rPr>
          <w:rStyle w:val="FootnoteReference"/>
          <w:rFonts w:ascii="Times New Roman" w:hAnsi="Times New Roman"/>
        </w:rPr>
        <w:footnoteRef/>
      </w:r>
      <w:r w:rsidRPr="00FA7B83">
        <w:rPr>
          <w:rFonts w:ascii="Times New Roman" w:hAnsi="Times New Roman"/>
        </w:rPr>
        <w:t xml:space="preserve"> </w:t>
      </w:r>
      <w:r w:rsidRPr="00FA7B83">
        <w:rPr>
          <w:rFonts w:ascii="Times New Roman" w:hAnsi="Times New Roman"/>
        </w:rPr>
        <w:tab/>
        <w:t>Regulation (EU) 2022/2065 of the European Parliament and of the Council of 19 October 2022 on a Single Market For Digital Services and amending Directive 2000/31/EC (Digital Services Act) (</w:t>
      </w:r>
      <w:hyperlink r:id="rId5" w:history="1">
        <w:r w:rsidRPr="00FA7B83">
          <w:rPr>
            <w:rFonts w:ascii="Times New Roman" w:hAnsi="Times New Roman"/>
          </w:rPr>
          <w:t>OJ L 277, 27.10.2022, p. 1</w:t>
        </w:r>
      </w:hyperlink>
      <w:r w:rsidRPr="00FA7B83">
        <w:rPr>
          <w:rFonts w:ascii="Times New Roman" w:hAnsi="Times New Roman"/>
        </w:rPr>
        <w:t>)</w:t>
      </w:r>
    </w:p>
  </w:footnote>
  <w:footnote w:id="6">
    <w:p w14:paraId="11CD6EA8" w14:textId="77777777" w:rsidR="00F17987" w:rsidRPr="00FA7B83" w:rsidRDefault="00F17987" w:rsidP="00F17987">
      <w:pPr>
        <w:pStyle w:val="FootnoteText"/>
        <w:ind w:left="357" w:hanging="357"/>
        <w:rPr>
          <w:rFonts w:ascii="Times New Roman" w:hAnsi="Times New Roman"/>
          <w:lang w:val="en-IE"/>
        </w:rPr>
      </w:pPr>
      <w:r>
        <w:rPr>
          <w:rStyle w:val="FootnoteReference"/>
        </w:rPr>
        <w:footnoteRef/>
      </w:r>
      <w:r>
        <w:t xml:space="preserve"> </w:t>
      </w:r>
      <w:r>
        <w:tab/>
      </w:r>
      <w:hyperlink r:id="rId6" w:history="1">
        <w:r w:rsidRPr="00FA7B83">
          <w:rPr>
            <w:rStyle w:val="Hyperlink"/>
            <w:rFonts w:ascii="Times New Roman" w:hAnsi="Times New Roman"/>
          </w:rPr>
          <w:t>https://digital-strategy.ec.europa.eu/en/library/media-literacy-guidelines</w:t>
        </w:r>
      </w:hyperlink>
    </w:p>
  </w:footnote>
  <w:footnote w:id="7">
    <w:p w14:paraId="111ADA1B" w14:textId="77777777" w:rsidR="00F17987" w:rsidRPr="00FA7B83" w:rsidRDefault="00F17987" w:rsidP="00F17987">
      <w:pPr>
        <w:pStyle w:val="FootnoteText"/>
        <w:ind w:left="357" w:hanging="357"/>
        <w:rPr>
          <w:rFonts w:ascii="Times New Roman" w:hAnsi="Times New Roman"/>
          <w:lang w:val="en-IE"/>
        </w:rPr>
      </w:pPr>
      <w:r w:rsidRPr="00FA7B83">
        <w:rPr>
          <w:rStyle w:val="FootnoteReference"/>
          <w:rFonts w:ascii="Times New Roman" w:hAnsi="Times New Roman"/>
        </w:rPr>
        <w:footnoteRef/>
      </w:r>
      <w:r w:rsidRPr="00FA7B83">
        <w:rPr>
          <w:rFonts w:ascii="Times New Roman" w:hAnsi="Times New Roman"/>
        </w:rPr>
        <w:t xml:space="preserve"> </w:t>
      </w:r>
      <w:r w:rsidRPr="00FA7B83">
        <w:rPr>
          <w:rFonts w:ascii="Times New Roman" w:hAnsi="Times New Roman"/>
        </w:rPr>
        <w:tab/>
        <w:t>National reports on the application of the Audiovisual Media Services Directive 2020-2022 | Shaping Europe’s digital future (europa.eu)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B6710E8"/>
    <w:multiLevelType w:val="hybridMultilevel"/>
    <w:tmpl w:val="AFA6FB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353985">
    <w:abstractNumId w:val="0"/>
  </w:num>
  <w:num w:numId="2" w16cid:durableId="965358241">
    <w:abstractNumId w:val="2"/>
  </w:num>
  <w:num w:numId="3" w16cid:durableId="317997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0965"/>
    <w:rsid w:val="000465E0"/>
    <w:rsid w:val="000849CD"/>
    <w:rsid w:val="00095240"/>
    <w:rsid w:val="000A783E"/>
    <w:rsid w:val="000C13A9"/>
    <w:rsid w:val="000D06D2"/>
    <w:rsid w:val="000F207C"/>
    <w:rsid w:val="000F7FA0"/>
    <w:rsid w:val="00166D63"/>
    <w:rsid w:val="001765EF"/>
    <w:rsid w:val="00176AA6"/>
    <w:rsid w:val="001953AD"/>
    <w:rsid w:val="00195E57"/>
    <w:rsid w:val="001C7CBB"/>
    <w:rsid w:val="00231B43"/>
    <w:rsid w:val="002713CA"/>
    <w:rsid w:val="002942BC"/>
    <w:rsid w:val="002B67B5"/>
    <w:rsid w:val="002C2F10"/>
    <w:rsid w:val="003025D8"/>
    <w:rsid w:val="00303973"/>
    <w:rsid w:val="00336FC5"/>
    <w:rsid w:val="00342542"/>
    <w:rsid w:val="00376F20"/>
    <w:rsid w:val="003877B4"/>
    <w:rsid w:val="003A6F76"/>
    <w:rsid w:val="003B710A"/>
    <w:rsid w:val="003F56FD"/>
    <w:rsid w:val="00430DE5"/>
    <w:rsid w:val="0046135F"/>
    <w:rsid w:val="004D0DBF"/>
    <w:rsid w:val="004E1883"/>
    <w:rsid w:val="00515DD0"/>
    <w:rsid w:val="00520720"/>
    <w:rsid w:val="00530CAD"/>
    <w:rsid w:val="00561672"/>
    <w:rsid w:val="005804C2"/>
    <w:rsid w:val="005C7B23"/>
    <w:rsid w:val="005F19F6"/>
    <w:rsid w:val="00663F71"/>
    <w:rsid w:val="00675B79"/>
    <w:rsid w:val="00691F60"/>
    <w:rsid w:val="00693D9D"/>
    <w:rsid w:val="006B1B08"/>
    <w:rsid w:val="00735FCC"/>
    <w:rsid w:val="00743534"/>
    <w:rsid w:val="007A5FFB"/>
    <w:rsid w:val="007C3DA1"/>
    <w:rsid w:val="007D4C97"/>
    <w:rsid w:val="007E1152"/>
    <w:rsid w:val="0082591C"/>
    <w:rsid w:val="00893595"/>
    <w:rsid w:val="0089739C"/>
    <w:rsid w:val="008D0965"/>
    <w:rsid w:val="008E2C76"/>
    <w:rsid w:val="008E2DCD"/>
    <w:rsid w:val="008F6AE4"/>
    <w:rsid w:val="00913C70"/>
    <w:rsid w:val="0093333D"/>
    <w:rsid w:val="00941CF8"/>
    <w:rsid w:val="00994A71"/>
    <w:rsid w:val="009A3318"/>
    <w:rsid w:val="009B711C"/>
    <w:rsid w:val="00A011A7"/>
    <w:rsid w:val="00A605AE"/>
    <w:rsid w:val="00A64880"/>
    <w:rsid w:val="00A80975"/>
    <w:rsid w:val="00A932DC"/>
    <w:rsid w:val="00A94EE0"/>
    <w:rsid w:val="00A958B4"/>
    <w:rsid w:val="00B3395D"/>
    <w:rsid w:val="00B47FB9"/>
    <w:rsid w:val="00B871AB"/>
    <w:rsid w:val="00B93639"/>
    <w:rsid w:val="00BD7034"/>
    <w:rsid w:val="00C056A9"/>
    <w:rsid w:val="00C65143"/>
    <w:rsid w:val="00C81653"/>
    <w:rsid w:val="00C93E76"/>
    <w:rsid w:val="00C94057"/>
    <w:rsid w:val="00CB079B"/>
    <w:rsid w:val="00D01B57"/>
    <w:rsid w:val="00D0431A"/>
    <w:rsid w:val="00D300CA"/>
    <w:rsid w:val="00D323AD"/>
    <w:rsid w:val="00D36CC5"/>
    <w:rsid w:val="00D528ED"/>
    <w:rsid w:val="00DB401B"/>
    <w:rsid w:val="00DB441B"/>
    <w:rsid w:val="00E87C81"/>
    <w:rsid w:val="00EA268E"/>
    <w:rsid w:val="00F13DEC"/>
    <w:rsid w:val="00F14F9B"/>
    <w:rsid w:val="00F17987"/>
    <w:rsid w:val="00F2043D"/>
    <w:rsid w:val="00F235CD"/>
    <w:rsid w:val="00F25AEF"/>
    <w:rsid w:val="00F271EC"/>
    <w:rsid w:val="00F46522"/>
    <w:rsid w:val="00F50EF6"/>
    <w:rsid w:val="00F75370"/>
    <w:rsid w:val="00F843C5"/>
    <w:rsid w:val="00F92B53"/>
    <w:rsid w:val="00FA4A86"/>
    <w:rsid w:val="00FF0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B7808"/>
  <w15:chartTrackingRefBased/>
  <w15:docId w15:val="{50242B3E-B38F-4929-A9AF-FD84F40B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720"/>
    <w:pPr>
      <w:spacing w:after="240" w:line="240" w:lineRule="auto"/>
      <w:jc w:val="both"/>
    </w:pPr>
    <w:rPr>
      <w:rFonts w:ascii="Courier New" w:eastAsia="Times New Roman" w:hAnsi="Courier New"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akZnak">
    <w:name w:val="Znak Znak"/>
    <w:basedOn w:val="Normal"/>
    <w:rsid w:val="00CB079B"/>
    <w:pPr>
      <w:spacing w:after="0" w:line="360" w:lineRule="auto"/>
    </w:pPr>
    <w:rPr>
      <w:rFonts w:ascii="Verdana" w:hAnsi="Verdana"/>
      <w:sz w:val="20"/>
      <w:lang w:val="pl-PL" w:eastAsia="pl-PL"/>
    </w:rPr>
  </w:style>
  <w:style w:type="paragraph" w:styleId="ListParagraph">
    <w:name w:val="List Paragraph"/>
    <w:basedOn w:val="Normal"/>
    <w:uiPriority w:val="34"/>
    <w:qFormat/>
    <w:rsid w:val="0093333D"/>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913C70"/>
    <w:rPr>
      <w:sz w:val="16"/>
      <w:szCs w:val="16"/>
    </w:rPr>
  </w:style>
  <w:style w:type="paragraph" w:styleId="CommentText">
    <w:name w:val="annotation text"/>
    <w:basedOn w:val="Normal"/>
    <w:link w:val="CommentTextChar"/>
    <w:uiPriority w:val="99"/>
    <w:semiHidden/>
    <w:unhideWhenUsed/>
    <w:rsid w:val="00913C70"/>
    <w:rPr>
      <w:sz w:val="20"/>
    </w:rPr>
  </w:style>
  <w:style w:type="character" w:customStyle="1" w:styleId="CommentTextChar">
    <w:name w:val="Comment Text Char"/>
    <w:basedOn w:val="DefaultParagraphFont"/>
    <w:link w:val="CommentText"/>
    <w:uiPriority w:val="99"/>
    <w:semiHidden/>
    <w:rsid w:val="00913C70"/>
    <w:rPr>
      <w:rFonts w:ascii="Courier New" w:eastAsia="Times New Roman" w:hAnsi="Courier New"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13C70"/>
    <w:rPr>
      <w:b/>
      <w:bCs/>
    </w:rPr>
  </w:style>
  <w:style w:type="character" w:customStyle="1" w:styleId="CommentSubjectChar">
    <w:name w:val="Comment Subject Char"/>
    <w:basedOn w:val="CommentTextChar"/>
    <w:link w:val="CommentSubject"/>
    <w:uiPriority w:val="99"/>
    <w:semiHidden/>
    <w:rsid w:val="00913C70"/>
    <w:rPr>
      <w:rFonts w:ascii="Courier New" w:eastAsia="Times New Roman" w:hAnsi="Courier New" w:cs="Times New Roman"/>
      <w:b/>
      <w:bCs/>
      <w:sz w:val="20"/>
      <w:szCs w:val="20"/>
      <w:lang w:val="en-GB" w:eastAsia="en-GB"/>
    </w:rPr>
  </w:style>
  <w:style w:type="paragraph" w:styleId="Revision">
    <w:name w:val="Revision"/>
    <w:hidden/>
    <w:uiPriority w:val="99"/>
    <w:semiHidden/>
    <w:rsid w:val="00B93639"/>
    <w:pPr>
      <w:spacing w:after="0" w:line="240" w:lineRule="auto"/>
    </w:pPr>
    <w:rPr>
      <w:rFonts w:ascii="Courier New" w:eastAsia="Times New Roman" w:hAnsi="Courier New" w:cs="Times New Roman"/>
      <w:sz w:val="24"/>
      <w:szCs w:val="20"/>
      <w:lang w:val="en-GB" w:eastAsia="en-GB"/>
    </w:rPr>
  </w:style>
  <w:style w:type="paragraph" w:styleId="NormalWeb">
    <w:name w:val="Normal (Web)"/>
    <w:basedOn w:val="Normal"/>
    <w:uiPriority w:val="99"/>
    <w:semiHidden/>
    <w:unhideWhenUsed/>
    <w:rsid w:val="00675B79"/>
    <w:pPr>
      <w:spacing w:before="100" w:beforeAutospacing="1" w:after="100" w:afterAutospacing="1"/>
      <w:jc w:val="left"/>
    </w:pPr>
    <w:rPr>
      <w:rFonts w:ascii="Times New Roman" w:hAnsi="Times New Roman"/>
      <w:szCs w:val="24"/>
      <w:lang w:val="en-IE" w:eastAsia="en-IE"/>
    </w:rPr>
  </w:style>
  <w:style w:type="paragraph" w:styleId="BalloonText">
    <w:name w:val="Balloon Text"/>
    <w:basedOn w:val="Normal"/>
    <w:link w:val="BalloonTextChar"/>
    <w:uiPriority w:val="99"/>
    <w:semiHidden/>
    <w:unhideWhenUsed/>
    <w:rsid w:val="008E2C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76"/>
    <w:rPr>
      <w:rFonts w:ascii="Segoe UI" w:eastAsia="Times New Roman" w:hAnsi="Segoe UI" w:cs="Segoe UI"/>
      <w:sz w:val="18"/>
      <w:szCs w:val="18"/>
      <w:lang w:val="en-GB" w:eastAsia="en-GB"/>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single space,fn"/>
    <w:basedOn w:val="Normal"/>
    <w:link w:val="FootnoteTextChar"/>
    <w:uiPriority w:val="99"/>
    <w:unhideWhenUsed/>
    <w:qFormat/>
    <w:rsid w:val="00941CF8"/>
    <w:pPr>
      <w:spacing w:after="0"/>
    </w:pPr>
    <w:rPr>
      <w:sz w:val="20"/>
    </w:rPr>
  </w:style>
  <w:style w:type="character" w:customStyle="1" w:styleId="FootnoteTextChar">
    <w:name w:val="Footnote Text Char"/>
    <w:aliases w:val="Footnote Text Char1 Char Char1,Footnote Text Char Char Char Char1,Fußnotentext Char Char1 Char Char Char1,Fußnotentext Char1 Char1 Char Char Char Char1,Fußnotentext Char Char Char Char Char Char Char1 Char1,Footnote Text Char1 Char2"/>
    <w:basedOn w:val="DefaultParagraphFont"/>
    <w:link w:val="FootnoteText"/>
    <w:uiPriority w:val="99"/>
    <w:semiHidden/>
    <w:rsid w:val="00941CF8"/>
    <w:rPr>
      <w:rFonts w:ascii="Courier New" w:eastAsia="Times New Roman" w:hAnsi="Courier New" w:cs="Times New Roman"/>
      <w:sz w:val="20"/>
      <w:szCs w:val="20"/>
      <w:lang w:val="en-GB"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basedOn w:val="DefaultParagraphFont"/>
    <w:link w:val="ftrefCharCharCharCharCharCharCharCharChar"/>
    <w:uiPriority w:val="99"/>
    <w:unhideWhenUsed/>
    <w:qFormat/>
    <w:rsid w:val="00941CF8"/>
    <w:rPr>
      <w:vertAlign w:val="superscript"/>
    </w:rPr>
  </w:style>
  <w:style w:type="character" w:styleId="Hyperlink">
    <w:name w:val="Hyperlink"/>
    <w:basedOn w:val="DefaultParagraphFont"/>
    <w:uiPriority w:val="99"/>
    <w:unhideWhenUsed/>
    <w:rsid w:val="00B3395D"/>
    <w:rPr>
      <w:color w:val="0563C1" w:themeColor="hyperlink"/>
      <w:u w:val="single"/>
    </w:rPr>
  </w:style>
  <w:style w:type="character" w:styleId="FollowedHyperlink">
    <w:name w:val="FollowedHyperlink"/>
    <w:basedOn w:val="DefaultParagraphFont"/>
    <w:uiPriority w:val="99"/>
    <w:semiHidden/>
    <w:unhideWhenUsed/>
    <w:rsid w:val="009B711C"/>
    <w:rPr>
      <w:color w:val="954F72" w:themeColor="followedHyperlink"/>
      <w:u w:val="single"/>
    </w:rPr>
  </w:style>
  <w:style w:type="character" w:styleId="UnresolvedMention">
    <w:name w:val="Unresolved Mention"/>
    <w:basedOn w:val="DefaultParagraphFont"/>
    <w:uiPriority w:val="99"/>
    <w:semiHidden/>
    <w:unhideWhenUsed/>
    <w:rsid w:val="00303973"/>
    <w:rPr>
      <w:color w:val="605E5C"/>
      <w:shd w:val="clear" w:color="auto" w:fill="E1DFDD"/>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qFormat/>
    <w:rsid w:val="00F17987"/>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F17987"/>
    <w:pPr>
      <w:spacing w:after="160" w:line="240" w:lineRule="exact"/>
      <w:jc w:val="left"/>
    </w:pPr>
    <w:rPr>
      <w:rFonts w:asciiTheme="minorHAnsi" w:eastAsiaTheme="minorHAnsi" w:hAnsiTheme="minorHAnsi" w:cstheme="minorBidi"/>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79544">
      <w:bodyDiv w:val="1"/>
      <w:marLeft w:val="0"/>
      <w:marRight w:val="0"/>
      <w:marTop w:val="0"/>
      <w:marBottom w:val="0"/>
      <w:divBdr>
        <w:top w:val="none" w:sz="0" w:space="0" w:color="auto"/>
        <w:left w:val="none" w:sz="0" w:space="0" w:color="auto"/>
        <w:bottom w:val="none" w:sz="0" w:space="0" w:color="auto"/>
        <w:right w:val="none" w:sz="0" w:space="0" w:color="auto"/>
      </w:divBdr>
    </w:div>
    <w:div w:id="170945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en/library/european-media-industry-outlook" TargetMode="External"/><Relationship Id="rId2" Type="http://schemas.openxmlformats.org/officeDocument/2006/relationships/hyperlink" Target="https://op.europa.eu/en/publication-detail/-/publication/41f4a695-f465-11ed-a05c-01aa75ed71a1/language-en" TargetMode="External"/><Relationship Id="rId1" Type="http://schemas.openxmlformats.org/officeDocument/2006/relationships/hyperlink" Target="https://digital-strategy.ec.europa.eu/en/library/commission-reports-promotion-european-works-audiovisual-media-services?pk_source=ec_newsroom&amp;pk_medium=email&amp;pk_campaign=Shaping%20Europe%E2%80%99s%20Digital%20Future" TargetMode="External"/><Relationship Id="rId6" Type="http://schemas.openxmlformats.org/officeDocument/2006/relationships/hyperlink" Target="https://digital-strategy.ec.europa.eu/en/library/media-literacy-guidelines" TargetMode="External"/><Relationship Id="rId5" Type="http://schemas.openxmlformats.org/officeDocument/2006/relationships/hyperlink" Target="http://data.europa.eu/eli/reg/2022/2065/oj" TargetMode="External"/><Relationship Id="rId4" Type="http://schemas.openxmlformats.org/officeDocument/2006/relationships/hyperlink" Target="http://data.europa.eu/eli/reg/2022/1925/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79C6C-AA8B-4413-AA41-4271D3CA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2159</Words>
  <Characters>12096</Characters>
  <Application>Microsoft Office Word</Application>
  <DocSecurity>0</DocSecurity>
  <Lines>158</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GAIU Andrei (CNECT)</dc:creator>
  <cp:keywords/>
  <dc:description/>
  <cp:lastModifiedBy>DELBAER Gerda (SG)</cp:lastModifiedBy>
  <cp:revision>2</cp:revision>
  <dcterms:created xsi:type="dcterms:W3CDTF">2023-08-02T12:21:00Z</dcterms:created>
  <dcterms:modified xsi:type="dcterms:W3CDTF">2023-08-02T12:21:00Z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2023-05-30T07:31:59Z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0ef5d91b-d315-4752-86e7-6bb4e36efabb</vt:lpwstr>
  </property>
  <property fmtid="{D5CDD505-2E9C-101B-9397-08002B2CF9AE}" pid="8" name="MSIP_Label_6bd9ddd1-4d20-43f6-abfa-fc3c07406f94_ContentBits">
    <vt:lpwstr>0</vt:lpwstr>
  </property>
</Properties>
</file>