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09229" w14:textId="77777777" w:rsidR="00F17987" w:rsidRDefault="00F17987" w:rsidP="00F17987">
      <w:pPr>
        <w:spacing w:after="0"/>
        <w:jc w:val="center"/>
        <w:rPr>
          <w:rFonts w:ascii="Times New Roman" w:hAnsi="Times New Roman"/>
          <w:b/>
        </w:rPr>
      </w:pPr>
      <w:bookmarkStart w:id="0" w:name="RoL"/>
      <w:r>
        <w:rPr>
          <w:rFonts w:ascii="Times New Roman" w:hAnsi="Times New Roman"/>
          <w:b/>
        </w:rPr>
        <w:t xml:space="preserve">Suite donnée à la résolution non législative du Parlement européen sur </w:t>
      </w:r>
    </w:p>
    <w:p w14:paraId="7013F374" w14:textId="77777777" w:rsidR="00F17987" w:rsidRDefault="00F17987" w:rsidP="00F17987">
      <w:pPr>
        <w:spacing w:after="600"/>
        <w:jc w:val="center"/>
        <w:rPr>
          <w:rFonts w:ascii="Times New Roman" w:hAnsi="Times New Roman"/>
          <w:b/>
        </w:rPr>
      </w:pPr>
      <w:r>
        <w:rPr>
          <w:rFonts w:ascii="Times New Roman" w:hAnsi="Times New Roman"/>
          <w:b/>
        </w:rPr>
        <w:t>la mise en œuvre de la directive «Services de médias audiovisuels»</w:t>
      </w:r>
    </w:p>
    <w:bookmarkEnd w:id="0"/>
    <w:p w14:paraId="486F8AB2" w14:textId="77777777" w:rsidR="00F17987" w:rsidRPr="000F7FA0" w:rsidRDefault="00F17987" w:rsidP="00F17987">
      <w:pPr>
        <w:numPr>
          <w:ilvl w:val="0"/>
          <w:numId w:val="1"/>
        </w:numPr>
        <w:ind w:left="567" w:hanging="567"/>
        <w:rPr>
          <w:rFonts w:ascii="Times New Roman" w:hAnsi="Times New Roman"/>
          <w:b/>
          <w:szCs w:val="24"/>
        </w:rPr>
      </w:pPr>
      <w:r>
        <w:rPr>
          <w:rFonts w:ascii="Times New Roman" w:hAnsi="Times New Roman"/>
          <w:b/>
        </w:rPr>
        <w:t xml:space="preserve">Rapporteure: </w:t>
      </w:r>
      <w:r>
        <w:rPr>
          <w:rFonts w:ascii="Times New Roman" w:hAnsi="Times New Roman"/>
          <w:color w:val="1E1E1F"/>
          <w:shd w:val="clear" w:color="auto" w:fill="FFFFFF"/>
        </w:rPr>
        <w:t>P</w:t>
      </w:r>
      <w:r>
        <w:rPr>
          <w:rFonts w:ascii="Times New Roman" w:hAnsi="Times New Roman"/>
        </w:rPr>
        <w:t>etra KAMMEREVERT (S&amp;D / DE)</w:t>
      </w:r>
    </w:p>
    <w:p w14:paraId="7A28BBAE" w14:textId="77777777" w:rsidR="00F17987" w:rsidRDefault="00F17987" w:rsidP="00F17987">
      <w:pPr>
        <w:numPr>
          <w:ilvl w:val="0"/>
          <w:numId w:val="1"/>
        </w:numPr>
        <w:ind w:left="567" w:hanging="567"/>
        <w:rPr>
          <w:rFonts w:ascii="Times New Roman" w:hAnsi="Times New Roman"/>
          <w:i/>
          <w:szCs w:val="24"/>
        </w:rPr>
      </w:pPr>
      <w:r>
        <w:rPr>
          <w:rFonts w:ascii="Times New Roman" w:hAnsi="Times New Roman"/>
          <w:b/>
        </w:rPr>
        <w:t>Numéros de référence:</w:t>
      </w:r>
      <w:r>
        <w:rPr>
          <w:rFonts w:ascii="Times New Roman" w:hAnsi="Times New Roman"/>
          <w:i/>
        </w:rPr>
        <w:t xml:space="preserve"> </w:t>
      </w:r>
      <w:r>
        <w:rPr>
          <w:rFonts w:ascii="Times New Roman" w:hAnsi="Times New Roman"/>
        </w:rPr>
        <w:t>2022/2038 (INI) / A9-0139/2023 / P9_TA(2023)0134</w:t>
      </w:r>
    </w:p>
    <w:p w14:paraId="07B50D6E" w14:textId="77777777" w:rsidR="00F17987" w:rsidRDefault="00F17987" w:rsidP="00F17987">
      <w:pPr>
        <w:numPr>
          <w:ilvl w:val="0"/>
          <w:numId w:val="1"/>
        </w:numPr>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9 mai 2023</w:t>
      </w:r>
    </w:p>
    <w:p w14:paraId="47D0FB52" w14:textId="77777777" w:rsidR="00F17987" w:rsidRPr="00520720" w:rsidRDefault="00F17987" w:rsidP="00F17987">
      <w:pPr>
        <w:widowControl w:val="0"/>
        <w:numPr>
          <w:ilvl w:val="0"/>
          <w:numId w:val="1"/>
        </w:numPr>
        <w:ind w:left="567" w:hanging="567"/>
        <w:rPr>
          <w:rFonts w:ascii="Times New Roman" w:hAnsi="Times New Roman"/>
          <w:szCs w:val="24"/>
        </w:rPr>
      </w:pPr>
      <w:r>
        <w:rPr>
          <w:rFonts w:ascii="Times New Roman" w:hAnsi="Times New Roman"/>
          <w:b/>
        </w:rPr>
        <w:t>Commission parlementaire compétente</w:t>
      </w:r>
      <w:r>
        <w:rPr>
          <w:b/>
        </w:rPr>
        <w:t>:</w:t>
      </w:r>
      <w:r>
        <w:t xml:space="preserve"> </w:t>
      </w:r>
      <w:r>
        <w:rPr>
          <w:rFonts w:ascii="Times New Roman" w:hAnsi="Times New Roman"/>
        </w:rPr>
        <w:t>commission de la culture et de l’éducation (CULT)</w:t>
      </w:r>
    </w:p>
    <w:p w14:paraId="374641C5" w14:textId="77777777" w:rsidR="00F17987" w:rsidRPr="003A6F76" w:rsidRDefault="00F17987" w:rsidP="00F17987">
      <w:pPr>
        <w:widowControl w:val="0"/>
        <w:numPr>
          <w:ilvl w:val="0"/>
          <w:numId w:val="1"/>
        </w:numPr>
        <w:ind w:left="567" w:hanging="567"/>
        <w:rPr>
          <w:rFonts w:ascii="Times New Roman" w:hAnsi="Times New Roman"/>
          <w:szCs w:val="24"/>
        </w:rPr>
      </w:pPr>
      <w:r>
        <w:rPr>
          <w:rFonts w:ascii="Times New Roman" w:hAnsi="Times New Roman"/>
          <w:b/>
        </w:rPr>
        <w:t>Analyse/évaluation succincte de la résolution et des demandes qu’elle contient:</w:t>
      </w:r>
      <w:r>
        <w:rPr>
          <w:rFonts w:ascii="Times New Roman" w:hAnsi="Times New Roman"/>
        </w:rPr>
        <w:t xml:space="preserve"> </w:t>
      </w:r>
    </w:p>
    <w:p w14:paraId="1D55F943" w14:textId="77777777" w:rsidR="00F17987" w:rsidRPr="005C7B23" w:rsidRDefault="00F17987" w:rsidP="00F17987">
      <w:pPr>
        <w:widowControl w:val="0"/>
        <w:rPr>
          <w:rFonts w:ascii="Times New Roman" w:hAnsi="Times New Roman"/>
          <w:bCs/>
          <w:szCs w:val="24"/>
        </w:rPr>
      </w:pPr>
      <w:r>
        <w:rPr>
          <w:rFonts w:ascii="Times New Roman" w:hAnsi="Times New Roman"/>
        </w:rPr>
        <w:t>La présente résolution se fonde sur un rapport d’initiative élaboré par la commission de la culture et de l’éducation. La mise en œuvre de la directive «Services de médias audiovisuels» (ci-après la «directive SMA») depuis sa révision de 2018 y est examinée. Certaines modifications futures sont préconisées, et quelques conclusions définitives sont présentées. Il y est souligné qu’en raison de sa transposition tardive par les États membres, il n’est pas possible de procéder à une évaluation à grande échelle. La résolution rappelle le rôle essentiel joué par la directive SMA dans la structuration de l’écosystème audiovisuel européen. Des critiques sont formulées quant aux retards importants des États membres dans la transposition de la directive SMA et à la réaction tardive de la Commission pour engager des procédures d’infraction et publier des lignes directrices. Le Parlement rappelle que la Commission est tenue de présenter un rapport général sur l’application de la directive SMA et des rapports sur l’application des dispositions relatives à la promotion des œuvres européennes. Le Parlement convient que la définition des œuvres européennes est une notion ouverte et large. Il demande à la Commission d’évaluer cette dernière en se fondant exclusivement sur les résultats scientifiques obtenus et plaide pour que soit procédé à une évaluation des types de programmes inclus par les services audiovisuels à la demande dans leur quota d’œuvres européennes. Il invite la Commission à prendre des mesures pour prévenir tout abus dans l’application de l’article 2, paragraphe 4, et à revoir les procédures prévues aux articles 3 et 4 afin de garantir leur efficacité et de renforcer le principe du pays d’origine. En ce qui concerne la nouvelle disposition de la directive SMA relative à l’accessibilité, le Parlement reconnaît les divergences en matière de mise en œuvre entre les différents États membres et l’importance des mesures, et invite la Commission à réaliser une étude sur l’accessibilité des médias dans les États membres et à promouvoir des objectifs communs. Il reconnaît l’importance de nouvelles dispositions concernant la mise en avant des services de médias audiovisuels d’intérêt général (article 7 </w:t>
      </w:r>
      <w:r>
        <w:rPr>
          <w:rFonts w:ascii="Times New Roman" w:hAnsi="Times New Roman"/>
          <w:i/>
          <w:iCs/>
        </w:rPr>
        <w:t>bis</w:t>
      </w:r>
      <w:r>
        <w:rPr>
          <w:rFonts w:ascii="Times New Roman" w:hAnsi="Times New Roman"/>
        </w:rPr>
        <w:t>) et la protection de l’intégrité des services de médias audiovisuels (article 7 </w:t>
      </w:r>
      <w:r>
        <w:rPr>
          <w:rFonts w:ascii="Times New Roman" w:hAnsi="Times New Roman"/>
          <w:i/>
          <w:iCs/>
        </w:rPr>
        <w:t>ter</w:t>
      </w:r>
      <w:r>
        <w:rPr>
          <w:rFonts w:ascii="Times New Roman" w:hAnsi="Times New Roman"/>
        </w:rPr>
        <w:t xml:space="preserve">). En ce qui concerne la retransmission d'événements d’importance majeure, le Parlement invite la Commission à suivre de près la mise en œuvre des règles en la matière afin de veiller à ce que ces événements restent accessibles à un large public. Le Parlement se félicite des règles de la législation sur les marchés numériques qui imposent aux contrôleurs d’accès de partager certaines des données, mais estime que ces mesures pourraient ne pas suffire; il invite dès lors la Commission à veiller à ce que les fournisseurs de services de médias audiovisuels soient en mesure d’accéder à toutes les données relatives à l’utilisation de leurs services. Le Parlement invite la Commission à examiner de plus près l’offre, en pleine expansion, de services de médias </w:t>
      </w:r>
      <w:r>
        <w:rPr>
          <w:rFonts w:ascii="Times New Roman" w:hAnsi="Times New Roman"/>
        </w:rPr>
        <w:lastRenderedPageBreak/>
        <w:t>audiovisuels créés par les influenceurs en ligne. Il demande à la Commission d’agir rapidement face à toute autorité nationale de réglementation qui exerce ses pouvoirs d’une manière incompatible avec les objectifs et les valeurs de l’Union. Enfin, il invite instamment la Commission à publier en temps utile les lignes directrices relatives à l’éducation aux médias.</w:t>
      </w:r>
    </w:p>
    <w:p w14:paraId="064838E3" w14:textId="77777777" w:rsidR="00F17987" w:rsidRPr="008E2DCD" w:rsidRDefault="00F17987" w:rsidP="00F17987">
      <w:pPr>
        <w:keepNext/>
        <w:keepLines/>
        <w:widowControl w:val="0"/>
        <w:numPr>
          <w:ilvl w:val="0"/>
          <w:numId w:val="1"/>
        </w:numPr>
        <w:ind w:left="567" w:hanging="567"/>
        <w:rPr>
          <w:rFonts w:ascii="Times New Roman" w:hAnsi="Times New Roman"/>
          <w:b/>
          <w:i/>
          <w:szCs w:val="24"/>
        </w:rPr>
      </w:pPr>
      <w:r>
        <w:rPr>
          <w:rFonts w:ascii="Times New Roman" w:hAnsi="Times New Roman"/>
          <w:b/>
        </w:rPr>
        <w:t>Réponse à ces demandes et aperçu des mesures que la Commission a prises ou envisage de prendre:</w:t>
      </w:r>
    </w:p>
    <w:p w14:paraId="1BBB2320" w14:textId="77777777" w:rsidR="00F17987" w:rsidRDefault="00F17987" w:rsidP="00F17987">
      <w:pPr>
        <w:keepNext/>
        <w:keepLines/>
        <w:spacing w:after="120"/>
        <w:rPr>
          <w:rFonts w:ascii="Times New Roman" w:hAnsi="Times New Roman"/>
        </w:rPr>
      </w:pPr>
      <w:r>
        <w:rPr>
          <w:rFonts w:ascii="Times New Roman" w:hAnsi="Times New Roman"/>
        </w:rPr>
        <w:t>La Commission salue la résolution du Parlement et partage pleinement le point de vue selon lequel la directive «Services de médias audiovisuels» (directive SMA) joue un rôle essentiel dans la structuration de l’écosystème audiovisuel européen, guidée par les principes de protection de la diversité culturelle et linguistique et du pluralisme des opinions. La Commission a examiné la résolution attentivement. Celle-ci donne un très bon aperçu de la situation actuelle et met en évidence certains des défis auxquels le secteur est confronté.</w:t>
      </w:r>
    </w:p>
    <w:p w14:paraId="753F411D" w14:textId="77777777" w:rsidR="00F17987" w:rsidRDefault="00F17987" w:rsidP="00F17987">
      <w:pPr>
        <w:spacing w:after="120"/>
        <w:rPr>
          <w:rFonts w:ascii="Times New Roman" w:hAnsi="Times New Roman"/>
        </w:rPr>
      </w:pPr>
      <w:r>
        <w:rPr>
          <w:rFonts w:ascii="Times New Roman" w:hAnsi="Times New Roman"/>
        </w:rPr>
        <w:t xml:space="preserve">La Commission se félicite du soutien apporté par le Parlement aux mesures qu’elle a prises pour garantir une mise en œuvre rapide et adéquate de la directive révisée. La </w:t>
      </w:r>
      <w:r>
        <w:rPr>
          <w:rFonts w:ascii="Times New Roman" w:hAnsi="Times New Roman"/>
          <w:b/>
        </w:rPr>
        <w:t>mise en œuvre de la directive SMA</w:t>
      </w:r>
      <w:r>
        <w:rPr>
          <w:rFonts w:ascii="Times New Roman" w:hAnsi="Times New Roman"/>
        </w:rPr>
        <w:t xml:space="preserve"> a été et demeure une priorité pour la Commission, laquelle a pris des mesures rapides et énergiques pour garantir sa </w:t>
      </w:r>
      <w:r>
        <w:rPr>
          <w:rFonts w:ascii="Times New Roman" w:hAnsi="Times New Roman"/>
          <w:b/>
        </w:rPr>
        <w:t>transposition par les États membres</w:t>
      </w:r>
      <w:r>
        <w:rPr>
          <w:rFonts w:ascii="Times New Roman" w:hAnsi="Times New Roman"/>
        </w:rPr>
        <w:t xml:space="preserve">, dès l’expiration du délai fixé pour cette dernière, en engageant des </w:t>
      </w:r>
      <w:r>
        <w:rPr>
          <w:rFonts w:ascii="Times New Roman" w:hAnsi="Times New Roman"/>
          <w:b/>
        </w:rPr>
        <w:t>procédures d’infraction</w:t>
      </w:r>
      <w:r>
        <w:rPr>
          <w:rFonts w:ascii="Times New Roman" w:hAnsi="Times New Roman"/>
        </w:rPr>
        <w:t>. La Commission a pris des mesures énergiques qui ont finalement conduit à la saisine de la Cour de justice concernant cinq États membres, en mai 2022. Depuis lors, quatre États membres ont notifié la transposition complète de la directive, et un État a notifié une transposition partielle (paragraphe 1).</w:t>
      </w:r>
    </w:p>
    <w:p w14:paraId="16B1E21C" w14:textId="77777777" w:rsidR="00F17987" w:rsidRPr="00A64880" w:rsidRDefault="00F17987" w:rsidP="00F17987">
      <w:pPr>
        <w:spacing w:after="120"/>
        <w:rPr>
          <w:rFonts w:ascii="Times New Roman" w:hAnsi="Times New Roman"/>
        </w:rPr>
      </w:pPr>
      <w:r>
        <w:rPr>
          <w:rFonts w:ascii="Times New Roman" w:hAnsi="Times New Roman"/>
        </w:rPr>
        <w:t xml:space="preserve">Le </w:t>
      </w:r>
      <w:r>
        <w:rPr>
          <w:rFonts w:ascii="Times New Roman" w:hAnsi="Times New Roman"/>
          <w:b/>
        </w:rPr>
        <w:t>rapport</w:t>
      </w:r>
      <w:r>
        <w:rPr>
          <w:rFonts w:ascii="Times New Roman" w:hAnsi="Times New Roman"/>
        </w:rPr>
        <w:t xml:space="preserve"> de la Commission </w:t>
      </w:r>
      <w:r>
        <w:rPr>
          <w:rFonts w:ascii="Times New Roman" w:hAnsi="Times New Roman"/>
          <w:b/>
        </w:rPr>
        <w:t>sur les dispositions de la directive SMA relatives à la promotion des œuvres européennes</w:t>
      </w:r>
      <w:r>
        <w:rPr>
          <w:rFonts w:ascii="Times New Roman" w:hAnsi="Times New Roman"/>
        </w:rPr>
        <w:t xml:space="preserve"> pour la période 2015-2019 a été publié en mai 2023, en même temps que l’étude indépendante qui l’accompagne</w:t>
      </w:r>
      <w:r>
        <w:rPr>
          <w:rStyle w:val="FootnoteReference"/>
          <w:rFonts w:ascii="Times New Roman" w:hAnsi="Times New Roman"/>
        </w:rPr>
        <w:footnoteReference w:id="1"/>
      </w:r>
      <w:r>
        <w:rPr>
          <w:rFonts w:ascii="Times New Roman" w:hAnsi="Times New Roman"/>
        </w:rPr>
        <w:t xml:space="preserve">. La Commission prépare actuellement le rapport pour la période 2020-2021, sur la base d’une étude indépendante et des informations fournies par les États membres, et prévoit de le publier à l’automne 2023. Le </w:t>
      </w:r>
      <w:r>
        <w:rPr>
          <w:rFonts w:ascii="Times New Roman" w:hAnsi="Times New Roman"/>
          <w:b/>
        </w:rPr>
        <w:t>rapport général sur l’application de la directive SMA</w:t>
      </w:r>
      <w:r>
        <w:rPr>
          <w:rFonts w:ascii="Times New Roman" w:hAnsi="Times New Roman"/>
        </w:rPr>
        <w:t xml:space="preserve"> est en préparation et devrait également être publié à l’automne 2023 (paragraphe 3). Concernant le calendrier du rapport, il a fallu tenir compte du retard important pris par les États membres pour la transposition de la directive SMA. Le rapport consistera, entre autres, à évaluer la mise en œuvre des nouvelles règles relatives à l’accessibilité des services de médias audiovisuels (article 7), à la mise en avant des services (article 7 </w:t>
      </w:r>
      <w:r>
        <w:rPr>
          <w:rFonts w:ascii="Times New Roman" w:hAnsi="Times New Roman"/>
          <w:i/>
          <w:iCs/>
        </w:rPr>
        <w:t>bis</w:t>
      </w:r>
      <w:r>
        <w:rPr>
          <w:rFonts w:ascii="Times New Roman" w:hAnsi="Times New Roman"/>
        </w:rPr>
        <w:t xml:space="preserve">), à l’intégrité des signaux (article 7 </w:t>
      </w:r>
      <w:r>
        <w:rPr>
          <w:rFonts w:ascii="Times New Roman" w:hAnsi="Times New Roman"/>
          <w:i/>
          <w:iCs/>
        </w:rPr>
        <w:t>ter</w:t>
      </w:r>
      <w:r>
        <w:rPr>
          <w:rFonts w:ascii="Times New Roman" w:hAnsi="Times New Roman"/>
        </w:rPr>
        <w:t>) et aux plateformes de partage de vidéos (article 28 </w:t>
      </w:r>
      <w:r>
        <w:rPr>
          <w:rFonts w:ascii="Times New Roman" w:hAnsi="Times New Roman"/>
          <w:i/>
          <w:iCs/>
        </w:rPr>
        <w:t>ter</w:t>
      </w:r>
      <w:r>
        <w:rPr>
          <w:rFonts w:ascii="Times New Roman" w:hAnsi="Times New Roman"/>
        </w:rPr>
        <w:t>). Le futur rapport de la Commission sur les œuvres européennes pour la période 2020-2021, ainsi que les conclusions concernant les perspectives du secteur des médias publiées en mai 2023</w:t>
      </w:r>
      <w:r>
        <w:rPr>
          <w:rStyle w:val="FootnoteReference"/>
          <w:rFonts w:ascii="Times New Roman" w:hAnsi="Times New Roman"/>
        </w:rPr>
        <w:footnoteReference w:id="2"/>
      </w:r>
      <w:r>
        <w:rPr>
          <w:rFonts w:ascii="Times New Roman" w:hAnsi="Times New Roman"/>
        </w:rPr>
        <w:t xml:space="preserve">, fourniront des données pertinentes pour l’évaluation de la situation en ce qui concerne </w:t>
      </w:r>
      <w:r>
        <w:rPr>
          <w:rFonts w:ascii="Times New Roman" w:hAnsi="Times New Roman"/>
          <w:b/>
        </w:rPr>
        <w:t>les œuvres européennes</w:t>
      </w:r>
      <w:r>
        <w:rPr>
          <w:rFonts w:ascii="Times New Roman" w:hAnsi="Times New Roman"/>
        </w:rPr>
        <w:t xml:space="preserve">. Le document concernant les perspectives du secteur des médias fournit un nouvel aperçu des relations contractuelles et commerciales entre les producteurs de l’UE et les diffuseurs de contenu en ligne et en continu/radiodiffuseurs, ainsi que les préférences et comportements en matière de </w:t>
      </w:r>
      <w:r>
        <w:rPr>
          <w:rFonts w:ascii="Times New Roman" w:hAnsi="Times New Roman"/>
        </w:rPr>
        <w:lastRenderedPageBreak/>
        <w:t>consommation des consommateurs européens. À la lumière des conclusions concernant les perspectives du secteur des médias, la Commission engage un dialogue avec l’industrie audiovisuelle afin de réfléchir à la meilleure manière de soutenir la compétitivité du secteur, portant notamment sur les questions liées à l’exploitation des droits de propriété intellectuelle et à l’application des termes «œuvres européennes» dans le cadre actuel de promotion des œuvres européennes (paragraphe 4). Les travaux de l’Observatoire européen de l’audiovisuel relatifs aux œuvres européennes sont également pertinents dans ce contexte.</w:t>
      </w:r>
    </w:p>
    <w:p w14:paraId="413C074A" w14:textId="77777777" w:rsidR="00F17987" w:rsidRPr="00B47FB9" w:rsidRDefault="00F17987" w:rsidP="00F17987">
      <w:pPr>
        <w:spacing w:after="120"/>
        <w:rPr>
          <w:rFonts w:ascii="Times New Roman" w:hAnsi="Times New Roman"/>
        </w:rPr>
      </w:pPr>
      <w:r>
        <w:rPr>
          <w:rFonts w:ascii="Times New Roman" w:hAnsi="Times New Roman"/>
        </w:rPr>
        <w:t xml:space="preserve">En ce qui concerne les règles relatives à la </w:t>
      </w:r>
      <w:r>
        <w:rPr>
          <w:rFonts w:ascii="Times New Roman" w:hAnsi="Times New Roman"/>
          <w:b/>
        </w:rPr>
        <w:t>mise en avant des œuvres européennes</w:t>
      </w:r>
      <w:r>
        <w:rPr>
          <w:rFonts w:ascii="Times New Roman" w:hAnsi="Times New Roman"/>
        </w:rPr>
        <w:t xml:space="preserve">, la Commission partage l’avis du Parlement quant à leur importance. La Commission souligne qu’elle a encouragé l’échange de bonnes pratiques entre les États membres grâce aux travaux du groupe des régulateurs européens pour les services de médias audiovisuels (ERGA) sur cette question menés au cours des dernières années (paragraphe 29). En ce qui concerne les </w:t>
      </w:r>
      <w:r>
        <w:rPr>
          <w:rFonts w:ascii="Times New Roman" w:hAnsi="Times New Roman"/>
          <w:b/>
        </w:rPr>
        <w:t>types de programmes</w:t>
      </w:r>
      <w:r>
        <w:rPr>
          <w:rFonts w:ascii="Times New Roman" w:hAnsi="Times New Roman"/>
        </w:rPr>
        <w:t xml:space="preserve"> proposés par les services audiovisuels à la demande par rapport au quota d’œuvres européennes, la Commission renvoie à l’étude accompagnant le rapport sur les dispositions de la directive SMA relatives à la promotion des œuvres européennes pour la période 2015-2019 mentionnée ci-dessus. Cette étude analyse l’offre de contenu audiovisuel dans les catalogues de vidéo à la demande, y compris les genres de productions disponibles et la part des œuvres européennes dans ces catalogues. Le prochain rapport, couvrant la période 2020-2021, mettra également à disposition des données sur l’offre de contenu audiovisuel des services de vidéo à la demande et inclura de nouvelles améliorations de la méthodologie employée (point 34).</w:t>
      </w:r>
    </w:p>
    <w:p w14:paraId="36F087C9" w14:textId="77777777" w:rsidR="00F17987" w:rsidRDefault="00F17987" w:rsidP="00F17987">
      <w:pPr>
        <w:spacing w:after="120"/>
        <w:rPr>
          <w:rFonts w:ascii="Times New Roman" w:hAnsi="Times New Roman"/>
        </w:rPr>
      </w:pPr>
      <w:r>
        <w:rPr>
          <w:rFonts w:ascii="Times New Roman" w:hAnsi="Times New Roman"/>
        </w:rPr>
        <w:t xml:space="preserve">Dans sa résolution, le Parlement souligne certaines difficultés liées à l’application du </w:t>
      </w:r>
      <w:r>
        <w:rPr>
          <w:rFonts w:ascii="Times New Roman" w:hAnsi="Times New Roman"/>
          <w:b/>
        </w:rPr>
        <w:t>principe du pays d’origine</w:t>
      </w:r>
      <w:r>
        <w:rPr>
          <w:rFonts w:ascii="Times New Roman" w:hAnsi="Times New Roman"/>
        </w:rPr>
        <w:t xml:space="preserve"> ou à la mise en œuvre de dispositions relatives à la </w:t>
      </w:r>
      <w:r>
        <w:rPr>
          <w:rFonts w:ascii="Times New Roman" w:hAnsi="Times New Roman"/>
          <w:b/>
        </w:rPr>
        <w:t>mise en avant des services de médias audiovisuels d’intérêt général</w:t>
      </w:r>
      <w:r>
        <w:rPr>
          <w:rFonts w:ascii="Times New Roman" w:hAnsi="Times New Roman"/>
        </w:rPr>
        <w:t xml:space="preserve">. La proposition de législation européenne sur la </w:t>
      </w:r>
      <w:r>
        <w:rPr>
          <w:rFonts w:ascii="Times New Roman" w:hAnsi="Times New Roman"/>
          <w:b/>
        </w:rPr>
        <w:t>liberté des médias</w:t>
      </w:r>
      <w:r>
        <w:rPr>
          <w:rStyle w:val="FootnoteReference"/>
          <w:rFonts w:ascii="Times New Roman" w:hAnsi="Times New Roman"/>
        </w:rPr>
        <w:footnoteReference w:id="3"/>
      </w:r>
      <w:r>
        <w:rPr>
          <w:rFonts w:ascii="Times New Roman" w:hAnsi="Times New Roman"/>
        </w:rPr>
        <w:t xml:space="preserve"> (ci-après «LELM») devrait contribuer à surmonter ces difficultés. En ce qui concerne les difficultés liées à l’article 2, paragraphe 4, de la directive SMA, qui pourraient avoir des conséquences non désirées, à savoir permettre aux fournisseurs de pays tiers de distribuer facilement et rapidement des contenus audiovisuels par satellite, sans restrictions, la LELM proposée contribuerait à lutter contre la désinformation et l’ingérence étrangère en favorisant la coordination des mesures entre les États membres. En particulier, l’article 16 de la LELM proposée serait l’instrument permettant de confier au comité européen pour les services de médias prévu la tâche de coordonner les mesures prises par les régulateurs des médias à l’égard des fournisseurs de pays tiers en cas d’atteinte ou de risque sérieux et grave d’atteinte à la sécurité publique et à la défense. En ce qui concerne la nécessité d’orientations de la Commission pour aider les États membres à mieux exploiter les possibilités de mettre en avant les services de médias audiovisuels d’intérêt général (article 7 </w:t>
      </w:r>
      <w:r>
        <w:rPr>
          <w:rFonts w:ascii="Times New Roman" w:hAnsi="Times New Roman"/>
          <w:i/>
          <w:iCs/>
        </w:rPr>
        <w:t>bis</w:t>
      </w:r>
      <w:r>
        <w:rPr>
          <w:rFonts w:ascii="Times New Roman" w:hAnsi="Times New Roman"/>
        </w:rPr>
        <w:t xml:space="preserve"> de la directive SMA), la LELM proposée permettrait à la Commission de publier des orientations sur la question, avec l’aide du nouveau comité prévu. En outre, en ce qui concerne l’</w:t>
      </w:r>
      <w:r>
        <w:rPr>
          <w:rFonts w:ascii="Times New Roman" w:hAnsi="Times New Roman"/>
          <w:b/>
        </w:rPr>
        <w:t>article 5, paragraphe 2, de la directive SMA</w:t>
      </w:r>
      <w:r>
        <w:rPr>
          <w:rFonts w:ascii="Times New Roman" w:hAnsi="Times New Roman"/>
        </w:rPr>
        <w:t>, la LELM proposée exigerait également des fournisseurs de services de médias qu’ils garantissent la transparence de la propriété en divulguant les informations pertinentes au public. À cet égard, la Commission a par ailleurs cofinancé un projet pilote visant à mettre en place l’Observatoire européen de la propriété des médias (EurOMo) (paragraphes 5, 7, 14, 22, 23 et 24).</w:t>
      </w:r>
    </w:p>
    <w:p w14:paraId="4496050F" w14:textId="77777777" w:rsidR="00F17987" w:rsidRDefault="00F17987" w:rsidP="00F17987">
      <w:pPr>
        <w:spacing w:after="120"/>
        <w:rPr>
          <w:rFonts w:ascii="Times New Roman" w:hAnsi="Times New Roman"/>
        </w:rPr>
      </w:pPr>
      <w:r>
        <w:rPr>
          <w:rFonts w:ascii="Times New Roman" w:hAnsi="Times New Roman"/>
        </w:rPr>
        <w:lastRenderedPageBreak/>
        <w:t>En ce qui concerne les nouvelles dispositions de la directive SMA visant à améliorer l’</w:t>
      </w:r>
      <w:r>
        <w:rPr>
          <w:rFonts w:ascii="Times New Roman" w:hAnsi="Times New Roman"/>
          <w:b/>
        </w:rPr>
        <w:t>accessibilité des services de médias</w:t>
      </w:r>
      <w:r>
        <w:rPr>
          <w:rFonts w:ascii="Times New Roman" w:hAnsi="Times New Roman"/>
        </w:rPr>
        <w:t>, la Commission, dans son rapport sur l’application de la directive SMA, évaluera aussi l’application de ces dispositions importantes, en s’appuyant sur les informations fournies par les États membres. En outre, l’Observatoire européen de l’audiovisuel devrait publier un rapport succinct axé sur l’application des règles d’accessibilité de la directive SMA dans les États membres. Cela permettra à la Commission d’avoir une vue d’ensemble de la situation dans les États membres et de recenser les éventuelles lacunes dans la mise en œuvre de ces dispositions importantes ou, le cas échéant, les avancées fondées sur les nouvelles technologies, telles que l’intelligence artificielle (paragraphes 15, 16, 18, 19, 20 et 21).</w:t>
      </w:r>
    </w:p>
    <w:p w14:paraId="4A4CDE86" w14:textId="77777777" w:rsidR="00F17987" w:rsidRDefault="00F17987" w:rsidP="00F17987">
      <w:pPr>
        <w:spacing w:after="120"/>
        <w:rPr>
          <w:rFonts w:ascii="Times New Roman" w:hAnsi="Times New Roman"/>
        </w:rPr>
      </w:pPr>
      <w:r>
        <w:rPr>
          <w:rFonts w:ascii="Times New Roman" w:hAnsi="Times New Roman"/>
        </w:rPr>
        <w:t xml:space="preserve">En ce qui concerne les </w:t>
      </w:r>
      <w:r>
        <w:rPr>
          <w:rFonts w:ascii="Times New Roman" w:hAnsi="Times New Roman"/>
          <w:b/>
        </w:rPr>
        <w:t>événements d’importance majeure</w:t>
      </w:r>
      <w:r>
        <w:rPr>
          <w:rFonts w:ascii="Times New Roman" w:hAnsi="Times New Roman"/>
        </w:rPr>
        <w:t>, la Commission partage l’objectif du Parlement de veiller à ce que les règles de la directive SMA soient respectées, afin qu’un public plus large puisse avoir accès à ces événements. À cet égard, elle continuera d’évaluer les notifications des États membres au titre de l’article 14 de la directive SMA, afin de garantir que les organismes de radiodiffusion puissent acquérir des droits de retransmission télévisuelle sur une base exclusive, tout en protégeant le droit à l’information et en garantissant un large accès du public à la couverture télévisuelle d’événements nationaux ou non nationaux d’importance majeure pour la société (paragraphe 37).</w:t>
      </w:r>
    </w:p>
    <w:p w14:paraId="02019EDD" w14:textId="77777777" w:rsidR="00F17987" w:rsidRDefault="00F17987" w:rsidP="00F17987">
      <w:pPr>
        <w:spacing w:after="120"/>
        <w:rPr>
          <w:rFonts w:ascii="Times New Roman" w:hAnsi="Times New Roman"/>
        </w:rPr>
      </w:pPr>
      <w:r>
        <w:rPr>
          <w:rFonts w:ascii="Times New Roman" w:hAnsi="Times New Roman"/>
        </w:rPr>
        <w:t xml:space="preserve">La Commission souligne que </w:t>
      </w:r>
      <w:r>
        <w:rPr>
          <w:rFonts w:ascii="Times New Roman" w:hAnsi="Times New Roman"/>
          <w:b/>
        </w:rPr>
        <w:t>la législation sur les marchés numériques</w:t>
      </w:r>
      <w:r>
        <w:rPr>
          <w:rStyle w:val="FootnoteReference"/>
          <w:rFonts w:ascii="Times New Roman" w:hAnsi="Times New Roman"/>
          <w:b/>
          <w:bCs/>
        </w:rPr>
        <w:footnoteReference w:id="4"/>
      </w:r>
      <w:r>
        <w:rPr>
          <w:rFonts w:ascii="Times New Roman" w:hAnsi="Times New Roman"/>
        </w:rPr>
        <w:t xml:space="preserve"> [Digital Markets Act (DMA)] fixe un certain nombre d’obligations et d’interdictions qui devraient faciliter l’</w:t>
      </w:r>
      <w:r>
        <w:rPr>
          <w:rFonts w:ascii="Times New Roman" w:hAnsi="Times New Roman"/>
          <w:b/>
        </w:rPr>
        <w:t>accès des fournisseurs de services de médias audiovisuels aux données</w:t>
      </w:r>
      <w:r>
        <w:rPr>
          <w:rFonts w:ascii="Times New Roman" w:hAnsi="Times New Roman"/>
        </w:rPr>
        <w:t xml:space="preserve"> relatives à leur utilisation des services de plateforme essentiels concernés des contrôleurs d’accès désignés. En particulier, en vertu de l’article 6, paragraphe 10, de la législation sur les marchés numériques, les contrôleurs d’accès sont tenus d’accorder aux fournisseurs et aux tiers autorisés par ces derniers, à leur demande, un accès gratuit, effectif, de haute qualité, continu et en temps réel aux données agrégées et non agrégées, y compris aux données à caractère personnel, qui sont fournies ou générées dans le cadre de l’utilisation des services de plateforme essentiels concernés. De plus, en vertu de l’article 6, paragraphe 8, de la législation sur les marchés numériques, le contrôleur d’accès fournit aux annonceurs et aux éditeurs, ainsi qu’aux tiers autorisés par les annonceurs et les éditeurs, à leur demande et gratuitement, un accès aux outils de mesure de performance du contrôleur d’accès et aux données qui leur sont nécessaires pour effectuer leur propre vérification indépendante de l’inventaire publicitaire, notamment les données agrégées et non agrégées. Ces données sont fournies de manière à permettre aux annonceurs et aux éditeurs d’utiliser leurs propres outils de vérification et de mesure afin d’évaluer la performance des services de plateforme essentiels fournis par le contrôleur d’accès. En outre, conformément à l’article 23 de la </w:t>
      </w:r>
      <w:r>
        <w:rPr>
          <w:rFonts w:ascii="Times New Roman" w:hAnsi="Times New Roman"/>
          <w:b/>
        </w:rPr>
        <w:t>LELM</w:t>
      </w:r>
      <w:r>
        <w:rPr>
          <w:rFonts w:ascii="Times New Roman" w:hAnsi="Times New Roman"/>
        </w:rPr>
        <w:t xml:space="preserve"> proposée, les fournisseurs de services de médias audiovisuels auraient accès à des informations sur les méthodes utilisées pour </w:t>
      </w:r>
      <w:r>
        <w:rPr>
          <w:rFonts w:ascii="Times New Roman" w:hAnsi="Times New Roman"/>
          <w:b/>
        </w:rPr>
        <w:t>mesurer l’audience</w:t>
      </w:r>
      <w:r>
        <w:rPr>
          <w:rFonts w:ascii="Times New Roman" w:hAnsi="Times New Roman"/>
        </w:rPr>
        <w:t xml:space="preserve"> de leur contenu (paragraphes 38 et 39).</w:t>
      </w:r>
    </w:p>
    <w:p w14:paraId="13383225" w14:textId="77777777" w:rsidR="00F17987" w:rsidRDefault="00F17987" w:rsidP="00F17987">
      <w:pPr>
        <w:spacing w:after="120"/>
        <w:rPr>
          <w:rFonts w:ascii="Times New Roman" w:hAnsi="Times New Roman"/>
        </w:rPr>
      </w:pPr>
      <w:r>
        <w:rPr>
          <w:rFonts w:ascii="Times New Roman" w:hAnsi="Times New Roman"/>
        </w:rPr>
        <w:t xml:space="preserve">La Commission partage l’avis du Parlement selon lequel elle doit suivre de près l’évolution rapide de l’offre de services de médias audiovisuels créés par les </w:t>
      </w:r>
      <w:r>
        <w:rPr>
          <w:rFonts w:ascii="Times New Roman" w:hAnsi="Times New Roman"/>
          <w:b/>
        </w:rPr>
        <w:t>influenceurs en ligne</w:t>
      </w:r>
      <w:r>
        <w:rPr>
          <w:rFonts w:ascii="Times New Roman" w:hAnsi="Times New Roman"/>
        </w:rPr>
        <w:t xml:space="preserve">, et convient de la nécessité d’identifier clairement les communications commerciales et de protéger les mineurs et les consommateurs. À cet égard, la Commission rappelle que les règles de la directive SMA s’appliquent déjà aux influenceurs lorsque ces derniers remplissent les critères de ladite directive selon lesquels ils sont considérés comme des fournisseurs de services de médias vidéo à la </w:t>
      </w:r>
      <w:r>
        <w:rPr>
          <w:rFonts w:ascii="Times New Roman" w:hAnsi="Times New Roman"/>
        </w:rPr>
        <w:lastRenderedPageBreak/>
        <w:t>demande. Dans ce cas, les dispositions de la directive SMA concernant en particulier les communications commerciales audiovisuelles garantissent une protection efficace des utilisateurs contre les communications commerciales préjudiciables ou excessives. Elles protègent également les mineurs contre les contenus préjudiciables. En outre, les règles de la législation sur les services numériques</w:t>
      </w:r>
      <w:r>
        <w:rPr>
          <w:rStyle w:val="FootnoteReference"/>
          <w:rFonts w:ascii="Times New Roman" w:hAnsi="Times New Roman"/>
        </w:rPr>
        <w:footnoteReference w:id="5"/>
      </w:r>
      <w:r>
        <w:rPr>
          <w:rFonts w:ascii="Times New Roman" w:hAnsi="Times New Roman"/>
        </w:rPr>
        <w:t xml:space="preserve"> [DSA, Digital Services Act - règlement sur les services numériques] contiennent également d’importantes garanties à cet égard; si cette législation ne mentionne pas spécifiquement le terme «influenceurs», et ne réglemente pas directement les activités de ces derniers, il ressort clairement de son considérant 72 que les dispositions en matière de connaissance de la clientèle professionnelle (article 30 de la législation sur les services numériques) applicables aux places de marché en ligne s’appliquent également aux influenceurs. L’article 26, paragraphe 2, du règlement sur les services numériques prévoit également un outil qui vise à faciliter le respect des règles par les influenceurs utilisant une plateforme pour diffuser du contenu porteur de communications commerciales: une fonctionnalité permettant aux utilisateurs de déclarer que le contenu contient des communications commerciales, ce qui déclenche l'affichage de marquages spécifiques à cet égard (paragraphe 42).</w:t>
      </w:r>
    </w:p>
    <w:p w14:paraId="6DE86F36" w14:textId="77777777" w:rsidR="00F17987" w:rsidRDefault="00F17987" w:rsidP="00F17987">
      <w:pPr>
        <w:spacing w:after="120"/>
        <w:rPr>
          <w:rFonts w:ascii="Times New Roman" w:hAnsi="Times New Roman"/>
        </w:rPr>
      </w:pPr>
      <w:r>
        <w:rPr>
          <w:rFonts w:ascii="Times New Roman" w:hAnsi="Times New Roman"/>
        </w:rPr>
        <w:t xml:space="preserve">En ce qui concerne la demande faite à la Commission d’agir rapidement si </w:t>
      </w:r>
      <w:r>
        <w:rPr>
          <w:rFonts w:ascii="Times New Roman" w:hAnsi="Times New Roman"/>
          <w:b/>
        </w:rPr>
        <w:t>une autorité ou un organisme national de réglementation</w:t>
      </w:r>
      <w:r>
        <w:rPr>
          <w:rFonts w:ascii="Times New Roman" w:hAnsi="Times New Roman"/>
        </w:rPr>
        <w:t xml:space="preserve"> exerce ses pouvoirs d’une manière incompatible avec les objectifs et les valeurs de l’Union, la Commission n’hésiterait pas à utiliser tous les outils à sa disposition dans un tel cas. L’indépendance des régulateurs nationaux de l’audiovisuel est l’une des priorités de la Commission dans le suivi de la mise en œuvre par les États membres de la directive SMA révisée (paragraphe 45).</w:t>
      </w:r>
    </w:p>
    <w:p w14:paraId="08FF5D30" w14:textId="77777777" w:rsidR="00F17987" w:rsidRDefault="00F17987" w:rsidP="00F17987">
      <w:pPr>
        <w:spacing w:after="120"/>
        <w:rPr>
          <w:rFonts w:ascii="Times New Roman" w:hAnsi="Times New Roman"/>
        </w:rPr>
      </w:pPr>
      <w:r>
        <w:rPr>
          <w:rFonts w:ascii="Times New Roman" w:hAnsi="Times New Roman"/>
        </w:rPr>
        <w:t xml:space="preserve">En ce qui concerne la publication des </w:t>
      </w:r>
      <w:r>
        <w:rPr>
          <w:rFonts w:ascii="Times New Roman" w:hAnsi="Times New Roman"/>
          <w:b/>
        </w:rPr>
        <w:t>lignes directrices de la Commission</w:t>
      </w:r>
      <w:r>
        <w:rPr>
          <w:rFonts w:ascii="Times New Roman" w:hAnsi="Times New Roman"/>
        </w:rPr>
        <w:t xml:space="preserve"> requises en vertu de l’article 33 </w:t>
      </w:r>
      <w:r>
        <w:rPr>
          <w:rFonts w:ascii="Times New Roman" w:hAnsi="Times New Roman"/>
          <w:i/>
          <w:iCs/>
        </w:rPr>
        <w:t>bis</w:t>
      </w:r>
      <w:r>
        <w:rPr>
          <w:rFonts w:ascii="Times New Roman" w:hAnsi="Times New Roman"/>
        </w:rPr>
        <w:t>, paragraphe 3, de la directive SMA concernant la portée des rapports des États membres sur la mise en œuvre des mesures visant à développer les compétences liées à l’</w:t>
      </w:r>
      <w:r>
        <w:rPr>
          <w:rFonts w:ascii="Times New Roman" w:hAnsi="Times New Roman"/>
          <w:b/>
        </w:rPr>
        <w:t>éducation aux médias</w:t>
      </w:r>
      <w:r>
        <w:rPr>
          <w:rFonts w:ascii="Times New Roman" w:hAnsi="Times New Roman"/>
        </w:rPr>
        <w:t>, la Commission signale que ces lignes directrices ont été publiées en février 2023</w:t>
      </w:r>
      <w:r>
        <w:rPr>
          <w:rStyle w:val="FootnoteReference"/>
          <w:rFonts w:ascii="Times New Roman" w:hAnsi="Times New Roman"/>
        </w:rPr>
        <w:footnoteReference w:id="6"/>
      </w:r>
      <w:r>
        <w:rPr>
          <w:rFonts w:ascii="Times New Roman" w:hAnsi="Times New Roman"/>
        </w:rPr>
        <w:t xml:space="preserve">. </w:t>
      </w:r>
      <w:bookmarkStart w:id="1" w:name="_Hlk137118976"/>
      <w:r>
        <w:rPr>
          <w:rFonts w:ascii="Times New Roman" w:hAnsi="Times New Roman"/>
        </w:rPr>
        <w:t>La Commission a reçu de la part des États membres la plupart des rapports sur l’éducation aux médias, requis par la directive SMA, qui sont désormais accessibles au public</w:t>
      </w:r>
      <w:r>
        <w:rPr>
          <w:rStyle w:val="FootnoteReference"/>
          <w:rFonts w:ascii="Times New Roman" w:hAnsi="Times New Roman"/>
        </w:rPr>
        <w:footnoteReference w:id="7"/>
      </w:r>
      <w:bookmarkEnd w:id="1"/>
      <w:r>
        <w:t xml:space="preserve"> </w:t>
      </w:r>
      <w:r>
        <w:rPr>
          <w:rFonts w:ascii="Times New Roman" w:hAnsi="Times New Roman"/>
        </w:rPr>
        <w:t>(paragraphe 46).</w:t>
      </w:r>
    </w:p>
    <w:sectPr w:rsidR="00F1798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08212" w14:textId="77777777" w:rsidR="004E1883" w:rsidRDefault="004E1883" w:rsidP="00520720">
      <w:pPr>
        <w:spacing w:after="0"/>
      </w:pPr>
      <w:r>
        <w:separator/>
      </w:r>
    </w:p>
  </w:endnote>
  <w:endnote w:type="continuationSeparator" w:id="0">
    <w:p w14:paraId="792746D6" w14:textId="77777777" w:rsidR="004E1883" w:rsidRDefault="004E1883" w:rsidP="005207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0F04" w14:textId="77777777" w:rsidR="004E1883" w:rsidRDefault="004E1883" w:rsidP="00520720">
      <w:pPr>
        <w:spacing w:after="0"/>
      </w:pPr>
      <w:r>
        <w:separator/>
      </w:r>
    </w:p>
  </w:footnote>
  <w:footnote w:type="continuationSeparator" w:id="0">
    <w:p w14:paraId="77E6FC36" w14:textId="77777777" w:rsidR="004E1883" w:rsidRDefault="004E1883" w:rsidP="00520720">
      <w:pPr>
        <w:spacing w:after="0"/>
      </w:pPr>
      <w:r>
        <w:continuationSeparator/>
      </w:r>
    </w:p>
  </w:footnote>
  <w:footnote w:id="1">
    <w:p w14:paraId="47A6A393" w14:textId="77777777" w:rsidR="00F17987" w:rsidRPr="00FA7B83" w:rsidRDefault="00F17987" w:rsidP="00F17987">
      <w:pPr>
        <w:pStyle w:val="FootnoteText"/>
        <w:ind w:left="357" w:hanging="357"/>
        <w:rPr>
          <w:rFonts w:ascii="Times New Roman" w:hAnsi="Times New Roman"/>
        </w:rPr>
      </w:pPr>
      <w:r>
        <w:rPr>
          <w:rStyle w:val="FootnoteReference"/>
        </w:rPr>
        <w:footnoteRef/>
      </w:r>
      <w:r>
        <w:t>.</w:t>
      </w:r>
      <w:r>
        <w:tab/>
      </w:r>
      <w:hyperlink r:id="rId1" w:history="1">
        <w:r>
          <w:rPr>
            <w:rStyle w:val="Hyperlink"/>
            <w:rFonts w:ascii="Times New Roman" w:hAnsi="Times New Roman"/>
          </w:rPr>
          <w:t>Rapports de la Commission sur la promotion des œuvres européennes par les services de médias audiovisuels |</w:t>
        </w:r>
      </w:hyperlink>
      <w:hyperlink r:id="rId2" w:history="1">
        <w:r>
          <w:rPr>
            <w:rStyle w:val="Hyperlink"/>
            <w:rFonts w:ascii="Times New Roman" w:hAnsi="Times New Roman"/>
          </w:rPr>
          <w:t>Façonner l’avenir numérique de l’Europe (europa.eu) (en anglais)</w:t>
        </w:r>
      </w:hyperlink>
    </w:p>
    <w:p w14:paraId="5EDE0D86" w14:textId="77777777" w:rsidR="00F17987" w:rsidRPr="00FA7B83" w:rsidRDefault="003B6D47" w:rsidP="00F17987">
      <w:pPr>
        <w:pStyle w:val="FootnoteText"/>
        <w:ind w:left="357"/>
        <w:rPr>
          <w:rFonts w:ascii="Times New Roman" w:hAnsi="Times New Roman"/>
        </w:rPr>
      </w:pPr>
      <w:hyperlink r:id="rId3" w:history="1">
        <w:r w:rsidR="00F17987">
          <w:rPr>
            <w:rStyle w:val="Hyperlink"/>
            <w:rFonts w:ascii="Times New Roman" w:hAnsi="Times New Roman"/>
          </w:rPr>
          <w:t>Study on the practical implementation of the provisions of the audiovisual media services directive concerning the promotion of European works in audiovisual media services - Office des publications de l’UE (europa.eu) (en anglais)</w:t>
        </w:r>
      </w:hyperlink>
    </w:p>
  </w:footnote>
  <w:footnote w:id="2">
    <w:p w14:paraId="07B9C6B1" w14:textId="77777777" w:rsidR="00F17987" w:rsidRPr="00C056A9" w:rsidRDefault="00F17987" w:rsidP="00F17987">
      <w:pPr>
        <w:pStyle w:val="FootnoteText"/>
        <w:ind w:left="357" w:hanging="357"/>
      </w:pPr>
      <w:r>
        <w:rPr>
          <w:rStyle w:val="FootnoteReference"/>
          <w:rFonts w:ascii="Times New Roman" w:hAnsi="Times New Roman"/>
        </w:rPr>
        <w:footnoteRef/>
      </w:r>
      <w:r>
        <w:rPr>
          <w:rFonts w:ascii="Times New Roman" w:hAnsi="Times New Roman"/>
        </w:rPr>
        <w:t>.</w:t>
      </w:r>
      <w:r>
        <w:tab/>
      </w:r>
      <w:hyperlink r:id="rId4" w:history="1">
        <w:r>
          <w:rPr>
            <w:rStyle w:val="Hyperlink"/>
            <w:rFonts w:ascii="Times New Roman" w:hAnsi="Times New Roman"/>
          </w:rPr>
          <w:t>Les perspectives de l’industrie européenne des médias |</w:t>
        </w:r>
      </w:hyperlink>
      <w:hyperlink r:id="rId5" w:history="1">
        <w:r>
          <w:rPr>
            <w:rStyle w:val="Hyperlink"/>
            <w:rFonts w:ascii="Times New Roman" w:hAnsi="Times New Roman"/>
          </w:rPr>
          <w:t>Façonner l’avenir numérique de l’Europe (europa.eu) (en anglais)</w:t>
        </w:r>
      </w:hyperlink>
    </w:p>
  </w:footnote>
  <w:footnote w:id="3">
    <w:p w14:paraId="7D08352F" w14:textId="77777777" w:rsidR="00F17987" w:rsidRPr="007D4C97" w:rsidRDefault="00F17987" w:rsidP="00F17987">
      <w:pPr>
        <w:pStyle w:val="FootnoteText"/>
        <w:ind w:left="357" w:hanging="357"/>
      </w:pPr>
      <w:r>
        <w:rPr>
          <w:rStyle w:val="FootnoteReference"/>
        </w:rPr>
        <w:footnoteRef/>
      </w:r>
      <w:r>
        <w:rPr>
          <w:rFonts w:ascii="Times New Roman" w:hAnsi="Times New Roman"/>
        </w:rPr>
        <w:t xml:space="preserve"> </w:t>
      </w:r>
      <w:r>
        <w:tab/>
      </w:r>
      <w:r>
        <w:rPr>
          <w:rFonts w:ascii="Times New Roman" w:hAnsi="Times New Roman"/>
        </w:rPr>
        <w:t>Proposition de règlement du Parlement européen et du Conseil établissant un cadre commun pour les services de médias dans le marché intérieur (législation européenne sur la liberté des médias) et modifiant la directive 2010/13/UE.</w:t>
      </w:r>
    </w:p>
  </w:footnote>
  <w:footnote w:id="4">
    <w:p w14:paraId="3EED57D1" w14:textId="77777777" w:rsidR="00F17987" w:rsidRPr="00FA7B83" w:rsidRDefault="00F17987" w:rsidP="00F17987">
      <w:pPr>
        <w:pStyle w:val="FootnoteText"/>
        <w:ind w:left="357" w:hanging="357"/>
        <w:rPr>
          <w:rFonts w:ascii="Times New Roman" w:hAnsi="Times New Roman"/>
        </w:rPr>
      </w:pPr>
      <w:r>
        <w:rPr>
          <w:rStyle w:val="FootnoteReference"/>
        </w:rPr>
        <w:footnoteRef/>
      </w:r>
      <w:r>
        <w:t xml:space="preserve"> </w:t>
      </w:r>
      <w:r>
        <w:tab/>
      </w:r>
      <w:r>
        <w:rPr>
          <w:rFonts w:ascii="Times New Roman" w:hAnsi="Times New Roman"/>
        </w:rPr>
        <w:t>Règlement (UE) 2022/1925 du Parlement européen et du Conseil du 14 septembre 2022 relatif aux marchés contestables et équitables dans le secteur numérique et modifiant les directives (UE) 2019/1937 et (UE) 2020/1828 (règlement sur les marchés numériques) (</w:t>
      </w:r>
      <w:hyperlink r:id="rId6" w:history="1">
        <w:r>
          <w:rPr>
            <w:rStyle w:val="Hyperlink"/>
            <w:rFonts w:ascii="Times New Roman" w:hAnsi="Times New Roman"/>
          </w:rPr>
          <w:t>JO L 265 du 12.10.2022, p. 1</w:t>
        </w:r>
      </w:hyperlink>
      <w:r>
        <w:rPr>
          <w:rFonts w:ascii="Times New Roman" w:hAnsi="Times New Roman"/>
        </w:rPr>
        <w:t>).</w:t>
      </w:r>
    </w:p>
  </w:footnote>
  <w:footnote w:id="5">
    <w:p w14:paraId="324EBDA0" w14:textId="77777777" w:rsidR="00F17987" w:rsidRPr="00FA7B83" w:rsidRDefault="00F17987" w:rsidP="00F17987">
      <w:pPr>
        <w:pStyle w:val="FootnoteText"/>
        <w:ind w:left="357" w:hanging="357"/>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Règlement (UE) 2022/2065 du Parlement européen et du Conseil du 19 octobre 2022 relatif à un marché unique des services numériques et modifiant la directive 2000/31/CE (règlement sur les services numériques) (</w:t>
      </w:r>
      <w:hyperlink r:id="rId7" w:history="1">
        <w:r>
          <w:rPr>
            <w:rFonts w:ascii="Times New Roman" w:hAnsi="Times New Roman"/>
          </w:rPr>
          <w:t>JO L 277 du 27.10.2022, p. 1</w:t>
        </w:r>
      </w:hyperlink>
      <w:r>
        <w:rPr>
          <w:rFonts w:ascii="Times New Roman" w:hAnsi="Times New Roman"/>
        </w:rPr>
        <w:t>).</w:t>
      </w:r>
    </w:p>
  </w:footnote>
  <w:footnote w:id="6">
    <w:p w14:paraId="11CD6EA8" w14:textId="77777777" w:rsidR="00F17987" w:rsidRPr="00FA7B83" w:rsidRDefault="00F17987" w:rsidP="00F17987">
      <w:pPr>
        <w:pStyle w:val="FootnoteText"/>
        <w:ind w:left="357" w:hanging="357"/>
        <w:rPr>
          <w:rFonts w:ascii="Times New Roman" w:hAnsi="Times New Roman"/>
        </w:rPr>
      </w:pPr>
      <w:r>
        <w:rPr>
          <w:rStyle w:val="FootnoteReference"/>
        </w:rPr>
        <w:footnoteRef/>
      </w:r>
      <w:r>
        <w:t xml:space="preserve"> </w:t>
      </w:r>
      <w:r>
        <w:tab/>
      </w:r>
      <w:hyperlink r:id="rId8" w:history="1">
        <w:r>
          <w:rPr>
            <w:rStyle w:val="Hyperlink"/>
            <w:rFonts w:ascii="Times New Roman" w:hAnsi="Times New Roman"/>
          </w:rPr>
          <w:t>https://digital-strategy.ec.europa.eu/en/library/media-literacy-guidelines</w:t>
        </w:r>
      </w:hyperlink>
    </w:p>
  </w:footnote>
  <w:footnote w:id="7">
    <w:p w14:paraId="111ADA1B" w14:textId="77777777" w:rsidR="00F17987" w:rsidRPr="00FA7B83" w:rsidRDefault="00F17987" w:rsidP="00F17987">
      <w:pPr>
        <w:pStyle w:val="FootnoteText"/>
        <w:ind w:left="357" w:hanging="357"/>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Rapports nationaux relatifs à l’application de la directive sur les services de médias audiovisuels 2020-2022 | Bâtir l’avenir numérique de l’Europe (europa.eu).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B6710E8"/>
    <w:multiLevelType w:val="hybridMultilevel"/>
    <w:tmpl w:val="AFA6FB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46C1691"/>
    <w:multiLevelType w:val="hybridMultilevel"/>
    <w:tmpl w:val="014C1D4E"/>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353985">
    <w:abstractNumId w:val="0"/>
  </w:num>
  <w:num w:numId="2" w16cid:durableId="965358241">
    <w:abstractNumId w:val="2"/>
  </w:num>
  <w:num w:numId="3" w16cid:durableId="317997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0965"/>
    <w:rsid w:val="000465E0"/>
    <w:rsid w:val="000849CD"/>
    <w:rsid w:val="00095240"/>
    <w:rsid w:val="000A783E"/>
    <w:rsid w:val="000C13A9"/>
    <w:rsid w:val="000D06D2"/>
    <w:rsid w:val="000F207C"/>
    <w:rsid w:val="000F7FA0"/>
    <w:rsid w:val="00166D63"/>
    <w:rsid w:val="001765EF"/>
    <w:rsid w:val="00176AA6"/>
    <w:rsid w:val="001953AD"/>
    <w:rsid w:val="00195E57"/>
    <w:rsid w:val="001C7CBB"/>
    <w:rsid w:val="00231B43"/>
    <w:rsid w:val="002713CA"/>
    <w:rsid w:val="002942BC"/>
    <w:rsid w:val="002B67B5"/>
    <w:rsid w:val="002C2F10"/>
    <w:rsid w:val="003025D8"/>
    <w:rsid w:val="00303973"/>
    <w:rsid w:val="00336FC5"/>
    <w:rsid w:val="00342542"/>
    <w:rsid w:val="00376F20"/>
    <w:rsid w:val="003877B4"/>
    <w:rsid w:val="003A6F76"/>
    <w:rsid w:val="003B6D47"/>
    <w:rsid w:val="003B710A"/>
    <w:rsid w:val="003F56FD"/>
    <w:rsid w:val="00430DE5"/>
    <w:rsid w:val="0046135F"/>
    <w:rsid w:val="004D0DBF"/>
    <w:rsid w:val="004E1883"/>
    <w:rsid w:val="00515DD0"/>
    <w:rsid w:val="00520720"/>
    <w:rsid w:val="00530CAD"/>
    <w:rsid w:val="00561672"/>
    <w:rsid w:val="005804C2"/>
    <w:rsid w:val="005C7B23"/>
    <w:rsid w:val="005F19F6"/>
    <w:rsid w:val="00663F71"/>
    <w:rsid w:val="00675B79"/>
    <w:rsid w:val="00691F60"/>
    <w:rsid w:val="00693D9D"/>
    <w:rsid w:val="00735FCC"/>
    <w:rsid w:val="00743534"/>
    <w:rsid w:val="007A5FFB"/>
    <w:rsid w:val="007C3DA1"/>
    <w:rsid w:val="007D4C97"/>
    <w:rsid w:val="007E1152"/>
    <w:rsid w:val="0082591C"/>
    <w:rsid w:val="00893595"/>
    <w:rsid w:val="0089739C"/>
    <w:rsid w:val="008D0965"/>
    <w:rsid w:val="008E2C76"/>
    <w:rsid w:val="008E2DCD"/>
    <w:rsid w:val="008F6AE4"/>
    <w:rsid w:val="00913C70"/>
    <w:rsid w:val="0093333D"/>
    <w:rsid w:val="00941CF8"/>
    <w:rsid w:val="00994A71"/>
    <w:rsid w:val="009A3318"/>
    <w:rsid w:val="009B711C"/>
    <w:rsid w:val="00A011A7"/>
    <w:rsid w:val="00A605AE"/>
    <w:rsid w:val="00A64880"/>
    <w:rsid w:val="00A80975"/>
    <w:rsid w:val="00A932DC"/>
    <w:rsid w:val="00A94EE0"/>
    <w:rsid w:val="00A958B4"/>
    <w:rsid w:val="00B3395D"/>
    <w:rsid w:val="00B47FB9"/>
    <w:rsid w:val="00B871AB"/>
    <w:rsid w:val="00B93639"/>
    <w:rsid w:val="00BD7034"/>
    <w:rsid w:val="00C056A9"/>
    <w:rsid w:val="00C65143"/>
    <w:rsid w:val="00C81653"/>
    <w:rsid w:val="00C93E76"/>
    <w:rsid w:val="00C94057"/>
    <w:rsid w:val="00CB079B"/>
    <w:rsid w:val="00D01B57"/>
    <w:rsid w:val="00D0431A"/>
    <w:rsid w:val="00D300CA"/>
    <w:rsid w:val="00D323AD"/>
    <w:rsid w:val="00D36CC5"/>
    <w:rsid w:val="00D528ED"/>
    <w:rsid w:val="00DB401B"/>
    <w:rsid w:val="00DB441B"/>
    <w:rsid w:val="00E87C81"/>
    <w:rsid w:val="00EA268E"/>
    <w:rsid w:val="00F13DEC"/>
    <w:rsid w:val="00F14F9B"/>
    <w:rsid w:val="00F17987"/>
    <w:rsid w:val="00F2043D"/>
    <w:rsid w:val="00F235CD"/>
    <w:rsid w:val="00F25AEF"/>
    <w:rsid w:val="00F271EC"/>
    <w:rsid w:val="00F46522"/>
    <w:rsid w:val="00F50EF6"/>
    <w:rsid w:val="00F75370"/>
    <w:rsid w:val="00F843C5"/>
    <w:rsid w:val="00F92B53"/>
    <w:rsid w:val="00FA4A86"/>
    <w:rsid w:val="00FF0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B7808"/>
  <w15:chartTrackingRefBased/>
  <w15:docId w15:val="{50242B3E-B38F-4929-A9AF-FD84F40B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720"/>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nakZnak">
    <w:name w:val="Znak Znak"/>
    <w:basedOn w:val="Normal"/>
    <w:rsid w:val="00CB079B"/>
    <w:pPr>
      <w:spacing w:after="0" w:line="360" w:lineRule="auto"/>
    </w:pPr>
    <w:rPr>
      <w:rFonts w:ascii="Verdana" w:hAnsi="Verdana"/>
      <w:sz w:val="20"/>
      <w:lang w:eastAsia="pl-PL"/>
    </w:rPr>
  </w:style>
  <w:style w:type="paragraph" w:styleId="ListParagraph">
    <w:name w:val="List Paragraph"/>
    <w:basedOn w:val="Normal"/>
    <w:uiPriority w:val="34"/>
    <w:qFormat/>
    <w:rsid w:val="0093333D"/>
    <w:pPr>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913C70"/>
    <w:rPr>
      <w:sz w:val="16"/>
      <w:szCs w:val="16"/>
    </w:rPr>
  </w:style>
  <w:style w:type="paragraph" w:styleId="CommentText">
    <w:name w:val="annotation text"/>
    <w:basedOn w:val="Normal"/>
    <w:link w:val="CommentTextChar"/>
    <w:uiPriority w:val="99"/>
    <w:semiHidden/>
    <w:unhideWhenUsed/>
    <w:rsid w:val="00913C70"/>
    <w:rPr>
      <w:sz w:val="20"/>
    </w:rPr>
  </w:style>
  <w:style w:type="character" w:customStyle="1" w:styleId="CommentTextChar">
    <w:name w:val="Comment Text Char"/>
    <w:basedOn w:val="DefaultParagraphFont"/>
    <w:link w:val="CommentText"/>
    <w:uiPriority w:val="99"/>
    <w:semiHidden/>
    <w:rsid w:val="00913C70"/>
    <w:rPr>
      <w:rFonts w:ascii="Courier New" w:eastAsia="Times New Roman" w:hAnsi="Courier New"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913C70"/>
    <w:rPr>
      <w:b/>
      <w:bCs/>
    </w:rPr>
  </w:style>
  <w:style w:type="character" w:customStyle="1" w:styleId="CommentSubjectChar">
    <w:name w:val="Comment Subject Char"/>
    <w:basedOn w:val="CommentTextChar"/>
    <w:link w:val="CommentSubject"/>
    <w:uiPriority w:val="99"/>
    <w:semiHidden/>
    <w:rsid w:val="00913C70"/>
    <w:rPr>
      <w:rFonts w:ascii="Courier New" w:eastAsia="Times New Roman" w:hAnsi="Courier New" w:cs="Times New Roman"/>
      <w:b/>
      <w:bCs/>
      <w:sz w:val="20"/>
      <w:szCs w:val="20"/>
      <w:lang w:val="fr-FR" w:eastAsia="en-GB"/>
    </w:rPr>
  </w:style>
  <w:style w:type="paragraph" w:styleId="Revision">
    <w:name w:val="Revision"/>
    <w:hidden/>
    <w:uiPriority w:val="99"/>
    <w:semiHidden/>
    <w:rsid w:val="00B93639"/>
    <w:pPr>
      <w:spacing w:after="0" w:line="240" w:lineRule="auto"/>
    </w:pPr>
    <w:rPr>
      <w:rFonts w:ascii="Courier New" w:eastAsia="Times New Roman" w:hAnsi="Courier New" w:cs="Times New Roman"/>
      <w:sz w:val="24"/>
      <w:szCs w:val="20"/>
      <w:lang w:eastAsia="en-GB"/>
    </w:rPr>
  </w:style>
  <w:style w:type="paragraph" w:styleId="NormalWeb">
    <w:name w:val="Normal (Web)"/>
    <w:basedOn w:val="Normal"/>
    <w:uiPriority w:val="99"/>
    <w:semiHidden/>
    <w:unhideWhenUsed/>
    <w:rsid w:val="00675B79"/>
    <w:pPr>
      <w:spacing w:before="100" w:beforeAutospacing="1" w:after="100" w:afterAutospacing="1"/>
      <w:jc w:val="left"/>
    </w:pPr>
    <w:rPr>
      <w:rFonts w:ascii="Times New Roman" w:hAnsi="Times New Roman"/>
      <w:szCs w:val="24"/>
      <w:lang w:eastAsia="en-IE"/>
    </w:rPr>
  </w:style>
  <w:style w:type="paragraph" w:styleId="BalloonText">
    <w:name w:val="Balloon Text"/>
    <w:basedOn w:val="Normal"/>
    <w:link w:val="BalloonTextChar"/>
    <w:uiPriority w:val="99"/>
    <w:semiHidden/>
    <w:unhideWhenUsed/>
    <w:rsid w:val="008E2C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76"/>
    <w:rPr>
      <w:rFonts w:ascii="Segoe UI" w:eastAsia="Times New Roman" w:hAnsi="Segoe UI" w:cs="Segoe UI"/>
      <w:sz w:val="18"/>
      <w:szCs w:val="18"/>
      <w:lang w:val="fr-FR" w:eastAsia="en-GB"/>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single space,fn"/>
    <w:basedOn w:val="Normal"/>
    <w:link w:val="FootnoteTextChar"/>
    <w:uiPriority w:val="99"/>
    <w:unhideWhenUsed/>
    <w:qFormat/>
    <w:rsid w:val="00941CF8"/>
    <w:pPr>
      <w:spacing w:after="0"/>
    </w:pPr>
    <w:rPr>
      <w:sz w:val="20"/>
    </w:rPr>
  </w:style>
  <w:style w:type="character" w:customStyle="1" w:styleId="FootnoteTextChar">
    <w:name w:val="Footnote Text Char"/>
    <w:aliases w:val="Footnote Text Char1 Char Char1,Footnote Text Char Char Char Char1,Fußnotentext Char Char1 Char Char Char1,Fußnotentext Char1 Char1 Char Char Char Char1,Fußnotentext Char Char Char Char Char Char Char1 Char1,Footnote Text Char1 Char2"/>
    <w:basedOn w:val="DefaultParagraphFont"/>
    <w:link w:val="FootnoteText"/>
    <w:uiPriority w:val="99"/>
    <w:semiHidden/>
    <w:rsid w:val="00941CF8"/>
    <w:rPr>
      <w:rFonts w:ascii="Courier New" w:eastAsia="Times New Roman" w:hAnsi="Courier New" w:cs="Times New Roman"/>
      <w:sz w:val="20"/>
      <w:szCs w:val="20"/>
      <w:lang w:val="fr-FR"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basedOn w:val="DefaultParagraphFont"/>
    <w:link w:val="ftrefCharCharCharCharCharCharCharCharChar"/>
    <w:uiPriority w:val="99"/>
    <w:unhideWhenUsed/>
    <w:qFormat/>
    <w:rsid w:val="00941CF8"/>
    <w:rPr>
      <w:vertAlign w:val="superscript"/>
    </w:rPr>
  </w:style>
  <w:style w:type="character" w:styleId="Hyperlink">
    <w:name w:val="Hyperlink"/>
    <w:basedOn w:val="DefaultParagraphFont"/>
    <w:uiPriority w:val="99"/>
    <w:unhideWhenUsed/>
    <w:rsid w:val="00B3395D"/>
    <w:rPr>
      <w:color w:val="0563C1" w:themeColor="hyperlink"/>
      <w:u w:val="single"/>
    </w:rPr>
  </w:style>
  <w:style w:type="character" w:styleId="FollowedHyperlink">
    <w:name w:val="FollowedHyperlink"/>
    <w:basedOn w:val="DefaultParagraphFont"/>
    <w:uiPriority w:val="99"/>
    <w:semiHidden/>
    <w:unhideWhenUsed/>
    <w:rsid w:val="009B711C"/>
    <w:rPr>
      <w:color w:val="954F72" w:themeColor="followedHyperlink"/>
      <w:u w:val="single"/>
    </w:rPr>
  </w:style>
  <w:style w:type="character" w:styleId="UnresolvedMention">
    <w:name w:val="Unresolved Mention"/>
    <w:basedOn w:val="DefaultParagraphFont"/>
    <w:uiPriority w:val="99"/>
    <w:semiHidden/>
    <w:unhideWhenUsed/>
    <w:rsid w:val="00303973"/>
    <w:rPr>
      <w:color w:val="605E5C"/>
      <w:shd w:val="clear" w:color="auto" w:fill="E1DFDD"/>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qFormat/>
    <w:rsid w:val="00F17987"/>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F17987"/>
    <w:pPr>
      <w:spacing w:after="160" w:line="240" w:lineRule="exact"/>
      <w:jc w:val="left"/>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79544">
      <w:bodyDiv w:val="1"/>
      <w:marLeft w:val="0"/>
      <w:marRight w:val="0"/>
      <w:marTop w:val="0"/>
      <w:marBottom w:val="0"/>
      <w:divBdr>
        <w:top w:val="none" w:sz="0" w:space="0" w:color="auto"/>
        <w:left w:val="none" w:sz="0" w:space="0" w:color="auto"/>
        <w:bottom w:val="none" w:sz="0" w:space="0" w:color="auto"/>
        <w:right w:val="none" w:sz="0" w:space="0" w:color="auto"/>
      </w:divBdr>
    </w:div>
    <w:div w:id="170945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igital-strategy.ec.europa.eu/en/library/media-literacy-guidelines" TargetMode="External"/><Relationship Id="rId3" Type="http://schemas.openxmlformats.org/officeDocument/2006/relationships/hyperlink" Target="https://op.europa.eu/en/publication-detail/-/publication/41f4a695-f465-11ed-a05c-01aa75ed71a1/language-en" TargetMode="External"/><Relationship Id="rId7" Type="http://schemas.openxmlformats.org/officeDocument/2006/relationships/hyperlink" Target="https://eur-lex.europa.eu/eli/reg/2022/2065/oj" TargetMode="External"/><Relationship Id="rId2" Type="http://schemas.openxmlformats.org/officeDocument/2006/relationships/hyperlink" Target="https://digital-strategy.ec.europa.eu/fr/library/commission-reports-promotion-european-works-audiovisual-media-services?pk_campaign=Shaping%20Europe%E2%80%99s%20Digital%20Future&amp;pk_medium=email&amp;pk_source=ec_newsroom" TargetMode="External"/><Relationship Id="rId1" Type="http://schemas.openxmlformats.org/officeDocument/2006/relationships/hyperlink" Target="https://digital-strategy.ec.europa.eu/fr/library/commission-reports-promotion-european-works-audiovisual-media-services?pk_campaign=Shaping%20Europe%E2%80%99s%20Digital%20Future&amp;pk_medium=email&amp;pk_source=ec_newsroom" TargetMode="External"/><Relationship Id="rId6" Type="http://schemas.openxmlformats.org/officeDocument/2006/relationships/hyperlink" Target="https://eur-lex.europa.eu/legal-content/FR/TXT/?uri=CELEX:32022R1925" TargetMode="External"/><Relationship Id="rId5" Type="http://schemas.openxmlformats.org/officeDocument/2006/relationships/hyperlink" Target="https://digital-strategy.ec.europa.eu/en/library/european-media-industry-outlook" TargetMode="External"/><Relationship Id="rId4" Type="http://schemas.openxmlformats.org/officeDocument/2006/relationships/hyperlink" Target="https://digital-strategy.ec.europa.eu/en/library/european-media-industry-outl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79C6C-AA8B-4413-AA41-4271D3CA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2615</Words>
  <Characters>14564</Characters>
  <Application>Microsoft Office Word</Application>
  <DocSecurity>0</DocSecurity>
  <Lines>187</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GAIU Andrei (CNECT)</dc:creator>
  <cp:keywords/>
  <dc:description/>
  <cp:lastModifiedBy>DELBAER Gerda (SG)</cp:lastModifiedBy>
  <cp:revision>2</cp:revision>
  <dcterms:created xsi:type="dcterms:W3CDTF">2023-09-15T14:21:00Z</dcterms:created>
  <dcterms:modified xsi:type="dcterms:W3CDTF">2023-09-15T14:21:00Z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2023-05-30T07:31:59Z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0ef5d91b-d315-4752-86e7-6bb4e36efabb</vt:lpwstr>
  </property>
  <property fmtid="{D5CDD505-2E9C-101B-9397-08002B2CF9AE}" pid="8" name="MSIP_Label_6bd9ddd1-4d20-43f6-abfa-fc3c07406f94_ContentBits">
    <vt:lpwstr>0</vt:lpwstr>
  </property>
</Properties>
</file>