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1203" w14:textId="77777777" w:rsidR="0026432C" w:rsidRPr="00411ACF" w:rsidRDefault="0026432C" w:rsidP="0026432C">
      <w:pPr>
        <w:spacing w:after="600"/>
        <w:jc w:val="center"/>
        <w:rPr>
          <w:rFonts w:ascii="Times New Roman" w:hAnsi="Times New Roman"/>
          <w:b/>
        </w:rPr>
      </w:pPr>
      <w:bookmarkStart w:id="0" w:name="Istambul"/>
      <w:bookmarkStart w:id="1" w:name="mobility"/>
      <w:r>
        <w:rPr>
          <w:rFonts w:ascii="Times New Roman" w:hAnsi="Times New Roman"/>
          <w:b/>
        </w:rPr>
        <w:t>Suite donnée à la résolution non législative du Parlement européen sur le nouveau cadre de mobilité urbaine de l’Union</w:t>
      </w:r>
    </w:p>
    <w:bookmarkEnd w:id="0"/>
    <w:bookmarkEnd w:id="1"/>
    <w:p w14:paraId="2D32C493" w14:textId="77777777" w:rsidR="0026432C" w:rsidRPr="000A7987" w:rsidRDefault="0026432C" w:rsidP="0026432C">
      <w:pPr>
        <w:numPr>
          <w:ilvl w:val="0"/>
          <w:numId w:val="1"/>
        </w:numPr>
        <w:ind w:left="567" w:hanging="567"/>
        <w:rPr>
          <w:rFonts w:ascii="Times New Roman" w:hAnsi="Times New Roman"/>
          <w:i/>
          <w:szCs w:val="24"/>
        </w:rPr>
      </w:pPr>
      <w:r>
        <w:rPr>
          <w:rFonts w:ascii="Times New Roman" w:hAnsi="Times New Roman"/>
          <w:b/>
        </w:rPr>
        <w:t xml:space="preserve">État membre rapporteur: </w:t>
      </w:r>
      <w:r>
        <w:rPr>
          <w:rFonts w:ascii="Times New Roman" w:hAnsi="Times New Roman"/>
        </w:rPr>
        <w:t>Andrey NOVAKOV (PPE/BG)</w:t>
      </w:r>
    </w:p>
    <w:p w14:paraId="0FABF9D2" w14:textId="77777777" w:rsidR="0026432C" w:rsidRPr="00411ACF" w:rsidRDefault="0026432C" w:rsidP="0026432C">
      <w:pPr>
        <w:numPr>
          <w:ilvl w:val="0"/>
          <w:numId w:val="1"/>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2022/2023 (INI) / A9-0108/2023 /</w:t>
      </w:r>
      <w:r>
        <w:t xml:space="preserve"> </w:t>
      </w:r>
      <w:r>
        <w:rPr>
          <w:rFonts w:ascii="Times New Roman" w:hAnsi="Times New Roman"/>
        </w:rPr>
        <w:t>PA_TA(2023)0130</w:t>
      </w:r>
    </w:p>
    <w:p w14:paraId="539BAC87" w14:textId="77777777" w:rsidR="0026432C" w:rsidRPr="00411ACF" w:rsidRDefault="0026432C" w:rsidP="0026432C">
      <w:pPr>
        <w:numPr>
          <w:ilvl w:val="0"/>
          <w:numId w:val="1"/>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9 mai 2023</w:t>
      </w:r>
    </w:p>
    <w:p w14:paraId="16369C93" w14:textId="77777777" w:rsidR="0026432C" w:rsidRPr="00411ACF" w:rsidRDefault="0026432C" w:rsidP="0026432C">
      <w:pPr>
        <w:numPr>
          <w:ilvl w:val="0"/>
          <w:numId w:val="1"/>
        </w:numPr>
        <w:ind w:left="567" w:hanging="567"/>
        <w:rPr>
          <w:rFonts w:ascii="Times New Roman" w:hAnsi="Times New Roman"/>
          <w:i/>
          <w:szCs w:val="24"/>
        </w:rPr>
      </w:pPr>
      <w:r>
        <w:rPr>
          <w:rFonts w:ascii="Times New Roman" w:hAnsi="Times New Roman"/>
          <w:b/>
        </w:rPr>
        <w:t>Commission parlementaire compétente:</w:t>
      </w:r>
      <w:r>
        <w:rPr>
          <w:rFonts w:ascii="Times New Roman" w:hAnsi="Times New Roman"/>
        </w:rPr>
        <w:t xml:space="preserve"> commission des transports et du tourisme (TRAN)</w:t>
      </w:r>
    </w:p>
    <w:p w14:paraId="48216B99" w14:textId="77777777" w:rsidR="0026432C" w:rsidRPr="00411ACF" w:rsidRDefault="0026432C" w:rsidP="0026432C">
      <w:pPr>
        <w:widowControl w:val="0"/>
        <w:numPr>
          <w:ilvl w:val="0"/>
          <w:numId w:val="1"/>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4529AF43" w14:textId="77777777" w:rsidR="0026432C" w:rsidRPr="00411ACF" w:rsidRDefault="0026432C" w:rsidP="0026432C">
      <w:pPr>
        <w:pStyle w:val="NormalWeb"/>
        <w:spacing w:before="0" w:beforeAutospacing="0" w:after="120" w:afterAutospacing="0"/>
        <w:jc w:val="both"/>
        <w:rPr>
          <w:szCs w:val="20"/>
        </w:rPr>
      </w:pPr>
      <w:r>
        <w:t>La résolution aborde de nombreux aspects de la mobilité urbaine et invite instamment la Commission à donner la priorité à une mobilité urbaine durable et à faible intensité de carbone dans ses politiques et initiatives. Elle souligne également l’importance d’une planification durable de la mobilité urbaine. La résolution souligne la nécessité de solutions multimodales intégrées qui accordent la priorité à une mobilité active et à des transports partagés et publics, en mettant l’accent sur les aspects liés au caractère abordable et à la connectivité, y compris avec les zones rurales et péri-urbaines et pour tous les groupes de la société. Un appel est également formulé en faveur d’une action accrue dans le domaine de la sécurité routière, en particulier pour protéger les usagers vulnérables de la route.</w:t>
      </w:r>
    </w:p>
    <w:p w14:paraId="6B357FA5" w14:textId="77777777" w:rsidR="0026432C" w:rsidRPr="00411ACF" w:rsidRDefault="0026432C" w:rsidP="0026432C">
      <w:pPr>
        <w:pStyle w:val="NormalWeb"/>
        <w:spacing w:before="0" w:beforeAutospacing="0" w:after="120" w:afterAutospacing="0"/>
        <w:jc w:val="both"/>
        <w:rPr>
          <w:szCs w:val="20"/>
        </w:rPr>
      </w:pPr>
      <w:r>
        <w:t>La résolution souligne le rôle important des données, de l’intelligence artificielle (IA) et des solutions numériques et insiste sur la nécessité d’une collaboration entre toutes les parties prenantes. Elle plaide également en faveur d’une action en matière de billetterie multimodale, d’une amélioration de l’accessibilité et de la lutte contre le bruit des transports, ainsi qu’en faveur d’une stratégie européenne pour le vélo et de l’année 2024 en tant qu’Année européenne du vélo.</w:t>
      </w:r>
    </w:p>
    <w:p w14:paraId="7E6EC2C4" w14:textId="77777777" w:rsidR="0026432C" w:rsidRPr="00411ACF" w:rsidRDefault="0026432C" w:rsidP="0026432C">
      <w:pPr>
        <w:pStyle w:val="NormalWeb"/>
        <w:spacing w:before="0" w:beforeAutospacing="0" w:after="120" w:afterAutospacing="0"/>
        <w:jc w:val="both"/>
        <w:rPr>
          <w:szCs w:val="20"/>
        </w:rPr>
      </w:pPr>
      <w:r>
        <w:t>Le Parlement demande le développement de services de mobilité aérienne urbaine, des recommandations minimales communes sur la sécurité routière urbaine et l’harmonisation des normes techniques et des exigences en matière de micromobilité (trottinettes électriques).</w:t>
      </w:r>
    </w:p>
    <w:p w14:paraId="7A32D3B5" w14:textId="77777777" w:rsidR="0026432C" w:rsidRPr="00411ACF" w:rsidRDefault="0026432C" w:rsidP="0026432C">
      <w:pPr>
        <w:pStyle w:val="NormalWeb"/>
        <w:spacing w:before="0" w:beforeAutospacing="0" w:after="120" w:afterAutospacing="0"/>
        <w:jc w:val="both"/>
        <w:rPr>
          <w:iCs/>
        </w:rPr>
      </w:pPr>
      <w:r>
        <w:t>Le Parlement plaide pour une action visant à développer des transports transfrontaliers efficaces et fluides, en remédiant aux chaînons manquants et aux goulets d’étranglement et en garantissant une connectivité améliorée et plus durable entre les capitales et les grandes villes européennes. Il plaide en outre pour l’intégration du transport par voies navigables intérieures dans la mobilité urbaine et des conditions de concurrence équitables pour le transport ferroviaire afin d’améliorer la compétitivité du rail dans le transport urbain.</w:t>
      </w:r>
    </w:p>
    <w:p w14:paraId="0AF0C65C" w14:textId="77777777" w:rsidR="0026432C" w:rsidRPr="00411ACF" w:rsidRDefault="0026432C" w:rsidP="0026432C">
      <w:pPr>
        <w:widowControl w:val="0"/>
        <w:numPr>
          <w:ilvl w:val="0"/>
          <w:numId w:val="1"/>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p>
    <w:p w14:paraId="51F677C9"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5</w:t>
      </w:r>
      <w:r>
        <w:rPr>
          <w:rFonts w:ascii="Times New Roman" w:hAnsi="Times New Roman"/>
        </w:rPr>
        <w:t xml:space="preserve"> (villes plus inclusives et accessibles)</w:t>
      </w:r>
    </w:p>
    <w:p w14:paraId="775E34FB" w14:textId="77777777" w:rsidR="0026432C" w:rsidRPr="00411ACF" w:rsidRDefault="0026432C" w:rsidP="0026432C">
      <w:pPr>
        <w:spacing w:after="120"/>
        <w:rPr>
          <w:rFonts w:ascii="Times New Roman" w:hAnsi="Times New Roman"/>
          <w:szCs w:val="24"/>
          <w:u w:val="single"/>
        </w:rPr>
      </w:pPr>
      <w:r>
        <w:rPr>
          <w:rFonts w:ascii="Times New Roman" w:hAnsi="Times New Roman"/>
        </w:rPr>
        <w:t>Pour adapter la mobilité urbaine à l’avenir, l’accessibilité est un élément important. Environ 87 millions de personnes souffrent d’une forme de handicap dans l’UE et ce nombre devrait augmenter à mesure que la population vieillit. Par conséquent, la Commission sensibilise à cette question au moyen de l’Access City Award</w:t>
      </w:r>
      <w:r>
        <w:rPr>
          <w:rStyle w:val="FootnoteReference"/>
          <w:rFonts w:ascii="Times New Roman" w:eastAsia="Calibri" w:hAnsi="Times New Roman"/>
          <w:szCs w:val="24"/>
        </w:rPr>
        <w:footnoteReference w:id="1"/>
      </w:r>
      <w:r>
        <w:rPr>
          <w:rFonts w:ascii="Times New Roman" w:hAnsi="Times New Roman"/>
        </w:rPr>
        <w:t xml:space="preserve">. Chaque année, le prix récompense les villes </w:t>
      </w:r>
      <w:r>
        <w:rPr>
          <w:rFonts w:ascii="Times New Roman" w:hAnsi="Times New Roman"/>
        </w:rPr>
        <w:lastRenderedPageBreak/>
        <w:t>de plus de 50 000 habitants qui déploient des efforts remarquables pour devenir plus accessibles. Il s’agit notamment d’améliorer les trottoirs, les pistes cyclables et les systèmes de transport public.</w:t>
      </w:r>
    </w:p>
    <w:p w14:paraId="74236EA7"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6</w:t>
      </w:r>
      <w:r>
        <w:rPr>
          <w:rFonts w:ascii="Times New Roman" w:hAnsi="Times New Roman"/>
        </w:rPr>
        <w:t>: (inégalités d’accès aux réseaux de transport)</w:t>
      </w:r>
    </w:p>
    <w:p w14:paraId="0E58E50C" w14:textId="77777777" w:rsidR="0026432C" w:rsidRPr="00411ACF" w:rsidRDefault="0026432C" w:rsidP="0026432C">
      <w:pPr>
        <w:widowControl w:val="0"/>
        <w:spacing w:after="120"/>
        <w:rPr>
          <w:rFonts w:ascii="Times New Roman" w:hAnsi="Times New Roman"/>
          <w:szCs w:val="24"/>
        </w:rPr>
      </w:pPr>
      <w:r>
        <w:rPr>
          <w:rFonts w:ascii="Times New Roman" w:hAnsi="Times New Roman"/>
        </w:rPr>
        <w:t>En ce qui concerne les inégalités d’accès aux réseaux de transport et le soutien à la connectivité des petites villes et des zones péri-urbaines, la Commission a récemment actualisé le concept de plan de mobilité urbaine durable de l’UE (PMUD) (mars 2023), dans le cadre de sa recommandation relative aux programmes nationaux de soutien aux PMUD. Ce concept inclut les aspects de la connectivité entre les zones urbaines et péri-urbaines et rurales. En outre, le groupe d’experts sur la mobilité urbaine relancé par la Commission débattra des connexions en zone rurale, en particulier au sein de ses sous-groupes PMUD, transports publics et mobilité partagée. Avec le Fonds social pour le climat, la Commission a proposé une mesure visant à lutter contre les effets sociaux potentiels de la transition vers une économie à zéro émission nette là où ils pourraient survenir, au moyen d’un soutien financier directement lié à ladite transition. Le Fonds se concentre sur les groupes les plus vulnérables, tels que les ménages et les micro-entreprises, qui consacrent généralement une part plus importante de leurs revenus au chauffage et aux transports et qui seront donc touchés de manière disproportionnée par l’extension du système d’échange de quotas d’émission (SEQE) aux bâtiments et au transport routier. Les mesures admissibles que les États membres pourraient prendre consisteraient notamment à encourager l’utilisation des transports publics abordables et accessibles et à aider les entités privées et publiques, y compris les coopératives, à développer et à fournir une mobilité durable à la demande, des services de mobilité partagée et des options de mobilité active.</w:t>
      </w:r>
    </w:p>
    <w:p w14:paraId="0357B1E3" w14:textId="77777777" w:rsidR="0026432C" w:rsidRPr="00411ACF" w:rsidRDefault="0026432C" w:rsidP="0026432C">
      <w:pPr>
        <w:pStyle w:val="NormalHanging12a0"/>
        <w:spacing w:after="120"/>
        <w:ind w:left="0" w:firstLine="0"/>
        <w:jc w:val="both"/>
        <w:rPr>
          <w:szCs w:val="24"/>
        </w:rPr>
      </w:pPr>
      <w:r>
        <w:t>La recommandation du Conseil visant à assurer une transition équitable vers la neutralité climatique, adoptée en juin 2022, établit l’intention de la Commission de poursuivre la recherche et de renforcer les données probantes concernant la définition, le suivi et l’évaluation des progrès accomplis en vue de la fourniture d’un accès adéquat aux services essentiels, notamment en développant le concept de «précarité en matière de transports». Dans ce contexte, la Commission a lancé, en janvier 2023, et pour une durée de 15 mois, une étude sur une définition de la précarité en matière de transports et des indicateurs et politiques visant à lutter contre celle-ci.</w:t>
      </w:r>
    </w:p>
    <w:p w14:paraId="5650119A" w14:textId="77777777" w:rsidR="0026432C" w:rsidRPr="00411ACF" w:rsidRDefault="0026432C" w:rsidP="0026432C">
      <w:pPr>
        <w:pStyle w:val="NormalHanging12a0"/>
        <w:spacing w:after="120"/>
        <w:ind w:left="0" w:firstLine="0"/>
        <w:jc w:val="both"/>
        <w:rPr>
          <w:szCs w:val="24"/>
        </w:rPr>
      </w:pPr>
      <w:r>
        <w:t xml:space="preserve">Un accès inadéquat aux transports (englobant l’accessibilité, le caractère abordable et la disponibilité) peut renforcer les inégalités et exacerber la pauvreté de revenu, les difficultés d’accès au marché du travail et l’exclusion sociale. Il peut également compromettre les progrès indispensables de la transition écologique de manière globale. </w:t>
      </w:r>
    </w:p>
    <w:p w14:paraId="58C02D5E" w14:textId="77777777" w:rsidR="0026432C" w:rsidRPr="00411ACF" w:rsidRDefault="0026432C" w:rsidP="0026432C">
      <w:pPr>
        <w:pStyle w:val="NormalHanging12a0"/>
        <w:spacing w:after="120"/>
        <w:ind w:left="0" w:firstLine="0"/>
        <w:jc w:val="both"/>
        <w:rPr>
          <w:szCs w:val="24"/>
        </w:rPr>
      </w:pPr>
      <w:r>
        <w:t>L’étude aidera en particulier à mieux comprendre comment définir et mesurer la précarité en matière de transports, à évaluer et à proposer, le cas échéant, un cadre commun au niveau de l’UE (y compris sa définition, ses indicateurs et son cadre de suivi) pour y remédier, ainsi qu’à fournir des orientations aux responsables politiques sur les mesures permettant de prévenir et de combattre la pauvreté en matière de transports.</w:t>
      </w:r>
    </w:p>
    <w:p w14:paraId="5F99429E" w14:textId="77777777" w:rsidR="0026432C" w:rsidRPr="00411ACF" w:rsidRDefault="0026432C" w:rsidP="0026432C">
      <w:pPr>
        <w:pStyle w:val="NormalHanging12a0"/>
        <w:spacing w:after="120"/>
        <w:ind w:left="0" w:firstLine="0"/>
        <w:jc w:val="both"/>
        <w:rPr>
          <w:szCs w:val="24"/>
        </w:rPr>
      </w:pPr>
      <w:r>
        <w:t>Cette étude fournira à terme à la Commission et aux États membres un cadre plus complet pour orienter les politiques et les fonds au niveau de l’UE afin de lutter contre les inégalités d’accès aux transports.</w:t>
      </w:r>
    </w:p>
    <w:p w14:paraId="159D8E94" w14:textId="527CC1F6" w:rsidR="0026432C" w:rsidRPr="00411ACF" w:rsidRDefault="0026432C" w:rsidP="0026432C">
      <w:pPr>
        <w:spacing w:after="120"/>
        <w:rPr>
          <w:rFonts w:ascii="Times New Roman" w:hAnsi="Times New Roman"/>
          <w:szCs w:val="24"/>
        </w:rPr>
      </w:pPr>
      <w:r>
        <w:rPr>
          <w:rFonts w:ascii="Times New Roman" w:hAnsi="Times New Roman"/>
          <w:u w:val="single"/>
        </w:rPr>
        <w:t>Paragraphe 8</w:t>
      </w:r>
      <w:r w:rsidR="00D1689E">
        <w:rPr>
          <w:rFonts w:ascii="Times New Roman" w:hAnsi="Times New Roman"/>
          <w:u w:val="single"/>
        </w:rPr>
        <w:t> :</w:t>
      </w:r>
      <w:r>
        <w:rPr>
          <w:rFonts w:ascii="Times New Roman" w:hAnsi="Times New Roman"/>
        </w:rPr>
        <w:t xml:space="preserve"> (utilisation des recettes des taxes carbone)</w:t>
      </w:r>
    </w:p>
    <w:p w14:paraId="58737BD0" w14:textId="77777777" w:rsidR="0026432C" w:rsidRPr="00411ACF" w:rsidRDefault="0026432C" w:rsidP="0026432C">
      <w:pPr>
        <w:spacing w:after="120"/>
        <w:rPr>
          <w:rFonts w:ascii="Times New Roman" w:hAnsi="Times New Roman"/>
          <w:iCs/>
          <w:szCs w:val="24"/>
        </w:rPr>
      </w:pPr>
      <w:r>
        <w:rPr>
          <w:rFonts w:ascii="Times New Roman" w:hAnsi="Times New Roman"/>
        </w:rPr>
        <w:t xml:space="preserve">Bien que les taxes carbone ne soient pas harmonisées au niveau de l’UE, certains États membres ont introduit ces taxes pour contribuer à réduire les émissions de gaz à effet de serre (GES), en particulier dans les secteurs qui ne sont pas couverts par le SEQE de l’UE à l’heure </w:t>
      </w:r>
      <w:r>
        <w:rPr>
          <w:rFonts w:ascii="Times New Roman" w:hAnsi="Times New Roman"/>
        </w:rPr>
        <w:lastRenderedPageBreak/>
        <w:t>actuelle. La Commission convient que des fonds publics pourraient être consacrés au passage de modes de transport plus polluants à des modes de transport moins polluants et, en particulier, au soutien aux ménages et aux usagers vulnérables. Le nouveau système d’échange de quotas d’émission de l’UE pour le bâtiment, le transport routier et d’autres secteurs industriels, ainsi que le nouveau Fonds social pour le climat, comportent des dispositions obligatoires sur l’utilisation des recettes pour les questions climatiques et sociales, notamment pour lutter contre la précarité en matière de transport.</w:t>
      </w:r>
    </w:p>
    <w:p w14:paraId="6161AF4E"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9</w:t>
      </w:r>
      <w:r>
        <w:rPr>
          <w:rFonts w:ascii="Times New Roman" w:hAnsi="Times New Roman"/>
        </w:rPr>
        <w:t>: (Journée européenne sans voiture)</w:t>
      </w:r>
    </w:p>
    <w:p w14:paraId="7B8F2DE1"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recommande aux villes d’organiser une journée sans voiture lors de la campagne annuelle de la Semaine européenne de la mobilité, idéalement le 21 septembre. En outre, de brèves instructions en 10 étapes sur la manière de préparer une journée sans voiture à tout moment de l’année sont disponibles sur le site web de la Semaine européenne de la mobilité. La Commission continuera à promouvoir une telle initiative et à mettre en évidence ses avantages; toutefois, son organisation ne peut pas être imposée en raison du principe de subsidiarité.</w:t>
      </w:r>
    </w:p>
    <w:p w14:paraId="3EE01C2E" w14:textId="77777777" w:rsidR="0026432C" w:rsidRPr="00411ACF" w:rsidRDefault="0026432C" w:rsidP="0026432C">
      <w:pPr>
        <w:keepNext/>
        <w:keepLines/>
        <w:spacing w:after="120"/>
        <w:rPr>
          <w:rFonts w:ascii="Times New Roman" w:hAnsi="Times New Roman"/>
          <w:szCs w:val="24"/>
          <w:u w:val="single"/>
        </w:rPr>
      </w:pPr>
      <w:r>
        <w:rPr>
          <w:rFonts w:ascii="Times New Roman" w:hAnsi="Times New Roman"/>
          <w:u w:val="single"/>
        </w:rPr>
        <w:t>Paragraphe 18: (droits des voyageurs)</w:t>
      </w:r>
    </w:p>
    <w:p w14:paraId="36A5EBE6" w14:textId="77777777" w:rsidR="0026432C" w:rsidRPr="00411ACF" w:rsidRDefault="0026432C" w:rsidP="0026432C">
      <w:pPr>
        <w:keepNext/>
        <w:keepLines/>
        <w:spacing w:after="120"/>
        <w:rPr>
          <w:rFonts w:ascii="Times New Roman" w:hAnsi="Times New Roman"/>
          <w:szCs w:val="24"/>
          <w:u w:val="single"/>
        </w:rPr>
      </w:pPr>
      <w:r>
        <w:rPr>
          <w:rFonts w:ascii="Times New Roman" w:hAnsi="Times New Roman"/>
        </w:rPr>
        <w:t>Les règles de l’UE relatives aux droits des voyageurs visent à protéger ces derniers contre toute forme de perturbation, en particulier les annulations et les retards des services de transport; elles répondent également aux besoins spécifiques des voyageurs handicapés et des voyageurs à mobilité réduite; enfin, elles confèrent aux voyageurs le droit d’introduire une réclamation et leur permettent de faire valoir leurs droits. Les droits des voyageurs dans tous les modes de transport contribuent à rendre les transports collectifs plus attrayants et plus conviviaux.</w:t>
      </w:r>
    </w:p>
    <w:p w14:paraId="1657B292"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20</w:t>
      </w:r>
      <w:r>
        <w:rPr>
          <w:rFonts w:ascii="Times New Roman" w:hAnsi="Times New Roman"/>
        </w:rPr>
        <w:t>: (mesures visant à améliorer la sécurité routière)</w:t>
      </w:r>
    </w:p>
    <w:p w14:paraId="3D6A409D" w14:textId="77777777" w:rsidR="0026432C" w:rsidRPr="00411ACF" w:rsidRDefault="0026432C" w:rsidP="0026432C">
      <w:pPr>
        <w:spacing w:after="120"/>
        <w:rPr>
          <w:rFonts w:ascii="Times New Roman" w:hAnsi="Times New Roman"/>
          <w:bCs/>
          <w:iCs/>
          <w:szCs w:val="24"/>
        </w:rPr>
      </w:pPr>
      <w:r>
        <w:rPr>
          <w:rFonts w:ascii="Times New Roman" w:hAnsi="Times New Roman"/>
        </w:rPr>
        <w:t>La Commission est de toute évidence fermement résolue à placer la sécurité routière, en particulier pour les usagers vulnérables de la route, au cœur de ses efforts en matière de mobilité urbaine et a adopté, le 24 mai 2023, une proposition de révision du règlement (CE) n° 561/2006 fixant les durées maximales de conduite journalière et hebdomadaire, les périodes minimales de pause et les temps minimaux de repos journalier et hebdomadaire pour les conducteurs dans le secteur des transports commerciaux.</w:t>
      </w:r>
      <w:r>
        <w:rPr>
          <w:rFonts w:ascii="Times New Roman" w:hAnsi="Times New Roman"/>
          <w:color w:val="000000" w:themeColor="text1"/>
          <w:shd w:val="clear" w:color="auto" w:fill="FFFFFF"/>
        </w:rPr>
        <w:t xml:space="preserve"> </w:t>
      </w:r>
      <w:r>
        <w:rPr>
          <w:rFonts w:ascii="Times New Roman" w:hAnsi="Times New Roman"/>
        </w:rPr>
        <w:t>La Commission travaille actuellement, en collaboration avec les membres du groupe d’experts sur la mobilité urbaine, à l’élaboration de lignes directrices sur des infrastructures routières de qualité pour la sécurité des usagers vulnérables de la route. La Commission soutient également les échanges de bonnes pratiques entre les autorités publiques et d’autres parties prenantes, en particulier en ce qui concerne la sécurité des usagers vulnérables de la route, par exemple dans le cadre des Échanges en matière de sécurité routière dans l’UE + et de la charte européenne de la sécurité routière. La formulation relative aux usagers vulnérables a été élargie et affinée à l’annexe II de la nouvelle proposition de directive sur le permis de conduire, relative aux connaissances minimales requises pour les examens de conduite.</w:t>
      </w:r>
    </w:p>
    <w:p w14:paraId="303D9C01" w14:textId="77777777" w:rsidR="0026432C" w:rsidRPr="00411ACF" w:rsidRDefault="0026432C" w:rsidP="0026432C">
      <w:pPr>
        <w:widowControl w:val="0"/>
        <w:spacing w:after="120"/>
        <w:rPr>
          <w:rFonts w:ascii="Times New Roman" w:hAnsi="Times New Roman"/>
          <w:bCs/>
          <w:iCs/>
          <w:szCs w:val="24"/>
        </w:rPr>
      </w:pPr>
      <w:r>
        <w:rPr>
          <w:rFonts w:ascii="Times New Roman" w:hAnsi="Times New Roman"/>
          <w:u w:val="single"/>
        </w:rPr>
        <w:t>Paragraphe 21</w:t>
      </w:r>
      <w:r>
        <w:rPr>
          <w:rFonts w:ascii="Times New Roman" w:hAnsi="Times New Roman"/>
        </w:rPr>
        <w:t>: (vitesse)</w:t>
      </w:r>
    </w:p>
    <w:p w14:paraId="4696AB74"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souligne régulièrement l’importance d’une bonne gestion de la vitesse dans son soutien aux autorités locales, régionales et nationales, y compris dans le cadre des projets susmentionnés, ainsi que dans les documents d’orientation sur les PMUD.</w:t>
      </w:r>
    </w:p>
    <w:p w14:paraId="1D3C59DC" w14:textId="77777777" w:rsidR="0026432C" w:rsidRPr="00411ACF" w:rsidRDefault="0026432C" w:rsidP="0026432C">
      <w:pPr>
        <w:widowControl w:val="0"/>
        <w:spacing w:after="120"/>
        <w:rPr>
          <w:rFonts w:ascii="Times New Roman" w:hAnsi="Times New Roman"/>
          <w:szCs w:val="24"/>
        </w:rPr>
      </w:pPr>
      <w:r>
        <w:rPr>
          <w:rFonts w:ascii="Times New Roman" w:hAnsi="Times New Roman"/>
        </w:rPr>
        <w:t>Dans le cadre du projet OSCCAR d’Horizon 2020 - future sécurité des occupants pour les accidents de voiture, la Commission a financé la recherche sur de meilleurs «modèles de corps humain» afin de permettre des recherches plus ciblées sur des scénarios d’accident complexes pour les occupants de véhicules de différents genres, âges, tailles et poids.</w:t>
      </w:r>
    </w:p>
    <w:p w14:paraId="2F5002CC" w14:textId="77777777" w:rsidR="0026432C" w:rsidRPr="00411ACF" w:rsidRDefault="0026432C" w:rsidP="0026432C">
      <w:pPr>
        <w:widowControl w:val="0"/>
        <w:spacing w:after="120"/>
        <w:rPr>
          <w:rFonts w:ascii="Times New Roman" w:hAnsi="Times New Roman"/>
          <w:szCs w:val="24"/>
          <w:u w:val="single"/>
        </w:rPr>
      </w:pPr>
      <w:r>
        <w:rPr>
          <w:rFonts w:ascii="Times New Roman" w:hAnsi="Times New Roman"/>
          <w:u w:val="single"/>
        </w:rPr>
        <w:lastRenderedPageBreak/>
        <w:t>Paragraphe 22: (dispositifs de sécurité active/passive dans les voitures)</w:t>
      </w:r>
    </w:p>
    <w:p w14:paraId="2B881697" w14:textId="77777777" w:rsidR="0026432C" w:rsidRPr="00411ACF" w:rsidRDefault="0026432C" w:rsidP="0026432C">
      <w:pPr>
        <w:widowControl w:val="0"/>
        <w:spacing w:after="120"/>
        <w:rPr>
          <w:rFonts w:ascii="Times New Roman" w:hAnsi="Times New Roman"/>
          <w:szCs w:val="24"/>
        </w:rPr>
      </w:pPr>
      <w:r>
        <w:rPr>
          <w:rFonts w:ascii="Times New Roman" w:hAnsi="Times New Roman"/>
        </w:rPr>
        <w:t>Par son évaluation des indicateurs de performance clés dans le cadre du projet Baseline et du projet Trendline actuel, la Commission soutient l’analyse de l’utilisation des ceintures de sécurité et des systèmes de retenue pour enfants en vue de conseiller les autorités nationales, régionales et locales sur la meilleure manière de résoudre ce problème.</w:t>
      </w:r>
    </w:p>
    <w:p w14:paraId="1ED76777"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Le service d’appel d'urgence 112 est obligatoire pour les nouveaux types de voitures particulières et de véhicules utilitaires légers depuis le 31 mars 2018. Il compose automatiquement le 112, le numéro d'appel d'urgence unique européen, en cas d'accident grave et communique l’emplacement du véhicule au centre de réception des appels d’urgence. Pour soutenir ce service après un accident, il est primordial que les réseaux de communications mobiles concernés soient disponibles sur l’ensemble du réseau de transport routier.</w:t>
      </w:r>
    </w:p>
    <w:p w14:paraId="48A8F415"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23</w:t>
      </w:r>
      <w:r>
        <w:rPr>
          <w:rFonts w:ascii="Times New Roman" w:hAnsi="Times New Roman"/>
        </w:rPr>
        <w:t>: (objectifs et actions de l’UE en matière de sécurité routière dans les lignes directrices relatives aux PMUD)</w:t>
      </w:r>
    </w:p>
    <w:p w14:paraId="14A897C8"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rappelle que les documents de référence relatifs aux PMUD sur la sécurité routière urbaine et les déplacements actifs dans la planification de la mobilité urbaine durable sont disponibles sur eltis.org depuis 2019 et qu’ils incluent l’objectif «Vision zéro». Les indicateurs harmonisés de mobilité urbaine durable (SUMI) comprendront également un ensemble essentiel d’indicateurs de sécurité routière, qui sont cruciaux au suivi de la situation en matière de sécurité routière dans les zones urbaines.</w:t>
      </w:r>
    </w:p>
    <w:p w14:paraId="22D39871"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24</w:t>
      </w:r>
      <w:r>
        <w:rPr>
          <w:rFonts w:ascii="Times New Roman" w:hAnsi="Times New Roman"/>
        </w:rPr>
        <w:t>: (sécurité routière - sensibilisation et formation)</w:t>
      </w:r>
    </w:p>
    <w:p w14:paraId="2A8BF727"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L’éducation et la formation en matière de sécurité routière sont assurément un élément clé de l’approche dite du système sûr. La Commission soutient et récompense les approches innovantes en matière d’éducation et de formation dans les écoles, par exemple au moyen des prix annuels de l’excellence en matière de sécurité routière, a financé, dans le cadre d’Erasmus +, l’élaboration d’un programme scolaire sur la sécurité routière et encourage les échanges de bonnes pratiques en matière d’éducation à la sécurité routière dans le cadre des Échanges en matière de sécurité routière dans l’UE +.</w:t>
      </w:r>
    </w:p>
    <w:p w14:paraId="56954D50"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25</w:t>
      </w:r>
      <w:r>
        <w:rPr>
          <w:rFonts w:ascii="Times New Roman" w:hAnsi="Times New Roman"/>
        </w:rPr>
        <w:t>: (directive relative au permis de conduire)</w:t>
      </w:r>
    </w:p>
    <w:p w14:paraId="38C3CE1B" w14:textId="77777777" w:rsidR="0026432C" w:rsidRPr="00411ACF" w:rsidRDefault="0026432C" w:rsidP="0026432C">
      <w:pPr>
        <w:widowControl w:val="0"/>
        <w:spacing w:after="120"/>
        <w:rPr>
          <w:rFonts w:ascii="Times New Roman" w:hAnsi="Times New Roman"/>
          <w:szCs w:val="24"/>
        </w:rPr>
      </w:pPr>
      <w:r>
        <w:rPr>
          <w:rFonts w:ascii="Times New Roman" w:hAnsi="Times New Roman"/>
        </w:rPr>
        <w:t>Dans sa récente proposition de révision de la directive relative au permis de conduire, la Commission a proposé de renforcer la formation des conducteurs, notamment en sensibilisant davantage aux risques liés aux interactions avec les usagers vulnérables de la route et en s’adaptant aux dernières technologies des véhicules.</w:t>
      </w:r>
    </w:p>
    <w:p w14:paraId="4AC6A5B1"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26</w:t>
      </w:r>
      <w:r>
        <w:rPr>
          <w:rFonts w:ascii="Times New Roman" w:hAnsi="Times New Roman"/>
        </w:rPr>
        <w:t>: (accessibilité pour tous)</w:t>
      </w:r>
    </w:p>
    <w:p w14:paraId="41CF66DF"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L’appel à rendre les transports urbains plus accessibles est pleinement soutenu par les objectifs de la stratégie de mobilité durable et intelligente et par le cadre pour la mobilité urbaine. À ce jour, la Commission n’a pas prévu de publier des orientations concernant l’accessibilité, l’inclusion, le caractère abordable, la durabilité, la sûreté et la sécurité pour tous les usagers et non-usagers des transports, en particulier pour les personnes handicapées ou à mobilité réduite. L’accessibilité consiste à adopter une approche de conception pour tous qui profite à tous les utilisateurs.</w:t>
      </w:r>
    </w:p>
    <w:p w14:paraId="4CAA3E3F" w14:textId="77777777" w:rsidR="0026432C" w:rsidRPr="00411ACF" w:rsidRDefault="0026432C" w:rsidP="0026432C">
      <w:pPr>
        <w:pStyle w:val="NormalHanging12a0"/>
        <w:spacing w:after="120"/>
        <w:ind w:left="0" w:firstLine="0"/>
        <w:jc w:val="both"/>
        <w:rPr>
          <w:szCs w:val="24"/>
        </w:rPr>
      </w:pPr>
      <w:r>
        <w:t>L’étude sur la précarité en matière de transports réalisée par la Commission tient compte des spécificités des différents groupes, y compris le genre, les personnes handicapées, les migrants et d’autres groupes vulnérables, ainsi que les spécificités rurales et urbaines.</w:t>
      </w:r>
    </w:p>
    <w:p w14:paraId="3A22CA6F" w14:textId="77777777" w:rsidR="0026432C" w:rsidRPr="00411ACF" w:rsidRDefault="0026432C" w:rsidP="0026432C">
      <w:pPr>
        <w:spacing w:after="120"/>
        <w:rPr>
          <w:rFonts w:ascii="Times New Roman" w:hAnsi="Times New Roman"/>
          <w:szCs w:val="24"/>
        </w:rPr>
      </w:pPr>
      <w:r>
        <w:rPr>
          <w:rFonts w:ascii="Times New Roman" w:hAnsi="Times New Roman"/>
        </w:rPr>
        <w:t xml:space="preserve">L’accessibilité aux environnements construits et virtuels, aux technologies de l’information et de la communication (TIC), aux biens et aux services, y compris aux transports et aux </w:t>
      </w:r>
      <w:r>
        <w:rPr>
          <w:rFonts w:ascii="Times New Roman" w:hAnsi="Times New Roman"/>
        </w:rPr>
        <w:lastRenderedPageBreak/>
        <w:t>infrastructures est un outil d’exercice des droits et une condition préalable à la pleine participation des personnes handicapées sur la base de l’égalité avec les autres.</w:t>
      </w:r>
    </w:p>
    <w:p w14:paraId="63BCCC1B" w14:textId="77777777" w:rsidR="0026432C" w:rsidRPr="00411ACF" w:rsidRDefault="0026432C" w:rsidP="0026432C">
      <w:pPr>
        <w:spacing w:after="120"/>
        <w:rPr>
          <w:rFonts w:ascii="Times New Roman" w:hAnsi="Times New Roman"/>
          <w:szCs w:val="24"/>
        </w:rPr>
      </w:pPr>
      <w:r>
        <w:rPr>
          <w:rFonts w:ascii="Times New Roman" w:hAnsi="Times New Roman"/>
        </w:rPr>
        <w:t>Les exigences en matière d’accessibilité énoncées dans l’acte législatif européen sur l’accessibilité (directive 2019/882)</w:t>
      </w:r>
      <w:r>
        <w:rPr>
          <w:rStyle w:val="FootnoteReference"/>
          <w:rFonts w:ascii="Times New Roman" w:hAnsi="Times New Roman"/>
          <w:szCs w:val="24"/>
        </w:rPr>
        <w:footnoteReference w:id="2"/>
      </w:r>
      <w:r>
        <w:rPr>
          <w:rFonts w:ascii="Times New Roman" w:hAnsi="Times New Roman"/>
        </w:rPr>
        <w:t xml:space="preserve"> concernent certains services de transport. Elles sont également obligatoires dans les marchés publics et lors de l’utilisation de fonds de l’UE qui comportent des obligations en matière d’accessibilité. En outre, les exigences peuvent servir d’inspiration aux États membres pour améliorer l’accessibilité dans les domaines de la mobilité urbaine relevant de leurs compétences. La date limite de transposition de la directive était fixée au 28 juin 2022. La Commission vérifie si les États membres transposent intégralement et correctement la directive dans leur législation nationale et elle reste disposée à soutenir les États membres, non seulement dans la transposition, mais aussi dans la préparation de son application.</w:t>
      </w:r>
    </w:p>
    <w:p w14:paraId="5CEF0219"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29</w:t>
      </w:r>
      <w:r>
        <w:rPr>
          <w:rFonts w:ascii="Times New Roman" w:hAnsi="Times New Roman"/>
        </w:rPr>
        <w:t>: (amélioration de l’accès aux métros, au transport ferroviaire, aux bus, aux tramways et aux solutions de mobilité partagée)</w:t>
      </w:r>
    </w:p>
    <w:p w14:paraId="58304E33" w14:textId="77777777" w:rsidR="0026432C" w:rsidRPr="00411ACF" w:rsidRDefault="0026432C" w:rsidP="0026432C">
      <w:pPr>
        <w:widowControl w:val="0"/>
        <w:spacing w:after="120"/>
        <w:rPr>
          <w:rFonts w:ascii="Times New Roman" w:hAnsi="Times New Roman"/>
          <w:szCs w:val="24"/>
        </w:rPr>
      </w:pPr>
      <w:r>
        <w:rPr>
          <w:rFonts w:ascii="Times New Roman" w:hAnsi="Times New Roman"/>
        </w:rPr>
        <w:t xml:space="preserve">L’accessibilité des métros, des bus, des tramways, etc. au-delà de ce qui est requis dans le cadre du réseau transeuropéen de transport (RTE-T) relève principalement de la compétence des États membres ou des autorités régionales. </w:t>
      </w:r>
      <w:r>
        <w:rPr>
          <w:rFonts w:ascii="Times New Roman" w:hAnsi="Times New Roman"/>
          <w:shd w:val="clear" w:color="auto" w:fill="FFFFFF"/>
        </w:rPr>
        <w:t>La spécification technique d’interopérabilité «Personnes à mobilité réduite» (</w:t>
      </w:r>
      <w:r>
        <w:rPr>
          <w:rFonts w:ascii="Times New Roman" w:hAnsi="Times New Roman"/>
        </w:rPr>
        <w:t>STI PRM) comprend des exigences visant à rendre plus accessibles le matériel roulant et l’infrastructure ferroviaires neufs ou rénovés. Dans le cadre de la stratégie en faveur des droits des personnes handicapées 2021-2030, la Commission adoptera, le 6 septembre 2023, une proposition de carte européenne du handicap. Des discussions sont toujours en cours sur la question de savoir dans quelle mesure cette initiative couvrirait le secteur des transports, y compris en ce qui concerne le stationnement.</w:t>
      </w:r>
    </w:p>
    <w:p w14:paraId="5034E18E" w14:textId="77777777" w:rsidR="0026432C" w:rsidRPr="00411ACF" w:rsidRDefault="0026432C" w:rsidP="0026432C">
      <w:pPr>
        <w:pStyle w:val="Briefingtext"/>
        <w:rPr>
          <w:rFonts w:ascii="Times New Roman" w:hAnsi="Times New Roman" w:cs="Times New Roman"/>
          <w:sz w:val="24"/>
        </w:rPr>
      </w:pPr>
      <w:r>
        <w:rPr>
          <w:rFonts w:ascii="Times New Roman" w:hAnsi="Times New Roman"/>
          <w:sz w:val="24"/>
        </w:rPr>
        <w:t>Fin 2022, la Commission a lancé l’initiative phare AccessibleEU. Il s’agira d’un centre européen de ressources sur l’accessibilité pour les personnes handicapées, dont l’objectif est d’accroître les capacités de l’UE en matière d’accessibilité. Il soutiendra la mise en œuvre de la législation et des politiques de l’UE en matière d’accessibilité, mettra en relation les parties prenantes, créera un guichet unique pour les connaissances sur l’accessibilité et formera les professionnels de l’accessibilité. Une combinaison d’activités au niveau national et au niveau de l’UE visera à atteindre le plus grand nombre possible d’États membres parmi tous les États membres, en assurant un équilibre entre connaissances générales et connaissances techniques en matière d’accessibilité, en fonction des besoins. L’accessibilité dans les transports est également couverte par cette initiative.</w:t>
      </w:r>
    </w:p>
    <w:p w14:paraId="17BDD510" w14:textId="77777777" w:rsidR="0026432C" w:rsidRPr="00411ACF" w:rsidRDefault="0026432C" w:rsidP="0026432C">
      <w:pPr>
        <w:widowControl w:val="0"/>
        <w:spacing w:after="120"/>
        <w:rPr>
          <w:rFonts w:ascii="Times New Roman" w:hAnsi="Times New Roman"/>
          <w:szCs w:val="24"/>
          <w:u w:val="single"/>
        </w:rPr>
      </w:pPr>
      <w:r>
        <w:rPr>
          <w:rFonts w:ascii="Times New Roman" w:hAnsi="Times New Roman"/>
          <w:u w:val="single"/>
        </w:rPr>
        <w:t>Paragraphe 30: (vélo)</w:t>
      </w:r>
    </w:p>
    <w:p w14:paraId="68A37D6F"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Le 9 mars 2023, Frans Timmermans, vice-président exécutif de la Commission, a annoncé que cette dernière présenterait cette année une déclaration interinstitutionnelle sur le vélo.</w:t>
      </w:r>
    </w:p>
    <w:p w14:paraId="630FF51F"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Paragraphes 32 et 33</w:t>
      </w:r>
      <w:r>
        <w:rPr>
          <w:rFonts w:ascii="Times New Roman" w:hAnsi="Times New Roman"/>
        </w:rPr>
        <w:t>: (normes communes pour la micromobilité)</w:t>
      </w:r>
    </w:p>
    <w:p w14:paraId="763B9261"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informe le Parlement qu’un document de référence spécifique relatif aux PMUD, ayant pour thème une utilisation sûre des dispositifs de micromobilité dans les zones urbaines, est disponible sur eltis.org depuis 2021 et qu’il contient des recommandations et des bonnes pratiques pertinentes, y compris de la part des villes et des États membres de l’Union.</w:t>
      </w:r>
    </w:p>
    <w:p w14:paraId="666B978F" w14:textId="77777777" w:rsidR="0026432C" w:rsidRPr="00411ACF" w:rsidRDefault="0026432C" w:rsidP="0026432C">
      <w:pPr>
        <w:widowControl w:val="0"/>
        <w:spacing w:after="120"/>
        <w:rPr>
          <w:rFonts w:ascii="Times New Roman" w:hAnsi="Times New Roman"/>
          <w:szCs w:val="24"/>
        </w:rPr>
      </w:pPr>
      <w:r>
        <w:rPr>
          <w:rFonts w:ascii="Times New Roman" w:hAnsi="Times New Roman"/>
        </w:rPr>
        <w:t xml:space="preserve">La Commission a soutenu les orientations concernant les PMUD relatives à la meilleure manière d’intégrer la micromobilité dans les plans de mobilité urbaine durable et continuera de </w:t>
      </w:r>
      <w:r>
        <w:rPr>
          <w:rFonts w:ascii="Times New Roman" w:hAnsi="Times New Roman"/>
        </w:rPr>
        <w:lastRenderedPageBreak/>
        <w:t>coopérer avec les États membres sur la meilleure manière d’aborder l’intégration des véhicules de mobilité personnelle sur les routes urbaines, en couvrant bon nombre des questions soulevées par le Parlement.</w:t>
      </w:r>
    </w:p>
    <w:p w14:paraId="48A240C2" w14:textId="77777777" w:rsidR="0026432C" w:rsidRPr="00411ACF" w:rsidRDefault="0026432C" w:rsidP="0026432C">
      <w:pPr>
        <w:spacing w:after="120"/>
        <w:rPr>
          <w:rFonts w:ascii="Times New Roman" w:hAnsi="Times New Roman"/>
          <w:iCs/>
          <w:szCs w:val="24"/>
        </w:rPr>
      </w:pPr>
      <w:r>
        <w:rPr>
          <w:rFonts w:ascii="Times New Roman" w:hAnsi="Times New Roman"/>
          <w:u w:val="single"/>
        </w:rPr>
        <w:t>Paragraphe 36:</w:t>
      </w:r>
      <w:r>
        <w:rPr>
          <w:rFonts w:ascii="Times New Roman" w:hAnsi="Times New Roman"/>
        </w:rPr>
        <w:t xml:space="preserve"> (micromobilité)</w:t>
      </w:r>
    </w:p>
    <w:p w14:paraId="139B3D54" w14:textId="77777777" w:rsidR="0026432C" w:rsidRPr="00411ACF" w:rsidRDefault="0026432C" w:rsidP="0026432C">
      <w:pPr>
        <w:pStyle w:val="NormalHanging12a0"/>
        <w:spacing w:after="120"/>
        <w:ind w:left="0" w:firstLine="0"/>
        <w:jc w:val="both"/>
        <w:rPr>
          <w:szCs w:val="24"/>
        </w:rPr>
      </w:pPr>
      <w:r>
        <w:t>La Commission lance actuellement une étude visant à déterminer la meilleure manière de favoriser le développement des transports relevant de la micromobilité. Cette étude évaluera notamment les différentes options réglementaires et identifiera la solution la plus appropriée pour soutenir l’essor de ces nouveaux modes de transport.</w:t>
      </w:r>
    </w:p>
    <w:p w14:paraId="458C73BE"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 40</w:t>
      </w:r>
      <w:r>
        <w:rPr>
          <w:rFonts w:ascii="Times New Roman" w:hAnsi="Times New Roman"/>
        </w:rPr>
        <w:t>: (vélo)</w:t>
      </w:r>
    </w:p>
    <w:p w14:paraId="38410AA7" w14:textId="77777777" w:rsidR="0026432C" w:rsidRPr="00411ACF" w:rsidRDefault="0026432C" w:rsidP="0026432C">
      <w:pPr>
        <w:spacing w:after="120"/>
        <w:rPr>
          <w:rFonts w:ascii="Times New Roman" w:hAnsi="Times New Roman"/>
          <w:szCs w:val="24"/>
        </w:rPr>
      </w:pPr>
      <w:r>
        <w:rPr>
          <w:rFonts w:ascii="Times New Roman" w:hAnsi="Times New Roman"/>
        </w:rPr>
        <w:t>La Commission encourage la mobilité active, notamment au moyen du concept actualisé de PMUD de l’UE, de la campagne de la Semaine européenne de la mobilité et de l’initiative CIVITAS. La mobilité active est également soutenue par les politiques régionales de l’UE, la mission «Villes neutres pour le climat et intelligentes», ainsi que par le Fonds pour la reprise et la résilience. En outre, la Commission prépare actuellement une déclaration interinstitutionnelle sur le vélo, assortie de principes de haut niveau en faveur d’actions de l’Union visant à promouvoir le vélo, et sera mise à la disposition du Parlement et du Conseil en vue d’une cosignature en 2023. En ce qui concerne l’Année du vélo, la décision sera prise dans le cadre d’une décision plus large qui sera adoptée par la Commission.</w:t>
      </w:r>
    </w:p>
    <w:p w14:paraId="32427F36" w14:textId="77777777" w:rsidR="0026432C" w:rsidRPr="00411ACF" w:rsidRDefault="0026432C" w:rsidP="0026432C">
      <w:pPr>
        <w:pStyle w:val="NormalHanging12a0"/>
        <w:spacing w:after="120"/>
        <w:ind w:left="0" w:firstLine="0"/>
        <w:jc w:val="both"/>
        <w:rPr>
          <w:szCs w:val="24"/>
        </w:rPr>
      </w:pPr>
      <w:r>
        <w:t>L’industrie du vélo est l’une des quatre composantes du parcours de transition de l’écosystème de la mobilité, avec l’automobile, le rail et le transport par voie d’eau, dans le cadre de la stratégie industrielle de l’UE. L’industrie du vélo contribue en tant que telle au processus de cocréation en cours du parcours de transition pour la mobilité. Ce processus global vise à accélérer la transition écologique et numérique et à accroître la résilience de l’écosystème européen de la mobilité.</w:t>
      </w:r>
    </w:p>
    <w:p w14:paraId="3C170C97"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49</w:t>
      </w:r>
      <w:r>
        <w:rPr>
          <w:rFonts w:ascii="Times New Roman" w:hAnsi="Times New Roman"/>
        </w:rPr>
        <w:t>: (PMUD au niveau régional)</w:t>
      </w:r>
    </w:p>
    <w:p w14:paraId="5B4ACBC1"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encourage l’élaboration de tels plans et fournit sur eltis.org des documents de référence spécifiques pour soutenir leur développement, qui ont trait à la planification de la mobilité urbaine durable dans les régions métropolitaines et à la manière d’élaborer un plan de mobilité urbaine durable pour une région polycentrique.</w:t>
      </w:r>
    </w:p>
    <w:p w14:paraId="5F778F37" w14:textId="20AD597C" w:rsidR="0026432C" w:rsidRPr="00411ACF" w:rsidRDefault="0026432C" w:rsidP="0026432C">
      <w:pPr>
        <w:pStyle w:val="NormalHanging12a0"/>
        <w:spacing w:after="120"/>
        <w:ind w:left="0" w:firstLine="0"/>
        <w:jc w:val="both"/>
        <w:rPr>
          <w:szCs w:val="24"/>
        </w:rPr>
      </w:pPr>
      <w:r>
        <w:rPr>
          <w:u w:val="single"/>
        </w:rPr>
        <w:t>Paragraphe 53</w:t>
      </w:r>
      <w:r w:rsidR="00D1689E">
        <w:rPr>
          <w:u w:val="single"/>
        </w:rPr>
        <w:t>:</w:t>
      </w:r>
      <w:r>
        <w:t xml:space="preserve"> (Vertiports)</w:t>
      </w:r>
    </w:p>
    <w:p w14:paraId="08BE2499" w14:textId="77777777" w:rsidR="0026432C" w:rsidRPr="00411ACF" w:rsidRDefault="0026432C" w:rsidP="0026432C">
      <w:pPr>
        <w:widowControl w:val="0"/>
        <w:spacing w:after="120"/>
        <w:rPr>
          <w:rFonts w:ascii="Times New Roman" w:hAnsi="Times New Roman"/>
          <w:szCs w:val="24"/>
        </w:rPr>
      </w:pPr>
      <w:r>
        <w:rPr>
          <w:rFonts w:ascii="Times New Roman" w:hAnsi="Times New Roman"/>
        </w:rPr>
        <w:t>Selon les actions phares opérationnelles et techniques recensées par la stratégie européenne Drone 2.0 concernant Vertiports, l’étape suivante consiste en une tâche de réglementation à grande échelle (RMT.230), au cours de laquelle l’Agence européenne de la sécurité aérienne (AESA) mettra au point tout l’éventail des exigences réglementaires afin de garantir la sécurité des opérations de vertiport. Celles-ci comprendront non seulement des spécifications de conception détaillées, mais aussi des exigences pour les autorités chargées de superviser les opérations de vertiport, ainsi que des exigences organisationnelles et opérationnelles pour les exploitants de vertiports.</w:t>
      </w:r>
    </w:p>
    <w:p w14:paraId="018EBF7A" w14:textId="77777777" w:rsidR="0026432C" w:rsidRPr="00411ACF" w:rsidRDefault="0026432C" w:rsidP="0026432C">
      <w:pPr>
        <w:widowControl w:val="0"/>
        <w:spacing w:after="120"/>
        <w:rPr>
          <w:rFonts w:ascii="Times New Roman" w:hAnsi="Times New Roman"/>
          <w:szCs w:val="24"/>
        </w:rPr>
      </w:pPr>
      <w:r>
        <w:rPr>
          <w:rFonts w:ascii="Times New Roman" w:hAnsi="Times New Roman"/>
        </w:rPr>
        <w:t>En outre, le nouveau cadre réglementaire applicable à la conception et à l’exploitation des vertiports relevant du champ d’application du règlement AESA facilitera le développement du transport intermodal et l’accès du grand public à ces nouvelles formes de mobilité.</w:t>
      </w:r>
    </w:p>
    <w:p w14:paraId="5C546025"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 57</w:t>
      </w:r>
      <w:r>
        <w:rPr>
          <w:rFonts w:ascii="Times New Roman" w:hAnsi="Times New Roman"/>
        </w:rPr>
        <w:t>: (nœuds urbains)</w:t>
      </w:r>
    </w:p>
    <w:p w14:paraId="2BF94775" w14:textId="77777777" w:rsidR="0026432C" w:rsidRPr="00411ACF" w:rsidRDefault="0026432C" w:rsidP="0026432C">
      <w:pPr>
        <w:spacing w:after="120"/>
        <w:rPr>
          <w:rFonts w:ascii="Times New Roman" w:hAnsi="Times New Roman"/>
          <w:szCs w:val="24"/>
        </w:rPr>
      </w:pPr>
      <w:r>
        <w:rPr>
          <w:rFonts w:ascii="Times New Roman" w:hAnsi="Times New Roman"/>
        </w:rPr>
        <w:t xml:space="preserve">La Commission prend acte de la proposition visant à étendre la liste des nœuds urbains et à améliorer encore les critères d’évaluation des PMUD; toutefois, la proposition de révision du règlement RTE-T est actuellement en cours de négociation entre le Parlement européen et le </w:t>
      </w:r>
      <w:r>
        <w:rPr>
          <w:rFonts w:ascii="Times New Roman" w:hAnsi="Times New Roman"/>
        </w:rPr>
        <w:lastRenderedPageBreak/>
        <w:t>Conseil, et la Commission ne peut pas modifier la liste à ce stade du processus. En ce qui concerne le soutien visant à aider les nœuds urbains à créer et à actualiser leurs PMUD, la Commission indique qu’en mars 2023, elle a adopté une série de recommandations à l’intention des États membres appelant à élaborer des programmes nationaux de soutien aux PMUD, afin d’aider les villes à élaborer, à mettre en œuvre et à suivre leurs plans. En outre, la Commission a chargé le projet JASPER de la Banque européenne d’investissement (BEI) de mener une série de formations ciblant les villes, les régions et les autorités nationales pour les aider à élaborer ou à améliorer leurs PMUD, d’ici la fin de 2023 jusqu’au début de l’année 2025. Enfin, la planification de la mobilité urbaine durable est un thème important du groupe d’experts de la Commission sur la mobilité urbaine, créé en 2022 et composé de représentants des États membres, des villes, des régions et des parties prenantes, avec un sous-groupe spécialisé chargé de travailler sur des éléments livrables comprenant, entre autres, des bonnes pratiques en matière de PMUD. Comme le reconnaît la résolution, la proposition de la Commission relative à une révision du règlement RTE-T renforce le rôle des nœuds urbains dans le réseau transeuropéen de transport, notamment grâce aux plans de mobilité urbaine durable et à l’obligation de construire des terminaux de transport multimodal, y compris pour les voyageurs. La proposition vise à mieux intégrer le nombre de nœuds urbains - qu’elle propose d’augmenter de manière significative - et leurs zones fonctionnelles dans le réseau, y compris pour les connexions du dernier kilomètre. Elle encourage également les synergies entre le RTE-T et d’autres politiques, qui peuvent inclure EuroVelo.</w:t>
      </w:r>
    </w:p>
    <w:p w14:paraId="1537148B"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 58</w:t>
      </w:r>
      <w:r>
        <w:rPr>
          <w:rFonts w:ascii="Times New Roman" w:hAnsi="Times New Roman"/>
        </w:rPr>
        <w:t>: (programmes spécifiques pour les régions ultrapériphériques)</w:t>
      </w:r>
    </w:p>
    <w:p w14:paraId="7D1BE572" w14:textId="77777777" w:rsidR="0026432C" w:rsidRPr="00411ACF" w:rsidRDefault="0026432C" w:rsidP="0026432C">
      <w:pPr>
        <w:spacing w:after="120"/>
        <w:rPr>
          <w:rFonts w:ascii="Times New Roman" w:hAnsi="Times New Roman"/>
          <w:szCs w:val="24"/>
        </w:rPr>
      </w:pPr>
      <w:r>
        <w:rPr>
          <w:rFonts w:ascii="Times New Roman" w:hAnsi="Times New Roman"/>
        </w:rPr>
        <w:t>Le mécanisme pour l’interconnexion en Europe (MIE) soutient des projets d’intérêt commun dans les infrastructures de transport des régions ultrapériphériques qui font partie du réseau transeuropéen de transport (RTE-T). Le règlement MIE et le programme de travail pluriannuel 2021-2027 accordent une importance particulière aux régions ultrapériphériques: référence spécifique aux «actions mettant en œuvre des tronçons du réseau global situés dans les régions ultrapériphériques» à l’article 9 «Actions éligibles» du règlement MIE, soutien aux actions améliorant la connectivité des régions éloignées, insulaires ou ultrapériphériques au titre du thème «ports maritimes» du programme de travail pluriannuel; processus d’évaluation et de sélection (tenir compte de la dimension transfrontière, de l’intégration des réseaux et de l’accessibilité territoriale des régions ultrapériphériques); et taux de cofinancement (taux de cofinancement maximal spécifique de 70 % pour les travaux entrepris dans les régions ultrapériphériques).</w:t>
      </w:r>
    </w:p>
    <w:p w14:paraId="323E3529" w14:textId="77777777" w:rsidR="0026432C" w:rsidRPr="00411ACF" w:rsidRDefault="0026432C" w:rsidP="0026432C">
      <w:pPr>
        <w:spacing w:after="120"/>
        <w:rPr>
          <w:rFonts w:ascii="Times New Roman" w:hAnsi="Times New Roman"/>
          <w:szCs w:val="24"/>
        </w:rPr>
      </w:pPr>
      <w:r>
        <w:rPr>
          <w:rFonts w:ascii="Times New Roman" w:hAnsi="Times New Roman"/>
        </w:rPr>
        <w:t>Il existe divers fonds et instruments de l’UE qui soutiennent la mobilité et les transports dans les régions ultrapériphériques, en particulier les infrastructures, notamment dans le cadre du mécanisme pour l’interconnexion en Europe et du Fonds européen de développement régional. Il importe de saisir toutes les possibilités offertes par ces programmes existants, notamment pour les infrastructures portuaires et les infrastructures pour carburants alternatifs, avec le mécanisme pour l’interconnexion en Europe, ainsi que pour la mobilité urbaine durable et les infrastructures de transport dans le cadre du Fonds européen de développement régional, afin d’éviter toute duplication des fonds.</w:t>
      </w:r>
    </w:p>
    <w:p w14:paraId="178A2B5B" w14:textId="77777777" w:rsidR="0026432C" w:rsidRPr="000A7987" w:rsidRDefault="0026432C" w:rsidP="0026432C">
      <w:pPr>
        <w:spacing w:after="120"/>
        <w:rPr>
          <w:rFonts w:ascii="Times New Roman" w:hAnsi="Times New Roman"/>
          <w:szCs w:val="24"/>
        </w:rPr>
      </w:pPr>
      <w:r>
        <w:rPr>
          <w:rFonts w:ascii="Times New Roman" w:hAnsi="Times New Roman"/>
        </w:rPr>
        <w:t>Les différents programmes régionaux pour la période 2021-2027 au titre du Fonds européen de développement régional prévoient déjà un soutien à une mobilité urbaine durable, propre et multimodale, aux systèmes de transport intelligents et aux infrastructures routières, ferroviaires, portuaires et aéroportuaires, ainsi qu’une dotation supplémentaire pour les régions ultrapériphériques, afin de compenser tout coût supplémentaire dû au déficit d’accessibilité et à la fragmentation territoriale.</w:t>
      </w:r>
    </w:p>
    <w:p w14:paraId="2AAE0426" w14:textId="77777777" w:rsidR="0026432C" w:rsidRPr="00411ACF" w:rsidRDefault="0026432C" w:rsidP="0026432C">
      <w:pPr>
        <w:pStyle w:val="NormalHanging12a0"/>
        <w:spacing w:after="120"/>
        <w:ind w:left="0" w:firstLine="0"/>
        <w:jc w:val="both"/>
        <w:rPr>
          <w:szCs w:val="24"/>
        </w:rPr>
      </w:pPr>
      <w:r>
        <w:rPr>
          <w:u w:val="single"/>
        </w:rPr>
        <w:t>Paragraphes 59 à 64:</w:t>
      </w:r>
      <w:r>
        <w:t xml:space="preserve"> (voies navigables intérieures/NAIADES)</w:t>
      </w:r>
    </w:p>
    <w:p w14:paraId="70E1E138" w14:textId="77777777" w:rsidR="0026432C" w:rsidRPr="00411ACF" w:rsidRDefault="0026432C" w:rsidP="0026432C">
      <w:pPr>
        <w:spacing w:after="120"/>
        <w:rPr>
          <w:rFonts w:ascii="Times New Roman" w:hAnsi="Times New Roman"/>
          <w:szCs w:val="24"/>
        </w:rPr>
      </w:pPr>
      <w:r>
        <w:rPr>
          <w:rFonts w:ascii="Times New Roman" w:hAnsi="Times New Roman"/>
        </w:rPr>
        <w:lastRenderedPageBreak/>
        <w:t>Dans la communication NAIADES III adoptée en juin 2021, il est mentionné que les ports intérieurs sont souvent situés à proximité des centres-villes et sont essentiels à la connectivité intermodale pour la logistique urbaine. Le transport par voies navigables intérieures peut aussi potentiellement s’intégrer au transport public urbain dans de nombreuses villes et contribuer ainsi au désengorgement des routes. Ces deux aspects seront abordés dans le nouveau cadre pour la mobilité urbaine de l’UE, une initiative prévue pour 2021 et visant, entre autres, une planification plus durable de la mobilité urbaine (PMUD), y compris en ce qui concerne la logistique urbaine. La Commission a déjà inclus le transport par voies navigables intérieures dans le règlement délégué (UE) 2017/1926 relatif aux services d’informations sur les déplacements multimodaux.</w:t>
      </w:r>
    </w:p>
    <w:p w14:paraId="248A231F" w14:textId="77777777" w:rsidR="0026432C" w:rsidRPr="00411ACF" w:rsidRDefault="0026432C" w:rsidP="0026432C">
      <w:pPr>
        <w:spacing w:after="120"/>
        <w:rPr>
          <w:rFonts w:ascii="Times New Roman" w:hAnsi="Times New Roman"/>
          <w:szCs w:val="24"/>
        </w:rPr>
      </w:pPr>
      <w:r>
        <w:rPr>
          <w:rFonts w:ascii="Times New Roman" w:hAnsi="Times New Roman"/>
        </w:rPr>
        <w:t>L’étude intitulée «Enabling Sustainable Management and Development of Inland Ports» (projet pilote 2023-2025 du Parlement européen) analysera les moyens d’adopter le transport par voies navigables intérieures au-delà des objectifs traditionnels pour la mobilité urbaine et le transport de voyageurs et de marchandises à courte distance (par exemple, bus fluviaux, logistique urbaine, transbordeurs). L’étude devrait également évaluer le potentiel inexploité des moyens de transfert modal durable.</w:t>
      </w:r>
    </w:p>
    <w:p w14:paraId="627226D0" w14:textId="77777777" w:rsidR="0026432C" w:rsidRPr="00411ACF" w:rsidRDefault="0026432C" w:rsidP="0026432C">
      <w:pPr>
        <w:spacing w:after="120"/>
        <w:rPr>
          <w:rFonts w:ascii="Times New Roman" w:hAnsi="Times New Roman"/>
          <w:szCs w:val="24"/>
        </w:rPr>
      </w:pPr>
      <w:r>
        <w:rPr>
          <w:rFonts w:ascii="Times New Roman" w:hAnsi="Times New Roman"/>
        </w:rPr>
        <w:t>Le plan d’action NAIADES n’est pas un plan d’action multimodal, mais un plan d’action pour la navigation intérieure. Il y est toutefois mentionné que les actions multimodales telles que la directive sur le transport combiné ou les incitations en faveur des terminaux multimodaux devraient constituer une part importante du transport par voies navigables intérieures.</w:t>
      </w:r>
    </w:p>
    <w:p w14:paraId="5047EF80" w14:textId="77777777" w:rsidR="0026432C" w:rsidRPr="00411ACF" w:rsidRDefault="0026432C" w:rsidP="0026432C">
      <w:pPr>
        <w:spacing w:after="120"/>
        <w:rPr>
          <w:rFonts w:ascii="Times New Roman" w:hAnsi="Times New Roman"/>
          <w:iCs/>
          <w:szCs w:val="24"/>
        </w:rPr>
      </w:pPr>
      <w:r>
        <w:rPr>
          <w:rFonts w:ascii="Times New Roman" w:hAnsi="Times New Roman"/>
          <w:u w:val="single"/>
        </w:rPr>
        <w:t>Paragraphe 67</w:t>
      </w:r>
      <w:r>
        <w:rPr>
          <w:rFonts w:ascii="Times New Roman" w:hAnsi="Times New Roman"/>
        </w:rPr>
        <w:t>: (accès aux voies ferrées)</w:t>
      </w:r>
    </w:p>
    <w:p w14:paraId="72BBD797" w14:textId="77777777" w:rsidR="0026432C" w:rsidRPr="00411ACF" w:rsidRDefault="0026432C" w:rsidP="0026432C">
      <w:pPr>
        <w:pStyle w:val="ListParagraph"/>
        <w:widowControl w:val="0"/>
        <w:spacing w:after="120"/>
        <w:ind w:left="0"/>
        <w:contextualSpacing w:val="0"/>
        <w:rPr>
          <w:rFonts w:ascii="Times New Roman" w:hAnsi="Times New Roman"/>
          <w:bCs/>
          <w:szCs w:val="24"/>
        </w:rPr>
      </w:pPr>
      <w:r>
        <w:rPr>
          <w:rFonts w:ascii="Times New Roman" w:hAnsi="Times New Roman"/>
        </w:rPr>
        <w:t>La Commission soutient l’appel à garantir des conditions de concurrence équitables pour les prestataires de transport ferroviaire et leur égalité d’accès aux infrastructures urbaines et à mettre pleinement et correctement en œuvre le quatrième paquet ferroviaire. La Commission travaille à la mise en œuvre intégrale et correcte du quatrième paquet ferroviaire: sur le plan juridique, la transposition de la directive sur le marché ferroviaire dans l’ordre juridique national fait actuellement l’objet d’un contrôle. Au niveau de la mise en œuvre, diverses initiatives sont en place pour évaluer et, le cas échéant, corriger la mise en œuvre effective des dispositions juridiques.</w:t>
      </w:r>
    </w:p>
    <w:p w14:paraId="2B4AB0BF" w14:textId="77777777" w:rsidR="0026432C" w:rsidRPr="00411ACF" w:rsidRDefault="0026432C" w:rsidP="0026432C">
      <w:pPr>
        <w:pStyle w:val="ListParagraph"/>
        <w:widowControl w:val="0"/>
        <w:spacing w:after="120"/>
        <w:ind w:left="0"/>
        <w:rPr>
          <w:rFonts w:ascii="Times New Roman" w:hAnsi="Times New Roman"/>
          <w:bCs/>
          <w:iCs/>
          <w:szCs w:val="24"/>
        </w:rPr>
      </w:pPr>
      <w:r>
        <w:rPr>
          <w:rFonts w:ascii="Times New Roman" w:hAnsi="Times New Roman"/>
        </w:rPr>
        <w:t>Vers la fin de 2023, la Commission prévoit de publier des lignes directrices sur les redevances d’accès aux voies. Les lignes directrices sont en cours d’élaboration avec les gestionnaires d’infrastructures et abordent les moyens de soutenir les services de transport de voyageurs à longue distance, par exemple les services de trains de nuit.</w:t>
      </w:r>
    </w:p>
    <w:p w14:paraId="6B6B50A6"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 69</w:t>
      </w:r>
      <w:r>
        <w:rPr>
          <w:rFonts w:ascii="Times New Roman" w:hAnsi="Times New Roman"/>
        </w:rPr>
        <w:t>: (services ferroviaires transfrontaliers)</w:t>
      </w:r>
    </w:p>
    <w:p w14:paraId="0F01D22A" w14:textId="77777777" w:rsidR="0026432C" w:rsidRPr="00411ACF" w:rsidRDefault="0026432C" w:rsidP="0026432C">
      <w:pPr>
        <w:spacing w:after="120"/>
        <w:rPr>
          <w:rFonts w:ascii="Times New Roman" w:hAnsi="Times New Roman"/>
          <w:szCs w:val="24"/>
        </w:rPr>
      </w:pPr>
      <w:r>
        <w:rPr>
          <w:rFonts w:ascii="Times New Roman" w:hAnsi="Times New Roman"/>
        </w:rPr>
        <w:t>La Commission a mis en place diverses initiatives qui soutiennent le développement d’une connectivité meilleure et plus durable entre les capitales européennes et les grandes villes. Grâce à la politique RTE-T et au mécanisme pour l’interconnexion en Europe, un soutien est apporté au développement d’un réseau ferroviaire performant. Avec le plan d’action de 2021 visant à stimuler le transport ferroviaire de voyageurs à longue distance et transfrontière et les services pilotes qui en découlent, la Commission a mis au point des instruments supplémentaires pour lever les obstacles qui entravent l’adoption et l’exploitation des services ferroviaires transfrontières de voyageurs.</w:t>
      </w:r>
    </w:p>
    <w:p w14:paraId="53E8516D" w14:textId="77777777" w:rsidR="0026432C" w:rsidRPr="00411ACF" w:rsidRDefault="0026432C" w:rsidP="0026432C">
      <w:pPr>
        <w:pStyle w:val="ListParagraph"/>
        <w:widowControl w:val="0"/>
        <w:spacing w:after="120"/>
        <w:ind w:left="0"/>
        <w:contextualSpacing w:val="0"/>
        <w:rPr>
          <w:rFonts w:ascii="Times New Roman" w:hAnsi="Times New Roman"/>
          <w:bCs/>
          <w:iCs/>
          <w:szCs w:val="24"/>
        </w:rPr>
      </w:pPr>
      <w:r>
        <w:rPr>
          <w:rFonts w:ascii="Times New Roman" w:hAnsi="Times New Roman"/>
          <w:u w:val="single"/>
        </w:rPr>
        <w:t>Paragraphe 70</w:t>
      </w:r>
      <w:r>
        <w:rPr>
          <w:rFonts w:ascii="Times New Roman" w:hAnsi="Times New Roman"/>
        </w:rPr>
        <w:t>: (temps d’attente pour les véhicules utilitaires lourds aux frontières)</w:t>
      </w:r>
    </w:p>
    <w:p w14:paraId="128896F8" w14:textId="77777777" w:rsidR="0026432C" w:rsidRPr="00411ACF" w:rsidRDefault="0026432C" w:rsidP="0026432C">
      <w:pPr>
        <w:pStyle w:val="ListParagraph"/>
        <w:widowControl w:val="0"/>
        <w:spacing w:after="120"/>
        <w:ind w:left="0"/>
        <w:contextualSpacing w:val="0"/>
        <w:rPr>
          <w:rFonts w:ascii="Times New Roman" w:hAnsi="Times New Roman"/>
          <w:bCs/>
          <w:iCs/>
          <w:szCs w:val="24"/>
        </w:rPr>
      </w:pPr>
      <w:r>
        <w:rPr>
          <w:rFonts w:ascii="Times New Roman" w:hAnsi="Times New Roman"/>
        </w:rPr>
        <w:t xml:space="preserve">«Un temps d’une minute pour le traitement et le contrôle des véhicules utilitaires lourds aux frontières de l’UE» serait très difficile à mettre en œuvre, étant donné que plusieurs contrôles doivent avoir lieu aux points de passage aux frontières extérieures de l’UE et de l’espace </w:t>
      </w:r>
      <w:r>
        <w:rPr>
          <w:rFonts w:ascii="Times New Roman" w:hAnsi="Times New Roman"/>
        </w:rPr>
        <w:lastRenderedPageBreak/>
        <w:t>Schengen, tels que les contrôles des passeports, les contrôles douaniers et les contrôles phytosanitaires.</w:t>
      </w:r>
    </w:p>
    <w:p w14:paraId="1D146FCD" w14:textId="77777777" w:rsidR="0026432C" w:rsidRPr="00411ACF" w:rsidRDefault="0026432C" w:rsidP="0026432C">
      <w:pPr>
        <w:keepNext/>
        <w:keepLines/>
        <w:spacing w:after="120"/>
        <w:rPr>
          <w:rFonts w:ascii="Times New Roman" w:hAnsi="Times New Roman"/>
          <w:szCs w:val="24"/>
        </w:rPr>
      </w:pPr>
      <w:r>
        <w:rPr>
          <w:rFonts w:ascii="Times New Roman" w:hAnsi="Times New Roman"/>
          <w:u w:val="single"/>
        </w:rPr>
        <w:t>Paragraphes 71 à 72 et 73</w:t>
      </w:r>
      <w:r>
        <w:rPr>
          <w:rFonts w:ascii="Times New Roman" w:hAnsi="Times New Roman"/>
        </w:rPr>
        <w:t xml:space="preserve">: (financement à long terme de la mobilité urbaine) </w:t>
      </w:r>
    </w:p>
    <w:p w14:paraId="3411DECB" w14:textId="77777777" w:rsidR="0026432C" w:rsidRPr="00411ACF" w:rsidRDefault="0026432C" w:rsidP="0026432C">
      <w:pPr>
        <w:keepNext/>
        <w:keepLines/>
        <w:spacing w:after="120"/>
        <w:rPr>
          <w:rFonts w:ascii="Times New Roman" w:hAnsi="Times New Roman"/>
          <w:szCs w:val="24"/>
        </w:rPr>
      </w:pPr>
      <w:r>
        <w:rPr>
          <w:rFonts w:ascii="Times New Roman" w:hAnsi="Times New Roman"/>
        </w:rPr>
        <w:t xml:space="preserve">La Commission convient que les financements sont essentiels pour mettre en place un système de mobilité durable, intelligent et résilient. Pour la période 2021-2027, la Commission a mis en place un ensemble complet de programmes de financement, en tenant compte des objectifs du pacte vert ainsi que de la nécessité d’attirer des capitaux publics et privés. Les financements de la mobilité urbaine sont assurés par l’intermédiaire de programmes tels qu’Horizon Europe, le mécanisme pour l’interconnexion en Europe/le mécanisme pour les infrastructures alternatives, InvestEU, le Fonds pour la reprise et la résilience, le Fonds de cohésion et le Fonds européen de développement régional. </w:t>
      </w:r>
    </w:p>
    <w:p w14:paraId="2C9CEAFD" w14:textId="77777777" w:rsidR="0026432C" w:rsidRPr="00411ACF" w:rsidRDefault="0026432C" w:rsidP="0026432C">
      <w:pPr>
        <w:spacing w:after="120"/>
        <w:rPr>
          <w:rFonts w:ascii="Times New Roman" w:hAnsi="Times New Roman"/>
          <w:szCs w:val="24"/>
        </w:rPr>
      </w:pPr>
      <w:r>
        <w:rPr>
          <w:rFonts w:ascii="Times New Roman" w:hAnsi="Times New Roman"/>
        </w:rPr>
        <w:t>En ce qui concerne la BEI, outre ses services d’assistance technique et de conseil (tels que Jaspers et ELENA) et toujours dans le domaine de la mobilité urbaine, elle promeut et soutient la mobilité urbaine durable (y compris les modes actifs tels que la marche et le vélo) en cohérence avec la politique de l’UE afin de réduire les embouteillages et les externalités environnementales négatives tout en procurant plus largement des avantages sociaux et économiques, par la promotion d’un transfert modal des voitures particulières vers des modes de transport plus durables et/ou par l’amélioration de l’efficacité des transports, y compris l’intermodalité, l’automatisation, la numérisation et la conversion vers des véhicules à émissions nulles.</w:t>
      </w:r>
    </w:p>
    <w:p w14:paraId="1AEFAC34"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Paragraphes 76 à 79</w:t>
      </w:r>
      <w:r>
        <w:rPr>
          <w:rFonts w:ascii="Times New Roman" w:hAnsi="Times New Roman"/>
        </w:rPr>
        <w:t>: (qualité de l’air/bruit dans les villes)</w:t>
      </w:r>
    </w:p>
    <w:p w14:paraId="77ADF485" w14:textId="77777777" w:rsidR="0026432C" w:rsidRPr="00411ACF" w:rsidRDefault="0026432C" w:rsidP="0026432C">
      <w:pPr>
        <w:spacing w:after="120"/>
        <w:rPr>
          <w:rFonts w:ascii="Times New Roman" w:hAnsi="Times New Roman"/>
          <w:szCs w:val="24"/>
        </w:rPr>
      </w:pPr>
      <w:r>
        <w:rPr>
          <w:rFonts w:ascii="Times New Roman" w:hAnsi="Times New Roman"/>
        </w:rPr>
        <w:t>Les villes européennes s’attaquent à la mobilité durable avec le soutien d’initiatives de l’UE telles que la mission de l’UE pour des villes neutres pour le climat et intelligentes</w:t>
      </w:r>
      <w:r>
        <w:rPr>
          <w:rStyle w:val="FootnoteReference"/>
          <w:rFonts w:ascii="Times New Roman" w:hAnsi="Times New Roman"/>
          <w:szCs w:val="24"/>
        </w:rPr>
        <w:footnoteReference w:id="3"/>
      </w:r>
      <w:r>
        <w:rPr>
          <w:rFonts w:ascii="Times New Roman" w:hAnsi="Times New Roman"/>
        </w:rPr>
        <w:t>, mais aussi avec le soutien de la Convention des maires pour le climat et l’énergie</w:t>
      </w:r>
      <w:r>
        <w:rPr>
          <w:rStyle w:val="FootnoteReference"/>
          <w:rFonts w:ascii="Times New Roman" w:hAnsi="Times New Roman"/>
          <w:szCs w:val="24"/>
        </w:rPr>
        <w:footnoteReference w:id="4"/>
      </w:r>
      <w:r>
        <w:rPr>
          <w:rFonts w:ascii="Times New Roman" w:hAnsi="Times New Roman"/>
        </w:rPr>
        <w:t>, qui vise à réduire les émissions, l’accord des villes vertes</w:t>
      </w:r>
      <w:r>
        <w:rPr>
          <w:rStyle w:val="FootnoteReference"/>
          <w:rFonts w:ascii="Times New Roman" w:hAnsi="Times New Roman"/>
          <w:szCs w:val="24"/>
        </w:rPr>
        <w:footnoteReference w:id="5"/>
      </w:r>
      <w:r>
        <w:rPr>
          <w:rFonts w:ascii="Times New Roman" w:hAnsi="Times New Roman"/>
        </w:rPr>
        <w:t>, qui engage les villes à accélérer la mise en œuvre de l’acquis environnemental pertinent de l’UE, y compris à améliorer la qualité de l’air et la réduction du bruit, et l’initiative Civitas</w:t>
      </w:r>
      <w:r>
        <w:rPr>
          <w:rStyle w:val="FootnoteReference"/>
          <w:rFonts w:ascii="Times New Roman" w:hAnsi="Times New Roman"/>
          <w:szCs w:val="24"/>
        </w:rPr>
        <w:footnoteReference w:id="6"/>
      </w:r>
      <w:r>
        <w:rPr>
          <w:rFonts w:ascii="Times New Roman" w:hAnsi="Times New Roman"/>
        </w:rPr>
        <w:t xml:space="preserve"> visant à faire de la mobilité urbaine durable et intelligente une réalité pour tous.</w:t>
      </w:r>
    </w:p>
    <w:p w14:paraId="678A83E8"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Paragraphes 79 et 80</w:t>
      </w:r>
      <w:r>
        <w:rPr>
          <w:rFonts w:ascii="Times New Roman" w:hAnsi="Times New Roman"/>
        </w:rPr>
        <w:t>: (lutte contre les émissions sonores)</w:t>
      </w:r>
    </w:p>
    <w:p w14:paraId="47F34335"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analysera la faisabilité des documents de référence pertinents pour les PMUD et s’engage à poursuivre les échanges de bonnes pratiques en la matière, ainsi qu’à promouvoir davantage les mesures visant à réduire les émissions sonores dues aux transports, y compris au moyen de revêtements routiers à faible bruit, et à introduire des limitations de vitesse lorsque celles-ci présentent d’autres avantages connexes. Les radars tels que ceux utilisés à Paris apportent en effet une contribution utile à la sensibilisation.</w:t>
      </w:r>
    </w:p>
    <w:p w14:paraId="5A661F9E"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90</w:t>
      </w:r>
      <w:r>
        <w:rPr>
          <w:rFonts w:ascii="Times New Roman" w:hAnsi="Times New Roman"/>
        </w:rPr>
        <w:t xml:space="preserve">: (élaboration d’incitations financières, fiscales et réglementaires pour permettre aux utilisateurs privés et professionnels de passer à des solutions alternatives à émissions nulles ou faibles) </w:t>
      </w:r>
    </w:p>
    <w:p w14:paraId="1AD7E8A9" w14:textId="77777777" w:rsidR="0026432C" w:rsidRPr="00411ACF" w:rsidRDefault="0026432C" w:rsidP="0026432C">
      <w:pPr>
        <w:widowControl w:val="0"/>
        <w:spacing w:after="120"/>
        <w:rPr>
          <w:rFonts w:ascii="Times New Roman" w:hAnsi="Times New Roman"/>
          <w:szCs w:val="24"/>
        </w:rPr>
      </w:pPr>
      <w:r>
        <w:rPr>
          <w:rFonts w:ascii="Times New Roman" w:hAnsi="Times New Roman"/>
        </w:rPr>
        <w:t xml:space="preserve">La Commission attire l’attention sur un large éventail d’actions au titre de différents instruments financiers, y compris les plans nationaux pour la reprise et la résilience, le Fonds européen pour l’innovation, le mécanisme pour l’interconnexion en Europe 2, doté d’un </w:t>
      </w:r>
      <w:r>
        <w:rPr>
          <w:rFonts w:ascii="Times New Roman" w:hAnsi="Times New Roman"/>
        </w:rPr>
        <w:lastRenderedPageBreak/>
        <w:t>mécanisme consacré aux infrastructures pour carburants alternatifs ou les futurs plans nationaux de mise en œuvre au titre du Fonds social européen pour le climat. La Commission attire également l’attention sur les accords provisoires conclus sur des dossiers clés du paquet «Ajustement à l’objectif 55», tels que le nouveau règlement sur le déploiement d’une infrastructure pour carburants alternatifs ou la révision déjà convenue des normes de CO</w:t>
      </w:r>
      <w:r>
        <w:rPr>
          <w:rFonts w:ascii="Times New Roman" w:hAnsi="Times New Roman"/>
          <w:vertAlign w:val="subscript"/>
        </w:rPr>
        <w:t>2</w:t>
      </w:r>
      <w:r>
        <w:rPr>
          <w:rFonts w:ascii="Times New Roman" w:hAnsi="Times New Roman"/>
        </w:rPr>
        <w:t xml:space="preserve"> pour les voitures et les camionnettes, qui permettront une pénétration massive de ces véhicules sur le marché, ce qui aura également une incidence positive sur la disponibilité globale et le caractère abordable de ces véhicules.</w:t>
      </w:r>
    </w:p>
    <w:p w14:paraId="68056353"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96:</w:t>
      </w:r>
      <w:r>
        <w:rPr>
          <w:rFonts w:ascii="Times New Roman" w:hAnsi="Times New Roman"/>
        </w:rPr>
        <w:t xml:space="preserve"> (véhicules autonomes équipés de systèmes d’IA)</w:t>
      </w:r>
    </w:p>
    <w:p w14:paraId="31C04F61"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nouvelle proposition de directive relative au permis de conduire a introduit de nouvelles exigences minimales pour les examens de conduite ainsi que pour les connaissances, aptitudes et comportements relatifs aux différents systèmes d’assistance technique, ainsi que la manière dont ces systèmes peuvent influencer le comportement du conducteur, y compris les avantages, limitations et risques liés à leur utilisation.</w:t>
      </w:r>
    </w:p>
    <w:p w14:paraId="39B2091E"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98</w:t>
      </w:r>
      <w:r>
        <w:rPr>
          <w:rFonts w:ascii="Times New Roman" w:hAnsi="Times New Roman"/>
        </w:rPr>
        <w:t xml:space="preserve">: (élaboration d’un cadre juridique, éthique et stratégique pour l’utilisation de l’IA dans la mobilité et les transports durables et intelligents et pour les données d’utilisateur) </w:t>
      </w:r>
    </w:p>
    <w:p w14:paraId="7E14854F"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travaille à la fois sur la législation horizontale telle que la législation sur l’IA et sur l’évaluation de l’utilité et des avantages des applications d’IA dans les transports, mais aussi des écueils et des problèmes rencontrés. De nombreuses applications existent déjà, qui améliorent souvent l’efficacité du transport au niveau du système ou automatisent les tâches au niveau des véhicules. À l’heure où la numérisation accrue des transports rend davantage de données disponibles, les améliorations potentielles que l’IA peut apporter s’en trouvent renforcées. Toutefois, des applications plus avancées et une dépendance accrue à l’égard de l’IA présentent un certain risque. L’objectif est de tirer profit des améliorations et de contenir les risques.</w:t>
      </w:r>
    </w:p>
    <w:p w14:paraId="744B177D" w14:textId="77777777" w:rsidR="0026432C" w:rsidRPr="00411ACF" w:rsidRDefault="0026432C" w:rsidP="0026432C">
      <w:pPr>
        <w:widowControl w:val="0"/>
        <w:spacing w:after="120"/>
        <w:rPr>
          <w:rFonts w:ascii="Times New Roman" w:hAnsi="Times New Roman"/>
          <w:szCs w:val="24"/>
          <w:u w:val="single"/>
        </w:rPr>
      </w:pPr>
      <w:r>
        <w:rPr>
          <w:rFonts w:ascii="Times New Roman" w:hAnsi="Times New Roman"/>
          <w:u w:val="single"/>
        </w:rPr>
        <w:t>Paragraphe 101</w:t>
      </w:r>
      <w:r>
        <w:rPr>
          <w:rFonts w:ascii="Times New Roman" w:hAnsi="Times New Roman"/>
        </w:rPr>
        <w:t>: (infrastructure permettant d’assurer le déploiement en toute sécurité de la conduite automatisée)</w:t>
      </w:r>
    </w:p>
    <w:p w14:paraId="7FD116E9"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soutient l’échange de bonnes pratiques entre les États membres sur la meilleure manière de mettre à jour leurs règles de circulation afin de tenir compte du déploiement d’une conduite plus automatisée.</w:t>
      </w:r>
    </w:p>
    <w:p w14:paraId="1368D645" w14:textId="77777777" w:rsidR="0026432C" w:rsidRPr="000A7987" w:rsidRDefault="0026432C" w:rsidP="0026432C">
      <w:pPr>
        <w:pStyle w:val="normalhanging12a"/>
        <w:spacing w:after="120"/>
        <w:ind w:left="0" w:firstLine="0"/>
        <w:jc w:val="both"/>
        <w:rPr>
          <w:iCs/>
        </w:rPr>
      </w:pPr>
      <w:r>
        <w:rPr>
          <w:u w:val="single"/>
        </w:rPr>
        <w:t>Paragraphes 102 et 103:</w:t>
      </w:r>
      <w:r>
        <w:t xml:space="preserve"> (services de mobilité aérienne/véhicules aériens sans pilote)</w:t>
      </w:r>
    </w:p>
    <w:p w14:paraId="37F0BEA7"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considère que les drones destinés aux passagers ou, dans un premier temps, des aéronefs électriques à décollage et atterrissage verticaux (eVTOL)  avec pilote à bord, peuvent être utilisés dans des zones urbaines de grande taille et en expansion dans le cadre d’une nouvelle approche innovante en matière de mobilité aérienne (IAM). L’IAM peut également contribuer à relier les villes à des régions difficiles d’accès par les transports de surface ou qui ne disposent pas de l’infrastructure ou de l’échelle nécessaires pour soutenir un service d’aviation régionale. Afin de soutenir le déploiement de solutions innovantes en matière de mobilité aérienne fournissant de nouveaux services à toutes les communautés, la Commission a indiqué, dans sa stratégie Drone 2.0, son intention d’adopter de nouvelles règles de sécurité communes couvrant la certification des grands drones de fret et de passagers, ainsi que de l’eVTOL avec équipage, des exploitants de drones et des pilotes à distance.</w:t>
      </w:r>
    </w:p>
    <w:p w14:paraId="29CEDF3E" w14:textId="77777777" w:rsidR="0026432C" w:rsidRPr="00411ACF" w:rsidRDefault="0026432C" w:rsidP="0026432C">
      <w:pPr>
        <w:widowControl w:val="0"/>
        <w:spacing w:after="120"/>
        <w:rPr>
          <w:rFonts w:ascii="Times New Roman" w:hAnsi="Times New Roman"/>
          <w:szCs w:val="24"/>
        </w:rPr>
      </w:pPr>
      <w:r>
        <w:rPr>
          <w:rFonts w:ascii="Times New Roman" w:hAnsi="Times New Roman"/>
        </w:rPr>
        <w:t xml:space="preserve">La stratégie Drone 2.0 a mis en évidence le rôle central des communautés locales, des villes et des régions pour assurer l’alignement des services aériens innovants sur les besoins et les préférences de leurs citoyens. Elles devraient décider en grande partie de la mesure dans laquelle des drones peuvent être exploités sur leur territoire. Comme indiqué dans la stratégie </w:t>
      </w:r>
      <w:r>
        <w:rPr>
          <w:rFonts w:ascii="Times New Roman" w:hAnsi="Times New Roman"/>
        </w:rPr>
        <w:lastRenderedPageBreak/>
        <w:t>Drone, la Commission finance un projet pilote proposé par le Parlement européen qui vise à créer une plateforme IAM durable par l’AESA, en tant que plateforme en ligne qui aide les autorités, les villes, l’industrie et les parties prenantes à mettre en œuvre une mobilité aérienne innovante. La Commission entend également continuer à soutenir les villes et les régions dans le cadre de la communauté des villes de l’initiative pour la mobilité aérienne urbaine (UIC²).</w:t>
      </w:r>
    </w:p>
    <w:p w14:paraId="00570772"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stratégie Drone 2.0 de la Commission soutient également la création d’un réseau de simulations et de centres d’essais en vol, également destinés aux utilisateurs d’aéronefs à double usage (civil/de défense), afin d’aborder tous les aspects d’un déploiement commercial durable et sûr de la mobilité aérienne et de faciliter un enrichissement technologique croisé aux niveaux national et européen.</w:t>
      </w:r>
    </w:p>
    <w:p w14:paraId="25C5638D" w14:textId="77777777" w:rsidR="0026432C" w:rsidRPr="00411ACF" w:rsidRDefault="0026432C" w:rsidP="0026432C">
      <w:pPr>
        <w:widowControl w:val="0"/>
        <w:spacing w:after="120"/>
        <w:rPr>
          <w:rFonts w:ascii="Times New Roman" w:hAnsi="Times New Roman"/>
          <w:szCs w:val="24"/>
        </w:rPr>
      </w:pPr>
      <w:r>
        <w:rPr>
          <w:rFonts w:ascii="Times New Roman" w:hAnsi="Times New Roman"/>
          <w:u w:val="single"/>
        </w:rPr>
        <w:t>Paragraphe 107</w:t>
      </w:r>
      <w:r>
        <w:rPr>
          <w:rFonts w:ascii="Times New Roman" w:hAnsi="Times New Roman"/>
        </w:rPr>
        <w:t>: (collecte et partage de données sur les transports et la mobilité en Europe)</w:t>
      </w:r>
    </w:p>
    <w:p w14:paraId="2088E879" w14:textId="77777777" w:rsidR="0026432C" w:rsidRPr="00411ACF" w:rsidRDefault="0026432C" w:rsidP="0026432C">
      <w:pPr>
        <w:widowControl w:val="0"/>
        <w:spacing w:after="120"/>
        <w:rPr>
          <w:rFonts w:ascii="Times New Roman" w:hAnsi="Times New Roman"/>
          <w:szCs w:val="24"/>
        </w:rPr>
      </w:pPr>
      <w:r>
        <w:rPr>
          <w:rFonts w:ascii="Times New Roman" w:hAnsi="Times New Roman"/>
        </w:rPr>
        <w:t>La Commission convient qu’il importe de soutenir les villes en ce qui concerne la collecte de données sur la mobilité urbaine et indique que cette activité a été spécifiquement mise en avant comme une activité recommandée pour les États membres dans la recommandation de la Commission relative aux programmes nationaux de soutien aux PMUD. En outre, la Commission prévoit de mobiliser des subventions au titre du budget du MIE consacré à l’assistance technique pour soutenir les nœuds urbains qui satisfont aux exigences proposées en matière d’établissement de rapports sur les indicateurs de mobilité urbaine durable. Une communication de la Commission sur la création de l’espace européen commun des données sur la mobilité est prévue pour cette année, qui annoncera les objectifs et la voie à suivre proposée. Afin de soutenir le déploiement de l’espace européen commun des données sur la mobilité, en particulier dans les villes, un projet</w:t>
      </w:r>
      <w:r>
        <w:rPr>
          <w:rStyle w:val="FootnoteReference"/>
          <w:rFonts w:ascii="Times New Roman" w:hAnsi="Times New Roman"/>
          <w:szCs w:val="24"/>
        </w:rPr>
        <w:footnoteReference w:id="7"/>
      </w:r>
      <w:r>
        <w:rPr>
          <w:rFonts w:ascii="Times New Roman" w:hAnsi="Times New Roman"/>
        </w:rPr>
        <w:t xml:space="preserve"> est prévu pour déployer plusieurs cas d’utilisation pleinement opérationnels et pratiques dans l’espace de données sur la mobilité, permettant aux participants de mettre des données à disposition et de partager des données de manière contrôlée, simple et sécurisée. Il se concentrera sur les cas d’utilisation du partage de données liés aux indicateurs relatifs aux déplacements, à la circulation et à la mobilité urbaine.</w:t>
      </w:r>
    </w:p>
    <w:p w14:paraId="3F4B406D"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Paragraphes 110 à 112</w:t>
      </w:r>
      <w:r>
        <w:rPr>
          <w:rFonts w:ascii="Times New Roman" w:hAnsi="Times New Roman"/>
        </w:rPr>
        <w:t>: (services de billetterie multimodale)</w:t>
      </w:r>
    </w:p>
    <w:p w14:paraId="44F3609A" w14:textId="77777777" w:rsidR="0026432C" w:rsidRPr="00411ACF" w:rsidRDefault="0026432C" w:rsidP="0026432C">
      <w:pPr>
        <w:spacing w:after="120"/>
        <w:rPr>
          <w:rFonts w:ascii="Times New Roman" w:hAnsi="Times New Roman"/>
          <w:szCs w:val="24"/>
        </w:rPr>
      </w:pPr>
      <w:r>
        <w:rPr>
          <w:rFonts w:ascii="Times New Roman" w:hAnsi="Times New Roman"/>
        </w:rPr>
        <w:t>La Commission est en mesure de confirmer que l’initiative sur les services numériques de mobilité multimodale est en cours de préparation afin de faciliter les services de billetterie permettant aux utilisateurs de comparer, de combiner et de réserver des billets dans l’ensemble de l’UE, l’accent étant mis sur les solutions sectorielles de billetterie transfrontière et longue distance. Les solutions sectorielles n’ont pas encore été suffisamment mises en œuvre, et la Commission estime que des obligations supplémentaires sont nécessaires pour relever les défis recensés. En outre, la Commission réexamine actuellement le règlement délégué (UE) 2017/1926 relatif aux services d’information sur les déplacements multimodaux afin d’améliorer encore le développement et la qualité des services d’information des voyageurs et de veiller à ce que des données en temps réel soient accessibles aux points d’accès nationaux.</w:t>
      </w:r>
    </w:p>
    <w:p w14:paraId="47CDC6F7" w14:textId="77777777" w:rsidR="0026432C" w:rsidRPr="00411ACF" w:rsidRDefault="0026432C" w:rsidP="0026432C">
      <w:pPr>
        <w:spacing w:after="120"/>
        <w:rPr>
          <w:rFonts w:ascii="Times New Roman" w:hAnsi="Times New Roman"/>
          <w:szCs w:val="24"/>
        </w:rPr>
      </w:pPr>
      <w:r>
        <w:rPr>
          <w:rFonts w:ascii="Times New Roman" w:hAnsi="Times New Roman"/>
          <w:u w:val="single"/>
        </w:rPr>
        <w:t>Paragraphe 115</w:t>
      </w:r>
      <w:r>
        <w:rPr>
          <w:rFonts w:ascii="Times New Roman" w:hAnsi="Times New Roman"/>
        </w:rPr>
        <w:t>: (stationnement sécurisé pour vélos/lutte contre le vol de vélos)</w:t>
      </w:r>
    </w:p>
    <w:p w14:paraId="707D4CC4" w14:textId="3C56D576" w:rsidR="00E668DE" w:rsidRPr="0026432C" w:rsidRDefault="0026432C" w:rsidP="0026432C">
      <w:r>
        <w:rPr>
          <w:rFonts w:ascii="Times New Roman" w:hAnsi="Times New Roman"/>
        </w:rPr>
        <w:t>La Commission analysera la faisabilité d’un soutien aux collectivités locales et régionales pour la mise à disposition d’emplacements de stationnement et d’installations de stockage de vélos sécurisés.</w:t>
      </w:r>
    </w:p>
    <w:sectPr w:rsidR="00E668DE" w:rsidRPr="002643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E860" w14:textId="77777777" w:rsidR="00FD744F" w:rsidRDefault="00FD744F" w:rsidP="001F071E">
      <w:pPr>
        <w:spacing w:after="0"/>
      </w:pPr>
      <w:r>
        <w:separator/>
      </w:r>
    </w:p>
  </w:endnote>
  <w:endnote w:type="continuationSeparator" w:id="0">
    <w:p w14:paraId="05E63EC2" w14:textId="77777777" w:rsidR="00FD744F" w:rsidRDefault="00FD744F" w:rsidP="001F0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3B42" w14:textId="77777777" w:rsidR="00B434C6" w:rsidRDefault="00B4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21462"/>
      <w:docPartObj>
        <w:docPartGallery w:val="Page Numbers (Bottom of Page)"/>
        <w:docPartUnique/>
      </w:docPartObj>
    </w:sdtPr>
    <w:sdtEndPr>
      <w:rPr>
        <w:noProof/>
      </w:rPr>
    </w:sdtEndPr>
    <w:sdtContent>
      <w:p w14:paraId="17D771BE" w14:textId="344FE894" w:rsidR="008347FC" w:rsidRDefault="008347FC">
        <w:pPr>
          <w:pStyle w:val="Footer"/>
          <w:jc w:val="center"/>
        </w:pPr>
        <w:r>
          <w:fldChar w:fldCharType="begin"/>
        </w:r>
        <w:r>
          <w:instrText xml:space="preserve"> PAGE   \* MERGEFORMAT </w:instrText>
        </w:r>
        <w:r>
          <w:fldChar w:fldCharType="separate"/>
        </w:r>
        <w:r>
          <w:t>11</w:t>
        </w:r>
        <w:r>
          <w:fldChar w:fldCharType="end"/>
        </w:r>
      </w:p>
    </w:sdtContent>
  </w:sdt>
  <w:p w14:paraId="015C8DE8" w14:textId="77777777" w:rsidR="008347FC" w:rsidRDefault="00834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7251" w14:textId="77777777" w:rsidR="00B434C6" w:rsidRDefault="00B4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6E10" w14:textId="77777777" w:rsidR="00FD744F" w:rsidRDefault="00FD744F" w:rsidP="001F071E">
      <w:pPr>
        <w:spacing w:after="0"/>
      </w:pPr>
      <w:r>
        <w:separator/>
      </w:r>
    </w:p>
  </w:footnote>
  <w:footnote w:type="continuationSeparator" w:id="0">
    <w:p w14:paraId="2DE8D3E9" w14:textId="77777777" w:rsidR="00FD744F" w:rsidRDefault="00FD744F" w:rsidP="001F071E">
      <w:pPr>
        <w:spacing w:after="0"/>
      </w:pPr>
      <w:r>
        <w:continuationSeparator/>
      </w:r>
    </w:p>
  </w:footnote>
  <w:footnote w:id="1">
    <w:p w14:paraId="6A47E0A3" w14:textId="77777777" w:rsidR="0026432C" w:rsidRPr="002A3CDB" w:rsidRDefault="0026432C" w:rsidP="0026432C">
      <w:pPr>
        <w:pStyle w:val="FootnoteText"/>
        <w:spacing w:after="0"/>
        <w:rPr>
          <w:rFonts w:ascii="Times New Roman" w:hAnsi="Times New Roman"/>
        </w:rPr>
      </w:pPr>
      <w:r>
        <w:rPr>
          <w:rStyle w:val="FootnoteReference"/>
        </w:rPr>
        <w:footnoteRef/>
      </w:r>
      <w:r>
        <w:t xml:space="preserve"> </w:t>
      </w:r>
      <w:r>
        <w:tab/>
      </w:r>
      <w:hyperlink r:id="rId1" w:history="1">
        <w:r>
          <w:rPr>
            <w:rStyle w:val="Hyperlink"/>
            <w:rFonts w:ascii="Times New Roman" w:hAnsi="Times New Roman"/>
          </w:rPr>
          <w:t>https://ec.europa.eu/social/main.jsp?catId=1141&amp;langId=fr</w:t>
        </w:r>
      </w:hyperlink>
    </w:p>
  </w:footnote>
  <w:footnote w:id="2">
    <w:p w14:paraId="6281C613" w14:textId="77777777" w:rsidR="0026432C" w:rsidRPr="003F7D01" w:rsidRDefault="0026432C" w:rsidP="0026432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Directive (UE) 2019/882 du Parlement européen et du Conseil du 17 avril 2019 relative aux exigences en matière d’accessibilité applicables aux produits et services. </w:t>
      </w:r>
      <w:hyperlink r:id="rId2" w:history="1">
        <w:r>
          <w:rPr>
            <w:rStyle w:val="Hyperlink"/>
            <w:rFonts w:ascii="Times New Roman" w:hAnsi="Times New Roman"/>
          </w:rPr>
          <w:t>https://eur-lex.europa.eu/legal-content/FR/TXT/?uri=celex%3A32019L0882</w:t>
        </w:r>
      </w:hyperlink>
      <w:r>
        <w:rPr>
          <w:rFonts w:ascii="Times New Roman" w:hAnsi="Times New Roman"/>
        </w:rPr>
        <w:t xml:space="preserve"> </w:t>
      </w:r>
    </w:p>
  </w:footnote>
  <w:footnote w:id="3">
    <w:p w14:paraId="2798A038" w14:textId="77777777" w:rsidR="0026432C" w:rsidRPr="002A3CDB" w:rsidRDefault="0026432C" w:rsidP="0026432C">
      <w:pPr>
        <w:pStyle w:val="FootnoteText"/>
        <w:spacing w:after="0"/>
        <w:rPr>
          <w:rFonts w:ascii="Times New Roman" w:hAnsi="Times New Roman"/>
        </w:rPr>
      </w:pPr>
      <w:r>
        <w:rPr>
          <w:rStyle w:val="FootnoteReference"/>
        </w:rPr>
        <w:footnoteRef/>
      </w:r>
      <w:r>
        <w:t xml:space="preserve"> </w:t>
      </w:r>
      <w:r>
        <w:tab/>
      </w:r>
      <w:hyperlink r:id="rId3" w:history="1">
        <w:r>
          <w:rPr>
            <w:rStyle w:val="Hyperlink"/>
            <w:rFonts w:ascii="Times New Roman" w:hAnsi="Times New Roman"/>
          </w:rPr>
          <w:t>https://research-and-innovation.ec.europa.eu/funding/funding-opportunities/funding-programmes-and-open-calls/horizon-europe/eu-missions-horizon-europe/climate-neutral-and-smart-cities_en</w:t>
        </w:r>
      </w:hyperlink>
    </w:p>
  </w:footnote>
  <w:footnote w:id="4">
    <w:p w14:paraId="25474B9A" w14:textId="77777777" w:rsidR="0026432C" w:rsidRPr="002A3CDB" w:rsidRDefault="0026432C" w:rsidP="0026432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4" w:history="1">
        <w:r>
          <w:rPr>
            <w:rStyle w:val="Hyperlink"/>
            <w:rFonts w:ascii="Times New Roman" w:hAnsi="Times New Roman"/>
          </w:rPr>
          <w:t>https://eu-mayors.ec.europa.eu/fr/home?etrans=fr</w:t>
        </w:r>
      </w:hyperlink>
    </w:p>
  </w:footnote>
  <w:footnote w:id="5">
    <w:p w14:paraId="3B2C22D2" w14:textId="77777777" w:rsidR="0026432C" w:rsidRPr="002A3CDB" w:rsidRDefault="0026432C" w:rsidP="0026432C">
      <w:pPr>
        <w:spacing w:after="0"/>
        <w:ind w:left="357" w:hanging="357"/>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tab/>
      </w:r>
      <w:hyperlink r:id="rId5" w:history="1">
        <w:r>
          <w:rPr>
            <w:rStyle w:val="Hyperlink"/>
            <w:rFonts w:ascii="Times New Roman" w:hAnsi="Times New Roman"/>
            <w:sz w:val="20"/>
          </w:rPr>
          <w:t>https://environment.ec.europa.eu/topics/urban-environment/green-city-accord_en</w:t>
        </w:r>
      </w:hyperlink>
      <w:r>
        <w:rPr>
          <w:rFonts w:ascii="Times New Roman" w:hAnsi="Times New Roman"/>
          <w:sz w:val="20"/>
        </w:rPr>
        <w:t xml:space="preserve"> </w:t>
      </w:r>
    </w:p>
  </w:footnote>
  <w:footnote w:id="6">
    <w:p w14:paraId="27409DE5" w14:textId="77777777" w:rsidR="0026432C" w:rsidRPr="00483427" w:rsidRDefault="0026432C" w:rsidP="0026432C">
      <w:pPr>
        <w:pStyle w:val="FootnoteText"/>
        <w:spacing w:after="0"/>
      </w:pPr>
      <w:r>
        <w:rPr>
          <w:rStyle w:val="FootnoteReference"/>
          <w:rFonts w:ascii="Times New Roman" w:hAnsi="Times New Roman"/>
        </w:rPr>
        <w:footnoteRef/>
      </w:r>
      <w:r>
        <w:rPr>
          <w:rFonts w:ascii="Times New Roman" w:hAnsi="Times New Roman"/>
        </w:rPr>
        <w:t xml:space="preserve"> </w:t>
      </w:r>
      <w:r>
        <w:tab/>
      </w:r>
      <w:hyperlink r:id="rId6" w:history="1">
        <w:r>
          <w:rPr>
            <w:rStyle w:val="Hyperlink"/>
            <w:rFonts w:ascii="Times New Roman" w:hAnsi="Times New Roman"/>
          </w:rPr>
          <w:t>https://civitas.eu/</w:t>
        </w:r>
      </w:hyperlink>
    </w:p>
  </w:footnote>
  <w:footnote w:id="7">
    <w:p w14:paraId="74F6183B" w14:textId="77777777" w:rsidR="0026432C" w:rsidRPr="002A3CDB" w:rsidRDefault="0026432C" w:rsidP="0026432C">
      <w:pPr>
        <w:spacing w:after="0" w:line="257" w:lineRule="auto"/>
        <w:ind w:left="357" w:hanging="357"/>
        <w:rPr>
          <w:rFonts w:ascii="Times New Roman" w:hAnsi="Times New Roman"/>
          <w:sz w:val="20"/>
        </w:rPr>
      </w:pPr>
      <w:r>
        <w:rPr>
          <w:rStyle w:val="FootnoteReference"/>
        </w:rPr>
        <w:footnoteRef/>
      </w:r>
      <w:r>
        <w:t xml:space="preserve"> </w:t>
      </w:r>
      <w:r>
        <w:tab/>
      </w:r>
      <w:hyperlink r:id="rId7">
        <w:r>
          <w:rPr>
            <w:rStyle w:val="Hyperlink"/>
            <w:rFonts w:ascii="Times New Roman" w:hAnsi="Times New Roman"/>
            <w:sz w:val="20"/>
          </w:rPr>
          <w:t>DIGITAL-2022-CLOUD-AI-03-DS-MOBILITY</w:t>
        </w:r>
      </w:hyperlink>
    </w:p>
    <w:p w14:paraId="200C788F" w14:textId="77777777" w:rsidR="0026432C" w:rsidRPr="0090119F" w:rsidRDefault="0026432C" w:rsidP="0026432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0806" w14:textId="77777777" w:rsidR="00B434C6" w:rsidRDefault="00B4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66CA" w14:textId="77777777" w:rsidR="00B434C6" w:rsidRDefault="00B43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AB8" w14:textId="77777777" w:rsidR="00B434C6" w:rsidRDefault="00B4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3C8"/>
    <w:multiLevelType w:val="hybridMultilevel"/>
    <w:tmpl w:val="29423588"/>
    <w:lvl w:ilvl="0" w:tplc="F7680BB2">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3464BE6"/>
    <w:multiLevelType w:val="hybridMultilevel"/>
    <w:tmpl w:val="B28C2AE2"/>
    <w:lvl w:ilvl="0" w:tplc="505A15A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435903262">
    <w:abstractNumId w:val="1"/>
  </w:num>
  <w:num w:numId="2" w16cid:durableId="99296577">
    <w:abstractNumId w:val="0"/>
  </w:num>
  <w:num w:numId="3" w16cid:durableId="35742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a-DK"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1E"/>
    <w:rsid w:val="000070BC"/>
    <w:rsid w:val="000128AB"/>
    <w:rsid w:val="00032525"/>
    <w:rsid w:val="000B6B7F"/>
    <w:rsid w:val="000C0395"/>
    <w:rsid w:val="00120B82"/>
    <w:rsid w:val="00135030"/>
    <w:rsid w:val="001F0447"/>
    <w:rsid w:val="001F071E"/>
    <w:rsid w:val="00260D05"/>
    <w:rsid w:val="0026432C"/>
    <w:rsid w:val="002A3CDB"/>
    <w:rsid w:val="00300DA0"/>
    <w:rsid w:val="003938C2"/>
    <w:rsid w:val="003F534A"/>
    <w:rsid w:val="003F7D01"/>
    <w:rsid w:val="00423798"/>
    <w:rsid w:val="00483427"/>
    <w:rsid w:val="00492203"/>
    <w:rsid w:val="004B7D46"/>
    <w:rsid w:val="004C3E11"/>
    <w:rsid w:val="004D2716"/>
    <w:rsid w:val="00503908"/>
    <w:rsid w:val="0053731E"/>
    <w:rsid w:val="00583737"/>
    <w:rsid w:val="005A3D69"/>
    <w:rsid w:val="005A5F67"/>
    <w:rsid w:val="005B2172"/>
    <w:rsid w:val="005F4F0F"/>
    <w:rsid w:val="00637BA0"/>
    <w:rsid w:val="0065028F"/>
    <w:rsid w:val="00650C4A"/>
    <w:rsid w:val="006819F1"/>
    <w:rsid w:val="006A32D8"/>
    <w:rsid w:val="006D0443"/>
    <w:rsid w:val="006D1F7A"/>
    <w:rsid w:val="006F1985"/>
    <w:rsid w:val="0077385B"/>
    <w:rsid w:val="007A3920"/>
    <w:rsid w:val="007B34F8"/>
    <w:rsid w:val="008347FC"/>
    <w:rsid w:val="008671DE"/>
    <w:rsid w:val="008B7B84"/>
    <w:rsid w:val="008F31CE"/>
    <w:rsid w:val="00911035"/>
    <w:rsid w:val="0094130A"/>
    <w:rsid w:val="00956ECE"/>
    <w:rsid w:val="00995588"/>
    <w:rsid w:val="009B6223"/>
    <w:rsid w:val="009C1E6A"/>
    <w:rsid w:val="009C2612"/>
    <w:rsid w:val="009D4082"/>
    <w:rsid w:val="009E5CF1"/>
    <w:rsid w:val="00A21C75"/>
    <w:rsid w:val="00A37E01"/>
    <w:rsid w:val="00A53016"/>
    <w:rsid w:val="00A70D8D"/>
    <w:rsid w:val="00A713CB"/>
    <w:rsid w:val="00A84A79"/>
    <w:rsid w:val="00AB5E21"/>
    <w:rsid w:val="00AD31C5"/>
    <w:rsid w:val="00B1474D"/>
    <w:rsid w:val="00B434C6"/>
    <w:rsid w:val="00BE57BE"/>
    <w:rsid w:val="00C018D9"/>
    <w:rsid w:val="00C07582"/>
    <w:rsid w:val="00C228FB"/>
    <w:rsid w:val="00C8181E"/>
    <w:rsid w:val="00C947B1"/>
    <w:rsid w:val="00C95DA4"/>
    <w:rsid w:val="00CB6FE7"/>
    <w:rsid w:val="00CC1746"/>
    <w:rsid w:val="00CD73DD"/>
    <w:rsid w:val="00CE20F8"/>
    <w:rsid w:val="00D156C4"/>
    <w:rsid w:val="00D1689E"/>
    <w:rsid w:val="00D228A1"/>
    <w:rsid w:val="00D46FF4"/>
    <w:rsid w:val="00D81E85"/>
    <w:rsid w:val="00D865B1"/>
    <w:rsid w:val="00DB2784"/>
    <w:rsid w:val="00DC7EA8"/>
    <w:rsid w:val="00E004E4"/>
    <w:rsid w:val="00E409D3"/>
    <w:rsid w:val="00E4775D"/>
    <w:rsid w:val="00E668DE"/>
    <w:rsid w:val="00E958E8"/>
    <w:rsid w:val="00EF2ACA"/>
    <w:rsid w:val="00F02C3F"/>
    <w:rsid w:val="00F07FA0"/>
    <w:rsid w:val="00F2721D"/>
    <w:rsid w:val="00F52C27"/>
    <w:rsid w:val="00F57BB3"/>
    <w:rsid w:val="00F61C4D"/>
    <w:rsid w:val="00F635B8"/>
    <w:rsid w:val="00FB121A"/>
    <w:rsid w:val="00FC0511"/>
    <w:rsid w:val="00FD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764C"/>
  <w15:chartTrackingRefBased/>
  <w15:docId w15:val="{C553E913-6C7C-4390-9288-1E9F9504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1E"/>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ußnote,Geneva 9"/>
    <w:basedOn w:val="Normal"/>
    <w:link w:val="FootnoteTextChar2"/>
    <w:uiPriority w:val="99"/>
    <w:qFormat/>
    <w:rsid w:val="001F071E"/>
    <w:pPr>
      <w:ind w:left="357" w:hanging="357"/>
    </w:pPr>
    <w:rPr>
      <w:sz w:val="20"/>
    </w:rPr>
  </w:style>
  <w:style w:type="character" w:customStyle="1" w:styleId="FootnoteTextChar">
    <w:name w:val="Footnote Text Char"/>
    <w:basedOn w:val="DefaultParagraphFont"/>
    <w:uiPriority w:val="99"/>
    <w:semiHidden/>
    <w:rsid w:val="001F071E"/>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071E"/>
    <w:rPr>
      <w:vertAlign w:val="superscript"/>
    </w:rPr>
  </w:style>
  <w:style w:type="character" w:styleId="Hyperlink">
    <w:name w:val="Hyperlink"/>
    <w:aliases w:val="Char1"/>
    <w:qFormat/>
    <w:rsid w:val="001F071E"/>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qFormat/>
    <w:rsid w:val="001F071E"/>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1F071E"/>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Heading 2_sj,Report Para,EC"/>
    <w:basedOn w:val="Normal"/>
    <w:link w:val="ListParagraphChar"/>
    <w:uiPriority w:val="34"/>
    <w:qFormat/>
    <w:rsid w:val="00483427"/>
    <w:pPr>
      <w:ind w:left="720"/>
      <w:contextualSpacing/>
    </w:pPr>
  </w:style>
  <w:style w:type="character" w:customStyle="1" w:styleId="UnresolvedMention1">
    <w:name w:val="Unresolved Mention1"/>
    <w:basedOn w:val="DefaultParagraphFont"/>
    <w:uiPriority w:val="99"/>
    <w:semiHidden/>
    <w:unhideWhenUsed/>
    <w:rsid w:val="00483427"/>
    <w:rPr>
      <w:color w:val="605E5C"/>
      <w:shd w:val="clear" w:color="auto" w:fill="E1DFDD"/>
    </w:rPr>
  </w:style>
  <w:style w:type="paragraph" w:customStyle="1" w:styleId="normalhanging12a">
    <w:name w:val="normalhanging12a"/>
    <w:basedOn w:val="Normal"/>
    <w:rsid w:val="00F57BB3"/>
    <w:pPr>
      <w:ind w:left="567" w:hanging="567"/>
      <w:jc w:val="left"/>
    </w:pPr>
    <w:rPr>
      <w:rFonts w:ascii="Times New Roman" w:eastAsiaTheme="minorHAnsi" w:hAnsi="Times New Roman"/>
      <w:szCs w:val="24"/>
      <w:lang w:eastAsia="en-IE"/>
    </w:rPr>
  </w:style>
  <w:style w:type="paragraph" w:customStyle="1" w:styleId="NormalHanging12a0">
    <w:name w:val="NormalHanging12a"/>
    <w:basedOn w:val="Normal"/>
    <w:link w:val="NormalHanging12aChar"/>
    <w:rsid w:val="0077385B"/>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0"/>
    <w:locked/>
    <w:rsid w:val="0077385B"/>
    <w:rPr>
      <w:rFonts w:ascii="Times New Roman" w:eastAsia="Times New Roman" w:hAnsi="Times New Roman" w:cs="Times New Roman"/>
      <w:sz w:val="24"/>
      <w:szCs w:val="20"/>
      <w:lang w:eastAsia="en-GB"/>
    </w:rPr>
  </w:style>
  <w:style w:type="paragraph" w:styleId="NormalWeb">
    <w:name w:val="Normal (Web)"/>
    <w:aliases w:val=" webb,webb"/>
    <w:basedOn w:val="Normal"/>
    <w:link w:val="NormalWebChar"/>
    <w:uiPriority w:val="99"/>
    <w:unhideWhenUsed/>
    <w:rsid w:val="00995588"/>
    <w:pPr>
      <w:spacing w:before="100" w:beforeAutospacing="1" w:after="100" w:afterAutospacing="1"/>
      <w:jc w:val="left"/>
    </w:pPr>
    <w:rPr>
      <w:rFonts w:ascii="Times New Roman" w:hAnsi="Times New Roman"/>
      <w:szCs w:val="24"/>
    </w:rPr>
  </w:style>
  <w:style w:type="table" w:styleId="TableGrid">
    <w:name w:val="Table Grid"/>
    <w:basedOn w:val="TableNormal"/>
    <w:uiPriority w:val="39"/>
    <w:rsid w:val="00C8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ingtextChar">
    <w:name w:val="Briefing text Char"/>
    <w:basedOn w:val="DefaultParagraphFont"/>
    <w:link w:val="Briefingtext"/>
    <w:uiPriority w:val="99"/>
    <w:locked/>
    <w:rsid w:val="008B7B84"/>
    <w:rPr>
      <w:rFonts w:ascii="Arial" w:hAnsi="Arial" w:cs="Arial"/>
    </w:rPr>
  </w:style>
  <w:style w:type="paragraph" w:customStyle="1" w:styleId="Briefingtext">
    <w:name w:val="Briefing text"/>
    <w:basedOn w:val="Normal"/>
    <w:link w:val="BriefingtextChar"/>
    <w:uiPriority w:val="99"/>
    <w:rsid w:val="008B7B84"/>
    <w:pPr>
      <w:spacing w:after="120"/>
    </w:pPr>
    <w:rPr>
      <w:rFonts w:ascii="Arial" w:eastAsiaTheme="minorHAnsi" w:hAnsi="Arial" w:cs="Arial"/>
      <w:sz w:val="22"/>
      <w:szCs w:val="22"/>
      <w:lang w:eastAsia="en-US"/>
    </w:rPr>
  </w:style>
  <w:style w:type="character" w:styleId="CommentReference">
    <w:name w:val="annotation reference"/>
    <w:basedOn w:val="DefaultParagraphFont"/>
    <w:uiPriority w:val="99"/>
    <w:semiHidden/>
    <w:unhideWhenUsed/>
    <w:rsid w:val="008671DE"/>
    <w:rPr>
      <w:sz w:val="16"/>
      <w:szCs w:val="16"/>
    </w:rPr>
  </w:style>
  <w:style w:type="paragraph" w:styleId="CommentText">
    <w:name w:val="annotation text"/>
    <w:basedOn w:val="Normal"/>
    <w:link w:val="CommentTextChar"/>
    <w:uiPriority w:val="99"/>
    <w:unhideWhenUsed/>
    <w:rsid w:val="008671DE"/>
    <w:rPr>
      <w:sz w:val="20"/>
    </w:rPr>
  </w:style>
  <w:style w:type="character" w:customStyle="1" w:styleId="CommentTextChar">
    <w:name w:val="Comment Text Char"/>
    <w:basedOn w:val="DefaultParagraphFont"/>
    <w:link w:val="CommentText"/>
    <w:uiPriority w:val="99"/>
    <w:rsid w:val="008671DE"/>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71DE"/>
    <w:rPr>
      <w:b/>
      <w:bCs/>
    </w:rPr>
  </w:style>
  <w:style w:type="character" w:customStyle="1" w:styleId="CommentSubjectChar">
    <w:name w:val="Comment Subject Char"/>
    <w:basedOn w:val="CommentTextChar"/>
    <w:link w:val="CommentSubject"/>
    <w:uiPriority w:val="99"/>
    <w:semiHidden/>
    <w:rsid w:val="008671DE"/>
    <w:rPr>
      <w:rFonts w:ascii="Courier New" w:eastAsia="Times New Roman" w:hAnsi="Courier New" w:cs="Times New Roman"/>
      <w:b/>
      <w:bCs/>
      <w:sz w:val="20"/>
      <w:szCs w:val="20"/>
      <w:lang w:eastAsia="en-GB"/>
    </w:rPr>
  </w:style>
  <w:style w:type="paragraph" w:styleId="Revision">
    <w:name w:val="Revision"/>
    <w:hidden/>
    <w:uiPriority w:val="99"/>
    <w:semiHidden/>
    <w:rsid w:val="008671DE"/>
    <w:pPr>
      <w:spacing w:after="0" w:line="240" w:lineRule="auto"/>
    </w:pPr>
    <w:rPr>
      <w:rFonts w:ascii="Courier New" w:eastAsia="Times New Roman" w:hAnsi="Courier New" w:cs="Times New Roman"/>
      <w:sz w:val="24"/>
      <w:szCs w:val="20"/>
      <w:lang w:eastAsia="en-GB"/>
    </w:rPr>
  </w:style>
  <w:style w:type="paragraph" w:styleId="BalloonText">
    <w:name w:val="Balloon Text"/>
    <w:basedOn w:val="Normal"/>
    <w:link w:val="BalloonTextChar"/>
    <w:uiPriority w:val="99"/>
    <w:semiHidden/>
    <w:unhideWhenUsed/>
    <w:rsid w:val="00CC17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4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8347FC"/>
    <w:pPr>
      <w:tabs>
        <w:tab w:val="center" w:pos="4513"/>
        <w:tab w:val="right" w:pos="9026"/>
      </w:tabs>
      <w:spacing w:after="0"/>
    </w:pPr>
  </w:style>
  <w:style w:type="character" w:customStyle="1" w:styleId="HeaderChar">
    <w:name w:val="Header Char"/>
    <w:basedOn w:val="DefaultParagraphFont"/>
    <w:link w:val="Header"/>
    <w:uiPriority w:val="99"/>
    <w:rsid w:val="008347FC"/>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8347FC"/>
    <w:pPr>
      <w:tabs>
        <w:tab w:val="center" w:pos="4513"/>
        <w:tab w:val="right" w:pos="9026"/>
      </w:tabs>
      <w:spacing w:after="0"/>
    </w:pPr>
  </w:style>
  <w:style w:type="character" w:customStyle="1" w:styleId="FooterChar">
    <w:name w:val="Footer Char"/>
    <w:basedOn w:val="DefaultParagraphFont"/>
    <w:link w:val="Footer"/>
    <w:uiPriority w:val="99"/>
    <w:rsid w:val="008347FC"/>
    <w:rPr>
      <w:rFonts w:ascii="Courier New" w:eastAsia="Times New Roman" w:hAnsi="Courier New" w:cs="Times New Roman"/>
      <w:sz w:val="24"/>
      <w:szCs w:val="20"/>
      <w:lang w:eastAsia="en-GB"/>
    </w:rPr>
  </w:style>
  <w:style w:type="character" w:styleId="UnresolvedMention">
    <w:name w:val="Unresolved Mention"/>
    <w:basedOn w:val="DefaultParagraphFont"/>
    <w:uiPriority w:val="99"/>
    <w:semiHidden/>
    <w:unhideWhenUsed/>
    <w:rsid w:val="002A3CDB"/>
    <w:rPr>
      <w:color w:val="605E5C"/>
      <w:shd w:val="clear" w:color="auto" w:fill="E1DFDD"/>
    </w:rPr>
  </w:style>
  <w:style w:type="character" w:styleId="Emphasis">
    <w:name w:val="Emphasis"/>
    <w:basedOn w:val="DefaultParagraphFont"/>
    <w:uiPriority w:val="20"/>
    <w:qFormat/>
    <w:rsid w:val="00DB2784"/>
    <w:rPr>
      <w:i/>
      <w:iCs/>
    </w:rPr>
  </w:style>
  <w:style w:type="character" w:customStyle="1" w:styleId="NormalWebChar">
    <w:name w:val="Normal (Web) Char"/>
    <w:aliases w:val=" webb Char,webb Char"/>
    <w:link w:val="NormalWeb"/>
    <w:rsid w:val="00A53016"/>
    <w:rPr>
      <w:rFonts w:ascii="Times New Roman" w:eastAsia="Times New Roman" w:hAnsi="Times New Roman" w:cs="Times New Roman"/>
      <w:sz w:val="24"/>
      <w:szCs w:val="24"/>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A53016"/>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61624">
      <w:bodyDiv w:val="1"/>
      <w:marLeft w:val="0"/>
      <w:marRight w:val="0"/>
      <w:marTop w:val="0"/>
      <w:marBottom w:val="0"/>
      <w:divBdr>
        <w:top w:val="none" w:sz="0" w:space="0" w:color="auto"/>
        <w:left w:val="none" w:sz="0" w:space="0" w:color="auto"/>
        <w:bottom w:val="none" w:sz="0" w:space="0" w:color="auto"/>
        <w:right w:val="none" w:sz="0" w:space="0" w:color="auto"/>
      </w:divBdr>
    </w:div>
    <w:div w:id="320349087">
      <w:bodyDiv w:val="1"/>
      <w:marLeft w:val="0"/>
      <w:marRight w:val="0"/>
      <w:marTop w:val="0"/>
      <w:marBottom w:val="0"/>
      <w:divBdr>
        <w:top w:val="none" w:sz="0" w:space="0" w:color="auto"/>
        <w:left w:val="none" w:sz="0" w:space="0" w:color="auto"/>
        <w:bottom w:val="none" w:sz="0" w:space="0" w:color="auto"/>
        <w:right w:val="none" w:sz="0" w:space="0" w:color="auto"/>
      </w:divBdr>
    </w:div>
    <w:div w:id="508718649">
      <w:bodyDiv w:val="1"/>
      <w:marLeft w:val="0"/>
      <w:marRight w:val="0"/>
      <w:marTop w:val="0"/>
      <w:marBottom w:val="0"/>
      <w:divBdr>
        <w:top w:val="none" w:sz="0" w:space="0" w:color="auto"/>
        <w:left w:val="none" w:sz="0" w:space="0" w:color="auto"/>
        <w:bottom w:val="none" w:sz="0" w:space="0" w:color="auto"/>
        <w:right w:val="none" w:sz="0" w:space="0" w:color="auto"/>
      </w:divBdr>
    </w:div>
    <w:div w:id="827135562">
      <w:bodyDiv w:val="1"/>
      <w:marLeft w:val="0"/>
      <w:marRight w:val="0"/>
      <w:marTop w:val="0"/>
      <w:marBottom w:val="0"/>
      <w:divBdr>
        <w:top w:val="none" w:sz="0" w:space="0" w:color="auto"/>
        <w:left w:val="none" w:sz="0" w:space="0" w:color="auto"/>
        <w:bottom w:val="none" w:sz="0" w:space="0" w:color="auto"/>
        <w:right w:val="none" w:sz="0" w:space="0" w:color="auto"/>
      </w:divBdr>
    </w:div>
    <w:div w:id="1652975438">
      <w:bodyDiv w:val="1"/>
      <w:marLeft w:val="0"/>
      <w:marRight w:val="0"/>
      <w:marTop w:val="0"/>
      <w:marBottom w:val="0"/>
      <w:divBdr>
        <w:top w:val="none" w:sz="0" w:space="0" w:color="auto"/>
        <w:left w:val="none" w:sz="0" w:space="0" w:color="auto"/>
        <w:bottom w:val="none" w:sz="0" w:space="0" w:color="auto"/>
        <w:right w:val="none" w:sz="0" w:space="0" w:color="auto"/>
      </w:divBdr>
    </w:div>
    <w:div w:id="20122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and-innovation.ec.europa.eu/funding/funding-opportunities/funding-programmes-and-open-calls/horizon-europe/eu-missions-horizon-europe/climate-neutral-and-smart-cities_en" TargetMode="External"/><Relationship Id="rId7" Type="http://schemas.openxmlformats.org/officeDocument/2006/relationships/hyperlink" Target="https://ec.europa.eu/info/funding-tenders/opportunities/portal/screen/opportunities/topic-details/digital-2022-cloud-ai-03-ds-mobility;callCode=null;freeTextSearchKeyword=;matchWholeText=fals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callTopicSearchTableState" TargetMode="External"/><Relationship Id="rId2" Type="http://schemas.openxmlformats.org/officeDocument/2006/relationships/hyperlink" Target="https://eur-lex.europa.eu/legal-content/FR/TXT/?uri=celex%3A32019L0882" TargetMode="External"/><Relationship Id="rId1" Type="http://schemas.openxmlformats.org/officeDocument/2006/relationships/hyperlink" Target="https://ec.europa.eu/social/main.jsp?catId=1141&amp;langId=fr" TargetMode="External"/><Relationship Id="rId6" Type="http://schemas.openxmlformats.org/officeDocument/2006/relationships/hyperlink" Target="https://civitas.eu/" TargetMode="External"/><Relationship Id="rId5" Type="http://schemas.openxmlformats.org/officeDocument/2006/relationships/hyperlink" Target="https://environment.ec.europa.eu/topics/urban-environment/green-city-accord_en" TargetMode="External"/><Relationship Id="rId4" Type="http://schemas.openxmlformats.org/officeDocument/2006/relationships/hyperlink" Target="https://eu-mayors.ec.europa.eu/fr/home?etran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89E9-EB5C-488D-B820-E89C3D4A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6057</Words>
  <Characters>34711</Characters>
  <Application>Microsoft Office Word</Application>
  <DocSecurity>0</DocSecurity>
  <Lines>488</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Phillip (MOVE)</dc:creator>
  <cp:keywords/>
  <dc:description/>
  <cp:lastModifiedBy>DELBAER Gerda (SG)</cp:lastModifiedBy>
  <cp:revision>2</cp:revision>
  <dcterms:created xsi:type="dcterms:W3CDTF">2023-10-13T07:30:00Z</dcterms:created>
  <dcterms:modified xsi:type="dcterms:W3CDTF">2023-10-13T07:30:00Z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2023-05-30T15:52:53Z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2886c901-0409-423b-bb51-3c8d676fb7ee</vt:lpwstr>
  </property>
  <property fmtid="{D5CDD505-2E9C-101B-9397-08002B2CF9AE}" pid="8" name="MSIP_Label_6bd9ddd1-4d20-43f6-abfa-fc3c07406f94_ContentBits">
    <vt:lpwstr>0</vt:lpwstr>
  </property>
</Properties>
</file>