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FA237B" w14:textId="77777777" w:rsidR="00E54D6D" w:rsidRPr="00E54D6D" w:rsidRDefault="00E54D6D" w:rsidP="00E54D6D">
      <w:pPr>
        <w:spacing w:after="600" w:line="240" w:lineRule="auto"/>
        <w:jc w:val="center"/>
        <w:rPr>
          <w:rFonts w:ascii="Times New Roman" w:eastAsia="Calibri" w:hAnsi="Times New Roman" w:cs="Times New Roman"/>
          <w:b/>
          <w:bCs/>
          <w:sz w:val="24"/>
          <w:szCs w:val="24"/>
          <w:lang w:eastAsia="en-GB"/>
        </w:rPr>
      </w:pPr>
      <w:bookmarkStart w:id="0" w:name="dialogue"/>
      <w:r w:rsidRPr="00E54D6D">
        <w:rPr>
          <w:rFonts w:ascii="Times New Roman" w:eastAsia="Calibri" w:hAnsi="Times New Roman" w:cs="Times New Roman"/>
          <w:b/>
          <w:bCs/>
          <w:sz w:val="24"/>
          <w:szCs w:val="24"/>
          <w:lang w:eastAsia="en-GB"/>
        </w:rPr>
        <w:t xml:space="preserve">Follow up to the European Parliament non-legislative resolution on strengthening social </w:t>
      </w:r>
      <w:proofErr w:type="gramStart"/>
      <w:r w:rsidRPr="00E54D6D">
        <w:rPr>
          <w:rFonts w:ascii="Times New Roman" w:eastAsia="Calibri" w:hAnsi="Times New Roman" w:cs="Times New Roman"/>
          <w:b/>
          <w:bCs/>
          <w:sz w:val="24"/>
          <w:szCs w:val="24"/>
          <w:lang w:eastAsia="en-GB"/>
        </w:rPr>
        <w:t>dialogue</w:t>
      </w:r>
      <w:proofErr w:type="gramEnd"/>
    </w:p>
    <w:bookmarkEnd w:id="0"/>
    <w:p w14:paraId="03301721" w14:textId="77777777" w:rsidR="00E54D6D" w:rsidRPr="00E54D6D" w:rsidRDefault="00E54D6D" w:rsidP="00E54D6D">
      <w:pPr>
        <w:spacing w:after="240" w:line="240" w:lineRule="auto"/>
        <w:ind w:left="567" w:hanging="567"/>
        <w:jc w:val="both"/>
        <w:rPr>
          <w:rFonts w:ascii="Times New Roman" w:eastAsia="Calibri" w:hAnsi="Times New Roman" w:cs="Times New Roman"/>
          <w:sz w:val="24"/>
          <w:szCs w:val="24"/>
          <w:lang w:eastAsia="ko-KR"/>
        </w:rPr>
      </w:pPr>
      <w:r w:rsidRPr="00E54D6D">
        <w:rPr>
          <w:rFonts w:ascii="Times New Roman" w:eastAsia="Calibri" w:hAnsi="Times New Roman" w:cs="Times New Roman"/>
          <w:b/>
          <w:sz w:val="24"/>
          <w:szCs w:val="24"/>
          <w:lang w:eastAsia="ko-KR"/>
        </w:rPr>
        <w:t>1.</w:t>
      </w:r>
      <w:r w:rsidRPr="00E54D6D">
        <w:rPr>
          <w:rFonts w:ascii="Times New Roman" w:eastAsia="Calibri" w:hAnsi="Times New Roman" w:cs="Times New Roman"/>
          <w:b/>
          <w:sz w:val="24"/>
          <w:szCs w:val="24"/>
          <w:lang w:eastAsia="ko-KR"/>
        </w:rPr>
        <w:tab/>
        <w:t>Resolution tabled pursuant to Rules 136(5) of the European Parliament's Rules of procedure</w:t>
      </w:r>
    </w:p>
    <w:p w14:paraId="66F4009D" w14:textId="77777777" w:rsidR="00E54D6D" w:rsidRPr="00E54D6D" w:rsidRDefault="00E54D6D" w:rsidP="00E54D6D">
      <w:pPr>
        <w:spacing w:after="240" w:line="240" w:lineRule="auto"/>
        <w:ind w:left="567" w:hanging="567"/>
        <w:jc w:val="both"/>
        <w:rPr>
          <w:rFonts w:ascii="Times New Roman" w:eastAsia="Calibri" w:hAnsi="Times New Roman" w:cs="Times New Roman"/>
          <w:bCs/>
          <w:sz w:val="24"/>
          <w:szCs w:val="24"/>
          <w:lang w:eastAsia="ko-KR"/>
        </w:rPr>
      </w:pPr>
      <w:r w:rsidRPr="00E54D6D">
        <w:rPr>
          <w:rFonts w:ascii="Times New Roman" w:eastAsia="Calibri" w:hAnsi="Times New Roman" w:cs="Times New Roman"/>
          <w:b/>
          <w:sz w:val="24"/>
          <w:szCs w:val="24"/>
          <w:lang w:eastAsia="ko-KR"/>
        </w:rPr>
        <w:t>2.</w:t>
      </w:r>
      <w:r w:rsidRPr="00E54D6D">
        <w:rPr>
          <w:rFonts w:ascii="Times New Roman" w:eastAsia="Calibri" w:hAnsi="Times New Roman" w:cs="Times New Roman"/>
          <w:b/>
          <w:sz w:val="24"/>
          <w:szCs w:val="24"/>
          <w:lang w:eastAsia="ko-KR"/>
        </w:rPr>
        <w:tab/>
        <w:t>Reference numbers</w:t>
      </w:r>
      <w:r w:rsidRPr="00E54D6D">
        <w:rPr>
          <w:rFonts w:ascii="Times New Roman" w:eastAsia="Calibri" w:hAnsi="Times New Roman" w:cs="Times New Roman"/>
          <w:bCs/>
          <w:sz w:val="24"/>
          <w:szCs w:val="24"/>
          <w:lang w:eastAsia="ko-KR"/>
        </w:rPr>
        <w:t>:</w:t>
      </w:r>
      <w:r w:rsidRPr="00E54D6D">
        <w:rPr>
          <w:rFonts w:ascii="Times New Roman" w:eastAsia="Calibri" w:hAnsi="Times New Roman" w:cs="Times New Roman"/>
          <w:b/>
          <w:sz w:val="24"/>
          <w:szCs w:val="24"/>
          <w:lang w:eastAsia="ko-KR"/>
        </w:rPr>
        <w:t xml:space="preserve"> </w:t>
      </w:r>
      <w:r w:rsidRPr="00E54D6D">
        <w:rPr>
          <w:rFonts w:ascii="Times New Roman" w:eastAsia="Calibri" w:hAnsi="Times New Roman" w:cs="Times New Roman"/>
          <w:bCs/>
          <w:sz w:val="24"/>
          <w:szCs w:val="24"/>
          <w:lang w:eastAsia="ko-KR"/>
        </w:rPr>
        <w:t>2023/2536 (RSP) / B9 - 0259/2023 / 2023 / P9_</w:t>
      </w:r>
      <w:proofErr w:type="gramStart"/>
      <w:r w:rsidRPr="00E54D6D">
        <w:rPr>
          <w:rFonts w:ascii="Times New Roman" w:eastAsia="Calibri" w:hAnsi="Times New Roman" w:cs="Times New Roman"/>
          <w:bCs/>
          <w:sz w:val="24"/>
          <w:szCs w:val="24"/>
          <w:lang w:eastAsia="ko-KR"/>
        </w:rPr>
        <w:t>TA(</w:t>
      </w:r>
      <w:proofErr w:type="gramEnd"/>
      <w:r w:rsidRPr="00E54D6D">
        <w:rPr>
          <w:rFonts w:ascii="Times New Roman" w:eastAsia="Calibri" w:hAnsi="Times New Roman" w:cs="Times New Roman"/>
          <w:bCs/>
          <w:sz w:val="24"/>
          <w:szCs w:val="24"/>
          <w:lang w:eastAsia="ko-KR"/>
        </w:rPr>
        <w:t>2023)0218</w:t>
      </w:r>
    </w:p>
    <w:p w14:paraId="39C866A6" w14:textId="77777777" w:rsidR="00E54D6D" w:rsidRPr="00E54D6D" w:rsidRDefault="00E54D6D" w:rsidP="00E54D6D">
      <w:pPr>
        <w:spacing w:after="240" w:line="240" w:lineRule="auto"/>
        <w:ind w:left="567" w:hanging="567"/>
        <w:jc w:val="both"/>
        <w:rPr>
          <w:rFonts w:ascii="Times New Roman" w:eastAsia="Calibri" w:hAnsi="Times New Roman" w:cs="Times New Roman"/>
          <w:sz w:val="24"/>
          <w:szCs w:val="24"/>
          <w:lang w:eastAsia="ko-KR"/>
        </w:rPr>
      </w:pPr>
      <w:r w:rsidRPr="00E54D6D">
        <w:rPr>
          <w:rFonts w:ascii="Times New Roman" w:eastAsia="Calibri" w:hAnsi="Times New Roman" w:cs="Times New Roman"/>
          <w:b/>
          <w:sz w:val="24"/>
          <w:szCs w:val="24"/>
          <w:lang w:eastAsia="ko-KR"/>
        </w:rPr>
        <w:t>3.</w:t>
      </w:r>
      <w:r w:rsidRPr="00E54D6D">
        <w:rPr>
          <w:rFonts w:ascii="Times New Roman" w:eastAsia="Calibri" w:hAnsi="Times New Roman" w:cs="Times New Roman"/>
          <w:b/>
          <w:sz w:val="24"/>
          <w:szCs w:val="24"/>
          <w:lang w:eastAsia="ko-KR"/>
        </w:rPr>
        <w:tab/>
        <w:t>Date of adoption of the resolution</w:t>
      </w:r>
      <w:r w:rsidRPr="00E54D6D">
        <w:rPr>
          <w:rFonts w:ascii="Times New Roman" w:eastAsia="Calibri" w:hAnsi="Times New Roman" w:cs="Times New Roman"/>
          <w:bCs/>
          <w:sz w:val="24"/>
          <w:szCs w:val="24"/>
          <w:lang w:eastAsia="ko-KR"/>
        </w:rPr>
        <w:t>: 1 June 2023</w:t>
      </w:r>
    </w:p>
    <w:p w14:paraId="5816B017" w14:textId="77777777" w:rsidR="00E54D6D" w:rsidRPr="00E54D6D" w:rsidRDefault="00E54D6D" w:rsidP="00E54D6D">
      <w:pPr>
        <w:spacing w:after="240" w:line="240" w:lineRule="auto"/>
        <w:ind w:left="567" w:hanging="567"/>
        <w:jc w:val="both"/>
        <w:rPr>
          <w:rFonts w:ascii="Times New Roman" w:eastAsia="Calibri" w:hAnsi="Times New Roman" w:cs="Times New Roman"/>
          <w:sz w:val="24"/>
          <w:szCs w:val="24"/>
          <w:lang w:eastAsia="ko-KR"/>
        </w:rPr>
      </w:pPr>
      <w:r w:rsidRPr="00E54D6D">
        <w:rPr>
          <w:rFonts w:ascii="Times New Roman" w:eastAsia="Calibri" w:hAnsi="Times New Roman" w:cs="Times New Roman"/>
          <w:b/>
          <w:sz w:val="24"/>
          <w:szCs w:val="24"/>
          <w:lang w:eastAsia="ko-KR"/>
        </w:rPr>
        <w:t>4.</w:t>
      </w:r>
      <w:r w:rsidRPr="00E54D6D">
        <w:rPr>
          <w:rFonts w:ascii="Times New Roman" w:eastAsia="Calibri" w:hAnsi="Times New Roman" w:cs="Times New Roman"/>
          <w:sz w:val="24"/>
          <w:szCs w:val="24"/>
          <w:lang w:eastAsia="ko-KR"/>
        </w:rPr>
        <w:t xml:space="preserve"> </w:t>
      </w:r>
      <w:r w:rsidRPr="00E54D6D">
        <w:rPr>
          <w:rFonts w:ascii="Times New Roman" w:eastAsia="Calibri" w:hAnsi="Times New Roman" w:cs="Times New Roman"/>
          <w:sz w:val="24"/>
          <w:szCs w:val="24"/>
          <w:lang w:eastAsia="ko-KR"/>
        </w:rPr>
        <w:tab/>
      </w:r>
      <w:r w:rsidRPr="00E54D6D">
        <w:rPr>
          <w:rFonts w:ascii="Times New Roman" w:eastAsia="Calibri" w:hAnsi="Times New Roman" w:cs="Times New Roman"/>
          <w:b/>
          <w:sz w:val="24"/>
          <w:szCs w:val="24"/>
          <w:lang w:eastAsia="ko-KR"/>
        </w:rPr>
        <w:t>Competent Parliamentary Committee</w:t>
      </w:r>
      <w:r w:rsidRPr="00E54D6D">
        <w:rPr>
          <w:rFonts w:ascii="Times New Roman" w:eastAsia="Calibri" w:hAnsi="Times New Roman" w:cs="Times New Roman"/>
          <w:sz w:val="24"/>
          <w:szCs w:val="24"/>
          <w:lang w:eastAsia="ko-KR"/>
        </w:rPr>
        <w:t>: Committee on Employment and Social Affairs (EMPL)</w:t>
      </w:r>
    </w:p>
    <w:p w14:paraId="796E4EA0" w14:textId="77777777" w:rsidR="00E54D6D" w:rsidRPr="00E54D6D" w:rsidRDefault="00E54D6D" w:rsidP="00E54D6D">
      <w:pPr>
        <w:spacing w:after="240" w:line="240" w:lineRule="auto"/>
        <w:ind w:left="567" w:hanging="567"/>
        <w:jc w:val="both"/>
        <w:rPr>
          <w:rFonts w:ascii="Times New Roman" w:eastAsia="Calibri" w:hAnsi="Times New Roman" w:cs="Times New Roman"/>
          <w:b/>
          <w:sz w:val="24"/>
          <w:szCs w:val="24"/>
          <w:lang w:eastAsia="ko-KR"/>
        </w:rPr>
      </w:pPr>
      <w:r w:rsidRPr="00E54D6D">
        <w:rPr>
          <w:rFonts w:ascii="Times New Roman" w:eastAsia="Calibri" w:hAnsi="Times New Roman" w:cs="Times New Roman"/>
          <w:b/>
          <w:sz w:val="24"/>
          <w:szCs w:val="24"/>
          <w:lang w:eastAsia="ko-KR"/>
        </w:rPr>
        <w:t>5.</w:t>
      </w:r>
      <w:r w:rsidRPr="00E54D6D">
        <w:rPr>
          <w:rFonts w:ascii="Times New Roman" w:eastAsia="Calibri" w:hAnsi="Times New Roman" w:cs="Times New Roman"/>
          <w:b/>
          <w:sz w:val="24"/>
          <w:szCs w:val="24"/>
          <w:lang w:eastAsia="ko-KR"/>
        </w:rPr>
        <w:tab/>
        <w:t>Brief analysis/ assessment of the resolution and of requests made in it:</w:t>
      </w:r>
    </w:p>
    <w:p w14:paraId="17CB3C06"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ko-KR"/>
        </w:rPr>
      </w:pPr>
      <w:r w:rsidRPr="00E54D6D">
        <w:rPr>
          <w:rFonts w:ascii="Times New Roman" w:eastAsia="Calibri" w:hAnsi="Times New Roman" w:cs="Times New Roman"/>
          <w:sz w:val="24"/>
          <w:szCs w:val="24"/>
          <w:lang w:eastAsia="ko-KR"/>
        </w:rPr>
        <w:t>The European Parliament resolution</w:t>
      </w:r>
      <w:r w:rsidRPr="00E54D6D">
        <w:rPr>
          <w:rFonts w:ascii="Times New Roman" w:eastAsia="Times New Roman" w:hAnsi="Times New Roman" w:cs="Times New Roman"/>
          <w:sz w:val="24"/>
          <w:szCs w:val="24"/>
          <w:lang w:eastAsia="en-GB"/>
        </w:rPr>
        <w:t xml:space="preserve"> </w:t>
      </w:r>
      <w:r w:rsidRPr="00E54D6D">
        <w:rPr>
          <w:rFonts w:ascii="Times New Roman" w:eastAsia="Calibri" w:hAnsi="Times New Roman" w:cs="Times New Roman"/>
          <w:sz w:val="24"/>
          <w:szCs w:val="24"/>
          <w:lang w:eastAsia="ko-KR"/>
        </w:rPr>
        <w:t xml:space="preserve">recognises that social dialogue, including collective bargaining, is a crucial and beneficial tool for a well-functioning social market economy. It welcomes the </w:t>
      </w:r>
      <w:hyperlink r:id="rId11" w:history="1">
        <w:r w:rsidRPr="00E54D6D">
          <w:rPr>
            <w:rFonts w:ascii="Times New Roman" w:eastAsia="Calibri" w:hAnsi="Times New Roman" w:cs="Times New Roman"/>
            <w:color w:val="0000FF"/>
            <w:sz w:val="24"/>
            <w:szCs w:val="24"/>
            <w:u w:val="single"/>
            <w:lang w:eastAsia="ko-KR"/>
          </w:rPr>
          <w:t>Commission communication strengthening social dialogue in the EU: harnessing its full potential for managing fair transitions</w:t>
        </w:r>
      </w:hyperlink>
      <w:r w:rsidRPr="00E54D6D">
        <w:rPr>
          <w:rFonts w:ascii="Times New Roman" w:eastAsia="Calibri" w:hAnsi="Times New Roman" w:cs="Times New Roman"/>
          <w:sz w:val="24"/>
          <w:szCs w:val="24"/>
          <w:lang w:eastAsia="ko-KR"/>
        </w:rPr>
        <w:t xml:space="preserve"> and the </w:t>
      </w:r>
      <w:hyperlink r:id="rId12" w:history="1">
        <w:r w:rsidRPr="00E54D6D">
          <w:rPr>
            <w:rFonts w:ascii="Times New Roman" w:eastAsia="Calibri" w:hAnsi="Times New Roman" w:cs="Times New Roman"/>
            <w:color w:val="0000FF"/>
            <w:sz w:val="24"/>
            <w:szCs w:val="24"/>
            <w:u w:val="single"/>
            <w:lang w:eastAsia="ko-KR"/>
          </w:rPr>
          <w:t>proposal for a Council recommendation on strengthening social dialogue in the EU</w:t>
        </w:r>
      </w:hyperlink>
      <w:r w:rsidRPr="00E54D6D">
        <w:rPr>
          <w:rFonts w:ascii="Times New Roman" w:eastAsia="Calibri" w:hAnsi="Times New Roman" w:cs="Times New Roman"/>
          <w:sz w:val="24"/>
          <w:szCs w:val="24"/>
          <w:lang w:eastAsia="ko-KR"/>
        </w:rPr>
        <w:t>.</w:t>
      </w:r>
    </w:p>
    <w:p w14:paraId="6ACA7B3C" w14:textId="77777777" w:rsidR="00E54D6D" w:rsidRPr="00E54D6D" w:rsidRDefault="00E54D6D" w:rsidP="00E54D6D">
      <w:pPr>
        <w:widowControl w:val="0"/>
        <w:spacing w:after="120" w:line="240" w:lineRule="auto"/>
        <w:jc w:val="both"/>
        <w:rPr>
          <w:rFonts w:ascii="Times New Roman" w:eastAsia="Calibri" w:hAnsi="Times New Roman" w:cs="Times New Roman"/>
          <w:sz w:val="24"/>
          <w:szCs w:val="24"/>
          <w:lang w:eastAsia="ko-KR"/>
        </w:rPr>
      </w:pPr>
      <w:r w:rsidRPr="00E54D6D">
        <w:rPr>
          <w:rFonts w:ascii="Times New Roman" w:eastAsia="Calibri" w:hAnsi="Times New Roman" w:cs="Times New Roman"/>
          <w:sz w:val="24"/>
          <w:szCs w:val="24"/>
          <w:lang w:eastAsia="ko-KR"/>
        </w:rPr>
        <w:t xml:space="preserve">The European Parliament calls on the Commission to maintain its logistical support for sectoral social dialogue committees and to increase its financial, </w:t>
      </w:r>
      <w:proofErr w:type="gramStart"/>
      <w:r w:rsidRPr="00E54D6D">
        <w:rPr>
          <w:rFonts w:ascii="Times New Roman" w:eastAsia="Calibri" w:hAnsi="Times New Roman" w:cs="Times New Roman"/>
          <w:sz w:val="24"/>
          <w:szCs w:val="24"/>
          <w:lang w:eastAsia="ko-KR"/>
        </w:rPr>
        <w:t>legal</w:t>
      </w:r>
      <w:proofErr w:type="gramEnd"/>
      <w:r w:rsidRPr="00E54D6D">
        <w:rPr>
          <w:rFonts w:ascii="Times New Roman" w:eastAsia="Calibri" w:hAnsi="Times New Roman" w:cs="Times New Roman"/>
          <w:sz w:val="24"/>
          <w:szCs w:val="24"/>
          <w:lang w:eastAsia="ko-KR"/>
        </w:rPr>
        <w:t xml:space="preserve"> and technical support. Moreover, it urges the Commission to support and monitor the implementation of the Council recommendation at sectoral, </w:t>
      </w:r>
      <w:proofErr w:type="gramStart"/>
      <w:r w:rsidRPr="00E54D6D">
        <w:rPr>
          <w:rFonts w:ascii="Times New Roman" w:eastAsia="Calibri" w:hAnsi="Times New Roman" w:cs="Times New Roman"/>
          <w:sz w:val="24"/>
          <w:szCs w:val="24"/>
          <w:lang w:eastAsia="ko-KR"/>
        </w:rPr>
        <w:t>national</w:t>
      </w:r>
      <w:proofErr w:type="gramEnd"/>
      <w:r w:rsidRPr="00E54D6D">
        <w:rPr>
          <w:rFonts w:ascii="Times New Roman" w:eastAsia="Calibri" w:hAnsi="Times New Roman" w:cs="Times New Roman"/>
          <w:sz w:val="24"/>
          <w:szCs w:val="24"/>
          <w:lang w:eastAsia="ko-KR"/>
        </w:rPr>
        <w:t xml:space="preserve"> and Union level jointly with the Member States and relevant social partners. It calls on the Commission and the Member States to take legislative and institutional measures to promote collective bargaining, to protect the autonomy of social partners, to meaningfully involve and consult the social partners, to ensure an enabling environment for collective bargaining and to make sure that companies receiving public support are required to take measures to avoid collective redundancies, worsening of working conditions and are obliged to respect collective bargaining and information and consultation processes.</w:t>
      </w:r>
      <w:r w:rsidRPr="00E54D6D">
        <w:rPr>
          <w:rFonts w:ascii="Times New Roman" w:eastAsia="Times New Roman" w:hAnsi="Times New Roman" w:cs="Times New Roman"/>
          <w:sz w:val="24"/>
          <w:szCs w:val="24"/>
          <w:lang w:eastAsia="en-GB"/>
        </w:rPr>
        <w:t xml:space="preserve"> </w:t>
      </w:r>
      <w:r w:rsidRPr="00E54D6D">
        <w:rPr>
          <w:rFonts w:ascii="Times New Roman" w:eastAsia="Calibri" w:hAnsi="Times New Roman" w:cs="Times New Roman"/>
          <w:sz w:val="24"/>
          <w:szCs w:val="24"/>
          <w:lang w:eastAsia="ko-KR"/>
        </w:rPr>
        <w:t>Furthermore, the European Parliament calls on the Commission and the Member States to consult the social partners on ecological matters and on the just transition and to establish the necessary conditions and requirements to have at least 80 % of corporations covered by sustainable corporate governance agreements by 2030. It also calls on the Commission to further promote the use of the European Social Fund Plus (ESF+) for capacity-building of social partners and to encourage the Member States to ratify and implement all the International Labour Organization (ILO) core conventions.</w:t>
      </w:r>
    </w:p>
    <w:p w14:paraId="74E68A74" w14:textId="77777777" w:rsidR="00E54D6D" w:rsidRPr="00E54D6D" w:rsidRDefault="00E54D6D" w:rsidP="00E54D6D">
      <w:pPr>
        <w:widowControl w:val="0"/>
        <w:spacing w:after="240" w:line="240" w:lineRule="auto"/>
        <w:ind w:left="567" w:hanging="567"/>
        <w:jc w:val="both"/>
        <w:rPr>
          <w:rFonts w:ascii="Times New Roman" w:eastAsia="Calibri" w:hAnsi="Times New Roman" w:cs="Times New Roman"/>
          <w:b/>
          <w:sz w:val="24"/>
          <w:szCs w:val="24"/>
          <w:lang w:eastAsia="ko-KR"/>
        </w:rPr>
      </w:pPr>
      <w:r w:rsidRPr="00E54D6D">
        <w:rPr>
          <w:rFonts w:ascii="Times New Roman" w:eastAsia="Calibri" w:hAnsi="Times New Roman" w:cs="Times New Roman"/>
          <w:b/>
          <w:sz w:val="24"/>
          <w:szCs w:val="24"/>
          <w:lang w:eastAsia="ko-KR"/>
        </w:rPr>
        <w:t>6.</w:t>
      </w:r>
      <w:r w:rsidRPr="00E54D6D">
        <w:rPr>
          <w:rFonts w:ascii="Times New Roman" w:eastAsia="Calibri" w:hAnsi="Times New Roman" w:cs="Times New Roman"/>
          <w:b/>
          <w:sz w:val="24"/>
          <w:szCs w:val="24"/>
          <w:lang w:eastAsia="ko-KR"/>
        </w:rPr>
        <w:tab/>
        <w:t>Response to the requests and outlook regarding the action that the Commission has taken or intends to take:</w:t>
      </w:r>
    </w:p>
    <w:p w14:paraId="4B5A8671" w14:textId="77777777" w:rsidR="00E54D6D" w:rsidRPr="00E54D6D" w:rsidRDefault="00E54D6D" w:rsidP="00E54D6D">
      <w:pPr>
        <w:widowControl w:val="0"/>
        <w:spacing w:after="120" w:line="240" w:lineRule="auto"/>
        <w:jc w:val="both"/>
        <w:rPr>
          <w:rFonts w:ascii="Times New Roman" w:eastAsia="Calibri" w:hAnsi="Times New Roman" w:cs="Times New Roman"/>
          <w:b/>
          <w:sz w:val="24"/>
          <w:szCs w:val="24"/>
          <w:lang w:eastAsia="en-GB"/>
        </w:rPr>
      </w:pPr>
      <w:r w:rsidRPr="00E54D6D">
        <w:rPr>
          <w:rFonts w:ascii="Times New Roman" w:eastAsia="Calibri" w:hAnsi="Times New Roman" w:cs="Times New Roman"/>
          <w:b/>
          <w:sz w:val="24"/>
          <w:szCs w:val="24"/>
          <w:lang w:eastAsia="en-GB"/>
        </w:rPr>
        <w:t>Paragraph 1</w:t>
      </w:r>
    </w:p>
    <w:p w14:paraId="6AE47218" w14:textId="77777777" w:rsidR="00E54D6D" w:rsidRPr="00E54D6D" w:rsidRDefault="00E54D6D" w:rsidP="00E54D6D">
      <w:pPr>
        <w:widowControl w:val="0"/>
        <w:spacing w:after="120" w:line="240" w:lineRule="auto"/>
        <w:jc w:val="both"/>
        <w:rPr>
          <w:rFonts w:ascii="Times New Roman" w:eastAsia="Times New Roman" w:hAnsi="Times New Roman" w:cs="Times New Roman"/>
          <w:sz w:val="24"/>
          <w:szCs w:val="24"/>
          <w:u w:val="single"/>
          <w:lang w:eastAsia="en-GB"/>
        </w:rPr>
      </w:pPr>
      <w:r w:rsidRPr="00E54D6D">
        <w:rPr>
          <w:rFonts w:ascii="Times New Roman" w:eastAsia="Calibri" w:hAnsi="Times New Roman" w:cs="Times New Roman"/>
          <w:sz w:val="24"/>
          <w:szCs w:val="24"/>
          <w:lang w:eastAsia="en-GB"/>
        </w:rPr>
        <w:t xml:space="preserve">The Commission attaches great importance to social dialogue, as notably demonstrated in its 2023 initiative on social </w:t>
      </w:r>
      <w:proofErr w:type="gramStart"/>
      <w:r w:rsidRPr="00E54D6D">
        <w:rPr>
          <w:rFonts w:ascii="Times New Roman" w:eastAsia="Calibri" w:hAnsi="Times New Roman" w:cs="Times New Roman"/>
          <w:sz w:val="24"/>
          <w:szCs w:val="24"/>
          <w:lang w:eastAsia="en-GB"/>
        </w:rPr>
        <w:t>dialogue, and</w:t>
      </w:r>
      <w:proofErr w:type="gramEnd"/>
      <w:r w:rsidRPr="00E54D6D">
        <w:rPr>
          <w:rFonts w:ascii="Times New Roman" w:eastAsia="Calibri" w:hAnsi="Times New Roman" w:cs="Times New Roman"/>
          <w:sz w:val="24"/>
          <w:szCs w:val="24"/>
          <w:lang w:eastAsia="en-GB"/>
        </w:rPr>
        <w:t xml:space="preserve"> will continue supporting it in line with its Treaty based duties. The Commission will continue to provide financial and technical support to sectoral social partners by supporting the organization of their meetings and providing grant funding under the social dialogue call for proposals helping the Committees to implement their joint work programs. As part of this initiative, t</w:t>
      </w:r>
      <w:r w:rsidRPr="00E54D6D">
        <w:rPr>
          <w:rFonts w:ascii="Times New Roman" w:eastAsia="Times New Roman" w:hAnsi="Times New Roman" w:cs="Times New Roman"/>
          <w:sz w:val="24"/>
          <w:szCs w:val="24"/>
          <w:lang w:eastAsia="en-GB"/>
        </w:rPr>
        <w:t xml:space="preserve">he </w:t>
      </w:r>
      <w:bookmarkStart w:id="1" w:name="_Hlk138425786"/>
      <w:r w:rsidRPr="00E54D6D">
        <w:rPr>
          <w:rFonts w:ascii="Times New Roman" w:eastAsia="Times New Roman" w:hAnsi="Times New Roman" w:cs="Times New Roman"/>
          <w:sz w:val="24"/>
          <w:szCs w:val="24"/>
          <w:lang w:eastAsia="en-GB"/>
        </w:rPr>
        <w:t>Communication on “Strengthening social dialogue in the European Union: harnessing its full potential for managing fair transitions”</w:t>
      </w:r>
      <w:bookmarkEnd w:id="1"/>
      <w:r w:rsidRPr="00E54D6D">
        <w:rPr>
          <w:rFonts w:ascii="Times New Roman" w:eastAsia="Times New Roman" w:hAnsi="Times New Roman" w:cs="Times New Roman"/>
          <w:color w:val="0000FF"/>
          <w:sz w:val="24"/>
          <w:szCs w:val="24"/>
          <w:u w:val="single"/>
          <w:lang w:eastAsia="en-GB"/>
        </w:rPr>
        <w:t xml:space="preserve"> </w:t>
      </w:r>
      <w:r w:rsidRPr="00E54D6D">
        <w:rPr>
          <w:rFonts w:ascii="Times New Roman" w:eastAsia="Calibri" w:hAnsi="Times New Roman" w:cs="Times New Roman"/>
          <w:sz w:val="24"/>
          <w:szCs w:val="20"/>
          <w:lang w:eastAsia="en-GB"/>
        </w:rPr>
        <w:lastRenderedPageBreak/>
        <w:t>anno</w:t>
      </w:r>
      <w:r w:rsidRPr="00E54D6D">
        <w:rPr>
          <w:rFonts w:ascii="Times New Roman" w:eastAsia="Calibri" w:hAnsi="Times New Roman" w:cs="Times New Roman"/>
          <w:sz w:val="24"/>
          <w:szCs w:val="24"/>
          <w:lang w:eastAsia="en-GB"/>
        </w:rPr>
        <w:t>unced that the Commission would launch a process to review, in close cooperation with social partners</w:t>
      </w:r>
      <w:r w:rsidRPr="00E54D6D">
        <w:rPr>
          <w:rFonts w:ascii="Times New Roman" w:eastAsia="Times New Roman" w:hAnsi="Times New Roman" w:cs="Times New Roman"/>
          <w:sz w:val="24"/>
          <w:szCs w:val="24"/>
          <w:lang w:eastAsia="en-GB"/>
        </w:rPr>
        <w:t>, how Sectoral Social Dialogue Committee meetings are organized. A</w:t>
      </w:r>
      <w:r w:rsidRPr="00E54D6D">
        <w:rPr>
          <w:rFonts w:ascii="Times New Roman" w:eastAsia="Calibri" w:hAnsi="Times New Roman" w:cs="Times New Roman"/>
          <w:sz w:val="24"/>
          <w:szCs w:val="24"/>
          <w:lang w:eastAsia="en-GB"/>
        </w:rPr>
        <w:t xml:space="preserve">s announced in its </w:t>
      </w:r>
      <w:hyperlink r:id="rId13" w:history="1">
        <w:r w:rsidRPr="00E54D6D">
          <w:rPr>
            <w:rFonts w:ascii="Times New Roman" w:eastAsia="Calibri" w:hAnsi="Times New Roman" w:cs="Times New Roman"/>
            <w:color w:val="0000FF"/>
            <w:sz w:val="24"/>
            <w:szCs w:val="24"/>
            <w:u w:val="single"/>
            <w:lang w:eastAsia="en-GB"/>
          </w:rPr>
          <w:t>Communication on Greening the Commission</w:t>
        </w:r>
      </w:hyperlink>
      <w:r w:rsidRPr="00E54D6D">
        <w:rPr>
          <w:rFonts w:ascii="Times New Roman" w:eastAsia="Calibri" w:hAnsi="Times New Roman" w:cs="Times New Roman"/>
          <w:sz w:val="24"/>
          <w:szCs w:val="24"/>
          <w:lang w:eastAsia="en-GB"/>
        </w:rPr>
        <w:t xml:space="preserve">, </w:t>
      </w:r>
      <w:r w:rsidRPr="00E54D6D">
        <w:rPr>
          <w:rFonts w:ascii="Times New Roman" w:eastAsia="Times New Roman" w:hAnsi="Times New Roman" w:cs="Times New Roman"/>
          <w:sz w:val="24"/>
          <w:szCs w:val="24"/>
          <w:lang w:eastAsia="en-GB"/>
        </w:rPr>
        <w:t>the Commission will gradually reduce to 50% the level of greenhouse gases emissions produced by external meetings, as compared to 2019. This applies to all meetings organised by the Commission with external participation, therefore including social dialogue meetings. The Commission services are in close dialogue with the social partners with a view to finding a more sustainable and efficient way to organise such meetings in the future. The Commission will continue to strengthen cooperation across sectors and to build synergies in cross-cutting topics like the climate and digital transition.</w:t>
      </w:r>
    </w:p>
    <w:p w14:paraId="58F9E2C7"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b/>
          <w:sz w:val="24"/>
          <w:szCs w:val="24"/>
          <w:lang w:eastAsia="en-GB"/>
        </w:rPr>
        <w:t>Paragraph 2</w:t>
      </w:r>
    </w:p>
    <w:p w14:paraId="057DC10A"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w:t>
      </w:r>
      <w:hyperlink r:id="rId14" w:history="1">
        <w:r w:rsidRPr="00E54D6D">
          <w:rPr>
            <w:rFonts w:ascii="Times New Roman" w:eastAsia="Calibri" w:hAnsi="Times New Roman" w:cs="Times New Roman"/>
            <w:color w:val="0000FF"/>
            <w:sz w:val="24"/>
            <w:szCs w:val="24"/>
            <w:u w:val="single"/>
            <w:lang w:eastAsia="en-GB"/>
          </w:rPr>
          <w:t>Council Recommendation on strengthening social dialogue in the EU</w:t>
        </w:r>
      </w:hyperlink>
      <w:r w:rsidRPr="00E54D6D">
        <w:rPr>
          <w:rFonts w:ascii="Times New Roman" w:eastAsia="Calibri" w:hAnsi="Times New Roman" w:cs="Times New Roman"/>
          <w:sz w:val="24"/>
          <w:szCs w:val="24"/>
          <w:lang w:eastAsia="en-GB"/>
        </w:rPr>
        <w:t xml:space="preserve"> invites the Commission to support the Employment Committee and the Social Protection Committee in monitoring regularly, as part of the multilateral surveillance activities in the context of the European Semester, the implementation of this Recommendation jointly with relevant social partners at national and Union level. Such monitoring would allow social partners to identify situations where they have been inadequately involved in national level consultations on Union and national policy. The Commission ensures the consultation of the social partners when putting forward legislative procedures in the field of social policy, as required by the provisions of Article 154 of the Treaty on the Functioning of the EU (TFEU). The Commission oversees the application of EU law as one of its duties under the Treaties and in line with the applicable legal provisions.</w:t>
      </w:r>
    </w:p>
    <w:p w14:paraId="446360D1"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proofErr w:type="spellStart"/>
      <w:r w:rsidRPr="00E54D6D">
        <w:rPr>
          <w:rFonts w:ascii="Times New Roman" w:eastAsia="Calibri" w:hAnsi="Times New Roman" w:cs="Times New Roman"/>
          <w:sz w:val="24"/>
          <w:szCs w:val="24"/>
          <w:lang w:eastAsia="en-GB"/>
        </w:rPr>
        <w:t>Eurofound</w:t>
      </w:r>
      <w:proofErr w:type="spellEnd"/>
      <w:r w:rsidRPr="00E54D6D">
        <w:rPr>
          <w:rFonts w:ascii="Times New Roman" w:eastAsia="Calibri" w:hAnsi="Times New Roman" w:cs="Times New Roman"/>
          <w:sz w:val="24"/>
          <w:szCs w:val="24"/>
          <w:lang w:eastAsia="en-GB"/>
        </w:rPr>
        <w:t xml:space="preserve">, as a centre of expertise for monitoring and analysing developments in industrial relations systems and social dialogue at national and EU level, explores the main developments affecting the actors, processes, and key outcomes of industrial relations. The </w:t>
      </w:r>
      <w:hyperlink r:id="rId15" w:history="1">
        <w:r w:rsidRPr="00E54D6D">
          <w:rPr>
            <w:rFonts w:ascii="Times New Roman" w:eastAsia="Calibri" w:hAnsi="Times New Roman" w:cs="Times New Roman"/>
            <w:color w:val="0000FF"/>
            <w:sz w:val="24"/>
            <w:szCs w:val="24"/>
            <w:u w:val="single"/>
            <w:lang w:eastAsia="en-GB"/>
          </w:rPr>
          <w:t xml:space="preserve">EU </w:t>
        </w:r>
        <w:proofErr w:type="spellStart"/>
        <w:r w:rsidRPr="00E54D6D">
          <w:rPr>
            <w:rFonts w:ascii="Times New Roman" w:eastAsia="Calibri" w:hAnsi="Times New Roman" w:cs="Times New Roman"/>
            <w:color w:val="0000FF"/>
            <w:sz w:val="24"/>
            <w:szCs w:val="24"/>
            <w:u w:val="single"/>
            <w:lang w:eastAsia="en-GB"/>
          </w:rPr>
          <w:t>PolicyWatch</w:t>
        </w:r>
        <w:proofErr w:type="spellEnd"/>
        <w:r w:rsidRPr="00E54D6D">
          <w:rPr>
            <w:rFonts w:ascii="Times New Roman" w:eastAsia="Calibri" w:hAnsi="Times New Roman" w:cs="Times New Roman"/>
            <w:color w:val="0000FF"/>
            <w:sz w:val="24"/>
            <w:szCs w:val="24"/>
            <w:u w:val="single"/>
            <w:lang w:eastAsia="en-GB"/>
          </w:rPr>
          <w:t xml:space="preserve"> database</w:t>
        </w:r>
      </w:hyperlink>
      <w:r w:rsidRPr="00E54D6D">
        <w:rPr>
          <w:rFonts w:ascii="Times New Roman" w:eastAsia="Calibri" w:hAnsi="Times New Roman" w:cs="Times New Roman"/>
          <w:sz w:val="24"/>
          <w:szCs w:val="24"/>
          <w:lang w:eastAsia="en-GB"/>
        </w:rPr>
        <w:t xml:space="preserve">, is used to monitor policy initiatives by governments, social partners and other actors, on pay setting, minimum wage and working time developments, working life outcomes, as well as more topical updates on for instance policy initiatives to cushion the social and economic fallouts of the crisis, as well as to assist in the recovery efforts. This is complemented by reporting by the Network of </w:t>
      </w:r>
      <w:proofErr w:type="spellStart"/>
      <w:r w:rsidRPr="00E54D6D">
        <w:rPr>
          <w:rFonts w:ascii="Times New Roman" w:eastAsia="Calibri" w:hAnsi="Times New Roman" w:cs="Times New Roman"/>
          <w:sz w:val="24"/>
          <w:szCs w:val="24"/>
          <w:lang w:eastAsia="en-GB"/>
        </w:rPr>
        <w:t>Eurofound</w:t>
      </w:r>
      <w:proofErr w:type="spellEnd"/>
      <w:r w:rsidRPr="00E54D6D">
        <w:rPr>
          <w:rFonts w:ascii="Times New Roman" w:eastAsia="Calibri" w:hAnsi="Times New Roman" w:cs="Times New Roman"/>
          <w:sz w:val="24"/>
          <w:szCs w:val="24"/>
          <w:lang w:eastAsia="en-GB"/>
        </w:rPr>
        <w:t xml:space="preserve"> Correspondents on industrial relations and social dialogue. </w:t>
      </w:r>
      <w:proofErr w:type="spellStart"/>
      <w:r w:rsidRPr="00E54D6D">
        <w:rPr>
          <w:rFonts w:ascii="Times New Roman" w:eastAsia="Calibri" w:hAnsi="Times New Roman" w:cs="Times New Roman"/>
          <w:sz w:val="24"/>
          <w:szCs w:val="24"/>
          <w:lang w:eastAsia="en-GB"/>
        </w:rPr>
        <w:t>Eurofound’s</w:t>
      </w:r>
      <w:proofErr w:type="spellEnd"/>
      <w:r w:rsidRPr="00E54D6D">
        <w:rPr>
          <w:rFonts w:ascii="Times New Roman" w:eastAsia="Calibri" w:hAnsi="Times New Roman" w:cs="Times New Roman"/>
          <w:sz w:val="24"/>
          <w:szCs w:val="24"/>
          <w:lang w:eastAsia="en-GB"/>
        </w:rPr>
        <w:t xml:space="preserve"> expertise supports the capacity-building of the social partners to achieve effective social dialogue and the agency also conducts representativeness studies of EU social partner organisations.</w:t>
      </w:r>
    </w:p>
    <w:p w14:paraId="33861701"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t>Paragraph 7</w:t>
      </w:r>
    </w:p>
    <w:p w14:paraId="3A2D5C7A"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The Council Recommendation on strengthening social dialogue in the EU includes a call to the Member States to</w:t>
      </w:r>
      <w:r w:rsidRPr="00E54D6D">
        <w:rPr>
          <w:rFonts w:ascii="Courier New" w:eastAsia="Times New Roman" w:hAnsi="Courier New" w:cs="Times New Roman"/>
          <w:sz w:val="24"/>
          <w:szCs w:val="20"/>
          <w:lang w:eastAsia="en-GB"/>
        </w:rPr>
        <w:t xml:space="preserve"> </w:t>
      </w:r>
      <w:r w:rsidRPr="00E54D6D">
        <w:rPr>
          <w:rFonts w:ascii="Times New Roman" w:eastAsia="Calibri" w:hAnsi="Times New Roman" w:cs="Times New Roman"/>
          <w:sz w:val="24"/>
          <w:szCs w:val="24"/>
          <w:lang w:eastAsia="en-GB"/>
        </w:rPr>
        <w:t>enable effective collective bargaining at all appropriate levels, to encourage coordination between and across those levels and to promote a higher level of coverage of collective bargaining. The Commission will support the regular monitoring of the implementation of the Recommendation in line with its provisions.</w:t>
      </w:r>
    </w:p>
    <w:p w14:paraId="7941895C"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w:t>
      </w:r>
      <w:hyperlink r:id="rId16" w:history="1">
        <w:r w:rsidRPr="00E54D6D">
          <w:rPr>
            <w:rFonts w:ascii="Times New Roman" w:eastAsia="Calibri" w:hAnsi="Times New Roman" w:cs="Times New Roman"/>
            <w:color w:val="0000FF"/>
            <w:sz w:val="24"/>
            <w:szCs w:val="24"/>
            <w:u w:val="single"/>
            <w:lang w:eastAsia="en-GB"/>
          </w:rPr>
          <w:t>Directive on adequate minimum wages</w:t>
        </w:r>
      </w:hyperlink>
      <w:r w:rsidRPr="00E54D6D">
        <w:rPr>
          <w:rFonts w:ascii="Times New Roman" w:eastAsia="Calibri" w:hAnsi="Times New Roman" w:cs="Times New Roman"/>
          <w:sz w:val="24"/>
          <w:szCs w:val="24"/>
          <w:lang w:eastAsia="en-GB"/>
        </w:rPr>
        <w:t xml:space="preserve"> in the EU establishes an EU framework for adequate levels of statutory minimum wages, promoting collective bargaining and enhancing effective access of workers to minimum wage protection in the EU, to improve working and living conditions in the Union. It contains several provisions to promote collective bargaining on wages with the aim of increasing its coverage and facilitating the exercise of the right to collective bargaining on wage setting. Notably, it requires Member States to take measures to promote collective bargaining on wage setting and, for Member States with a collective </w:t>
      </w:r>
      <w:r w:rsidRPr="00E54D6D">
        <w:rPr>
          <w:rFonts w:ascii="Times New Roman" w:eastAsia="Calibri" w:hAnsi="Times New Roman" w:cs="Times New Roman"/>
          <w:sz w:val="24"/>
          <w:szCs w:val="24"/>
          <w:lang w:eastAsia="en-GB"/>
        </w:rPr>
        <w:lastRenderedPageBreak/>
        <w:t>bargaining coverage rate below 80%, to provide for a framework of enabling conditions and to adopt an action plan to promote collective bargaining.</w:t>
      </w:r>
    </w:p>
    <w:p w14:paraId="623F94D7" w14:textId="77777777" w:rsidR="00E54D6D" w:rsidRPr="00E54D6D" w:rsidRDefault="00E54D6D" w:rsidP="00E54D6D">
      <w:pPr>
        <w:widowControl w:val="0"/>
        <w:spacing w:after="120" w:line="240" w:lineRule="auto"/>
        <w:jc w:val="both"/>
        <w:rPr>
          <w:rFonts w:ascii="Times New Roman" w:eastAsia="Calibri" w:hAnsi="Times New Roman" w:cs="Times New Roman"/>
          <w:b/>
          <w:sz w:val="24"/>
          <w:szCs w:val="24"/>
          <w:lang w:eastAsia="en-GB"/>
        </w:rPr>
      </w:pPr>
      <w:r w:rsidRPr="00E54D6D">
        <w:rPr>
          <w:rFonts w:ascii="Times New Roman" w:eastAsia="Calibri" w:hAnsi="Times New Roman" w:cs="Times New Roman"/>
          <w:b/>
          <w:sz w:val="24"/>
          <w:szCs w:val="24"/>
          <w:lang w:eastAsia="en-GB"/>
        </w:rPr>
        <w:t>Paragraph 8</w:t>
      </w:r>
    </w:p>
    <w:p w14:paraId="3C3DF737" w14:textId="77777777" w:rsidR="00E54D6D" w:rsidRPr="00E54D6D" w:rsidRDefault="00E54D6D" w:rsidP="00E54D6D">
      <w:pPr>
        <w:widowControl w:val="0"/>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bCs/>
          <w:sz w:val="24"/>
          <w:szCs w:val="24"/>
          <w:lang w:eastAsia="en-GB"/>
        </w:rPr>
        <w:t>In line with the provisions of the Treaty on the Functioning of the EU, the Commission supports and facilitates the role of social partners at its level, while respecting their autonomy. The social partners are thoroughly involved in EU policy making in the field of social policy, from legislative proposals to the reviews by the Employment Committee (EMCO) and contribute as such to policies concerning the good functioning of the labour market.</w:t>
      </w:r>
    </w:p>
    <w:p w14:paraId="3041BD2B"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t>Paragraph 9</w:t>
      </w:r>
    </w:p>
    <w:p w14:paraId="6502D956" w14:textId="77777777" w:rsidR="00E54D6D" w:rsidRPr="00E54D6D" w:rsidRDefault="00E54D6D" w:rsidP="00E54D6D">
      <w:pPr>
        <w:spacing w:after="120" w:line="240" w:lineRule="auto"/>
        <w:jc w:val="both"/>
        <w:rPr>
          <w:rFonts w:ascii="Times New Roman" w:eastAsia="Times New Roman" w:hAnsi="Times New Roman" w:cs="Times New Roman"/>
          <w:sz w:val="24"/>
          <w:szCs w:val="24"/>
          <w:lang w:eastAsia="en-GB"/>
        </w:rPr>
      </w:pPr>
      <w:bookmarkStart w:id="2" w:name="_Hlk139380134"/>
      <w:r w:rsidRPr="00E54D6D">
        <w:rPr>
          <w:rFonts w:ascii="Times New Roman" w:eastAsia="Times New Roman" w:hAnsi="Times New Roman" w:cs="Times New Roman"/>
          <w:sz w:val="24"/>
          <w:szCs w:val="24"/>
          <w:lang w:eastAsia="en-GB"/>
        </w:rPr>
        <w:t>The Commission fully supports the involvement of social partners in the design and implementation of employment and social policies, and where relevant economic policies. Social partners are consulted by the Commission at all key moments of the European Semester. Since 2012, the Commission organizes also annual consultations to ask social partners for their views during the preparation of the Annual Sustainable Growth Survey (ASGS) and the Semester Autumn Package more broadly. The 2023 ASGS reiterates the Commission’s commitment to the systematic involvement of social partners in economic and employment policy coordination and implementation. The yearly Country Reports analyse challenges related to social dialogue and the involvement of the social partners in policymaking, wherever relevant. The 2023 Country-specific recommendations (CSRs) legal texts proposed by the Commission refer to the key importance of stakeholders’ consultation, including of social partners. Recommendations are issued to specific Member States facing more important challenges on social dialogue and social partners’ involvement.</w:t>
      </w:r>
    </w:p>
    <w:p w14:paraId="3958935B" w14:textId="77777777" w:rsidR="00E54D6D" w:rsidRPr="00E54D6D" w:rsidRDefault="00E54D6D" w:rsidP="00E54D6D">
      <w:pPr>
        <w:spacing w:after="120" w:line="240" w:lineRule="auto"/>
        <w:jc w:val="both"/>
        <w:rPr>
          <w:rFonts w:ascii="Times New Roman" w:eastAsia="Times New Roman" w:hAnsi="Times New Roman" w:cs="Times New Roman"/>
          <w:sz w:val="24"/>
          <w:szCs w:val="24"/>
          <w:lang w:eastAsia="en-GB"/>
        </w:rPr>
      </w:pPr>
      <w:r w:rsidRPr="00E54D6D">
        <w:rPr>
          <w:rFonts w:ascii="Times New Roman" w:eastAsia="Times New Roman" w:hAnsi="Times New Roman" w:cs="Times New Roman"/>
          <w:sz w:val="24"/>
          <w:szCs w:val="24"/>
          <w:lang w:eastAsia="en-GB"/>
        </w:rPr>
        <w:t>The Commission shares the Parliament’s view that well-functioning collective bargaining</w:t>
      </w:r>
      <w:r w:rsidRPr="00E54D6D">
        <w:rPr>
          <w:rFonts w:ascii="Times New Roman" w:eastAsia="Times New Roman" w:hAnsi="Times New Roman" w:cs="Times New Roman"/>
          <w:b/>
          <w:bCs/>
          <w:sz w:val="24"/>
          <w:szCs w:val="24"/>
          <w:lang w:eastAsia="en-GB"/>
        </w:rPr>
        <w:t xml:space="preserve"> </w:t>
      </w:r>
      <w:r w:rsidRPr="00E54D6D">
        <w:rPr>
          <w:rFonts w:ascii="Times New Roman" w:eastAsia="Times New Roman" w:hAnsi="Times New Roman" w:cs="Times New Roman"/>
          <w:sz w:val="24"/>
          <w:szCs w:val="24"/>
          <w:lang w:eastAsia="en-GB"/>
        </w:rPr>
        <w:t xml:space="preserve">is an important means to ensure decent wages, as well as positive productivity developments. In this respect, the 2023 Euro Area Recommendation, proposed by the Commission and adopted by the Council on 16 May, calls on Euro Area Member States to mitigate the loss in purchasing power of wage earners, </w:t>
      </w:r>
      <w:proofErr w:type="gramStart"/>
      <w:r w:rsidRPr="00E54D6D">
        <w:rPr>
          <w:rFonts w:ascii="Times New Roman" w:eastAsia="Times New Roman" w:hAnsi="Times New Roman" w:cs="Times New Roman"/>
          <w:sz w:val="24"/>
          <w:szCs w:val="24"/>
          <w:lang w:eastAsia="en-GB"/>
        </w:rPr>
        <w:t>in particular for</w:t>
      </w:r>
      <w:proofErr w:type="gramEnd"/>
      <w:r w:rsidRPr="00E54D6D">
        <w:rPr>
          <w:rFonts w:ascii="Times New Roman" w:eastAsia="Times New Roman" w:hAnsi="Times New Roman" w:cs="Times New Roman"/>
          <w:sz w:val="24"/>
          <w:szCs w:val="24"/>
          <w:lang w:eastAsia="en-GB"/>
        </w:rPr>
        <w:t xml:space="preserve"> low-income workers, to ensure the effective involvement of social partners in policymaking and to strengthen social dialogue. Where applicable, also the 2023 Semester country reports stressed the need for balanced wage developments and the crucial role of collective bargaining in this process.</w:t>
      </w:r>
    </w:p>
    <w:p w14:paraId="1619DF1B" w14:textId="77777777" w:rsidR="00E54D6D" w:rsidRPr="00E54D6D" w:rsidRDefault="00E54D6D" w:rsidP="00E54D6D">
      <w:pPr>
        <w:spacing w:after="120" w:line="240" w:lineRule="auto"/>
        <w:jc w:val="both"/>
        <w:rPr>
          <w:rFonts w:ascii="Times New Roman" w:eastAsia="Times New Roman" w:hAnsi="Times New Roman" w:cs="Times New Roman"/>
          <w:sz w:val="24"/>
          <w:szCs w:val="24"/>
          <w:lang w:eastAsia="en-GB"/>
        </w:rPr>
      </w:pPr>
      <w:r w:rsidRPr="00E54D6D">
        <w:rPr>
          <w:rFonts w:ascii="Times New Roman" w:eastAsia="Times New Roman" w:hAnsi="Times New Roman" w:cs="Times New Roman"/>
          <w:sz w:val="24"/>
          <w:szCs w:val="24"/>
          <w:lang w:eastAsia="en-GB"/>
        </w:rPr>
        <w:t>As referred to under paragraph 7 above, the Directive on adequate minimum wages in the EU, which Member States are called to transpose into national legislation by 15 November 2024, also contains several provisions and requirements to Member States on the promotion of collective bargaining on wages with the aim of increasing its coverage and facilitating the exercise of the right to collective bargaining on wage setting.</w:t>
      </w:r>
    </w:p>
    <w:p w14:paraId="7990C880" w14:textId="77777777" w:rsidR="00E54D6D" w:rsidRPr="00E54D6D" w:rsidRDefault="00E54D6D" w:rsidP="00E54D6D">
      <w:pPr>
        <w:spacing w:after="120" w:line="240" w:lineRule="auto"/>
        <w:jc w:val="both"/>
        <w:rPr>
          <w:rFonts w:ascii="Times New Roman" w:eastAsia="Times New Roman" w:hAnsi="Times New Roman" w:cs="Times New Roman"/>
          <w:sz w:val="24"/>
          <w:szCs w:val="24"/>
          <w:lang w:eastAsia="en-GB"/>
        </w:rPr>
      </w:pPr>
      <w:r w:rsidRPr="00E54D6D">
        <w:rPr>
          <w:rFonts w:ascii="Times New Roman" w:eastAsia="Times New Roman" w:hAnsi="Times New Roman" w:cs="Times New Roman"/>
          <w:sz w:val="24"/>
          <w:szCs w:val="24"/>
          <w:lang w:eastAsia="en-GB"/>
        </w:rPr>
        <w:t xml:space="preserve">In its Recommendation on strengthening social dialogue in the EU, the Council invites the Employment Committee (EMCO) and the Social Protection Committee (SPC), within their respective mandates, with the support of the Commission to </w:t>
      </w:r>
      <w:bookmarkStart w:id="3" w:name="_Hlk133505890"/>
      <w:r w:rsidRPr="00E54D6D">
        <w:rPr>
          <w:rFonts w:ascii="Times New Roman" w:eastAsia="Times New Roman" w:hAnsi="Times New Roman" w:cs="Times New Roman"/>
          <w:sz w:val="24"/>
          <w:szCs w:val="24"/>
          <w:lang w:eastAsia="en-GB"/>
        </w:rPr>
        <w:t>explore, in consultation with relevant social partners, and deliver an opinion to the Council on the possibility to improve the scope and relevance of data collection at Union and national level on social dialogue, including on collective bargaining, appropriate for monitoring the implementation of this Recommendation</w:t>
      </w:r>
      <w:bookmarkEnd w:id="3"/>
      <w:r w:rsidRPr="00E54D6D">
        <w:rPr>
          <w:rFonts w:ascii="Times New Roman" w:eastAsia="Times New Roman" w:hAnsi="Times New Roman" w:cs="Times New Roman"/>
          <w:sz w:val="24"/>
          <w:szCs w:val="24"/>
          <w:lang w:eastAsia="en-GB"/>
        </w:rPr>
        <w:t>.</w:t>
      </w:r>
    </w:p>
    <w:p w14:paraId="4268D175" w14:textId="77777777" w:rsidR="00E54D6D" w:rsidRPr="00E54D6D" w:rsidRDefault="00E54D6D" w:rsidP="00E54D6D">
      <w:pPr>
        <w:spacing w:after="120" w:line="240" w:lineRule="auto"/>
        <w:jc w:val="both"/>
        <w:rPr>
          <w:rFonts w:ascii="Times New Roman" w:eastAsia="Times New Roman" w:hAnsi="Times New Roman" w:cs="Times New Roman"/>
          <w:sz w:val="24"/>
          <w:szCs w:val="24"/>
          <w:lang w:eastAsia="en-GB"/>
        </w:rPr>
      </w:pPr>
      <w:r w:rsidRPr="00E54D6D">
        <w:rPr>
          <w:rFonts w:ascii="Times New Roman" w:eastAsia="Times New Roman" w:hAnsi="Times New Roman" w:cs="Times New Roman"/>
          <w:sz w:val="24"/>
          <w:szCs w:val="24"/>
          <w:lang w:eastAsia="en-GB"/>
        </w:rPr>
        <w:t xml:space="preserve">The </w:t>
      </w:r>
      <w:hyperlink r:id="rId17" w:history="1">
        <w:r w:rsidRPr="00E54D6D">
          <w:rPr>
            <w:rFonts w:ascii="Times New Roman" w:eastAsia="Times New Roman" w:hAnsi="Times New Roman" w:cs="Times New Roman"/>
            <w:color w:val="0000FF"/>
            <w:sz w:val="24"/>
            <w:szCs w:val="24"/>
            <w:u w:val="single"/>
            <w:lang w:eastAsia="en-GB"/>
          </w:rPr>
          <w:t>OECD/AIAS database on collective bargaining</w:t>
        </w:r>
      </w:hyperlink>
      <w:r w:rsidRPr="00E54D6D">
        <w:rPr>
          <w:rFonts w:ascii="Times New Roman" w:eastAsia="Times New Roman" w:hAnsi="Times New Roman" w:cs="Times New Roman"/>
          <w:sz w:val="24"/>
          <w:szCs w:val="24"/>
          <w:lang w:eastAsia="en-GB"/>
        </w:rPr>
        <w:t xml:space="preserve"> provides comprehensive and comparable information on collective bargaining in all EU countries. This database will help Member States comply with the data reporting requirements on collective bargaining coverage under the Directive on adequate minimum wages.</w:t>
      </w:r>
    </w:p>
    <w:bookmarkEnd w:id="2"/>
    <w:p w14:paraId="4A385231" w14:textId="77777777" w:rsidR="00E54D6D" w:rsidRPr="00E54D6D" w:rsidRDefault="00E54D6D" w:rsidP="00E54D6D">
      <w:pPr>
        <w:widowControl w:val="0"/>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lastRenderedPageBreak/>
        <w:t>Paragraph 10</w:t>
      </w:r>
    </w:p>
    <w:p w14:paraId="6DB5EFB9" w14:textId="77777777" w:rsidR="00E54D6D" w:rsidRPr="00E54D6D" w:rsidRDefault="00E54D6D" w:rsidP="00E54D6D">
      <w:pPr>
        <w:widowControl w:val="0"/>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The promotion of collective bargaining on wage setting is a cornerstone of the Directive on adequate minimum wages in the EU, given its important role in establishing adequate minimum wage protection.</w:t>
      </w:r>
      <w:r w:rsidRPr="00E54D6D">
        <w:rPr>
          <w:rFonts w:ascii="Courier New" w:eastAsia="Times New Roman" w:hAnsi="Courier New" w:cs="Times New Roman"/>
          <w:sz w:val="24"/>
          <w:szCs w:val="20"/>
          <w:lang w:eastAsia="en-GB"/>
        </w:rPr>
        <w:t xml:space="preserve"> </w:t>
      </w:r>
      <w:r w:rsidRPr="00E54D6D">
        <w:rPr>
          <w:rFonts w:ascii="Times New Roman" w:eastAsia="Calibri" w:hAnsi="Times New Roman" w:cs="Times New Roman"/>
          <w:sz w:val="24"/>
          <w:szCs w:val="24"/>
          <w:lang w:eastAsia="en-GB"/>
        </w:rPr>
        <w:t>At the same time, the Directive fully respects the autonomy of the social partners, the specificities of national systems, and national competences. The directive requires Member States to review the action plans regularly, at least every five years, and update them if needed. Member States are in any case free to review and update the action plans more frequently if needed. It also requires Member States to make them public and to notify them to the Commission.</w:t>
      </w:r>
    </w:p>
    <w:p w14:paraId="77BA88CF"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Times New Roman" w:hAnsi="Times New Roman" w:cs="Times New Roman"/>
          <w:sz w:val="24"/>
          <w:szCs w:val="24"/>
          <w:lang w:eastAsia="en-GB"/>
        </w:rPr>
        <w:t>Please also refer to the reply to paragraph 2.</w:t>
      </w:r>
    </w:p>
    <w:p w14:paraId="4A1F7019"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t>Paragraph 11</w:t>
      </w:r>
    </w:p>
    <w:p w14:paraId="331C5583" w14:textId="77777777" w:rsidR="00E54D6D" w:rsidRPr="00E54D6D" w:rsidRDefault="00E54D6D" w:rsidP="00E54D6D">
      <w:pPr>
        <w:spacing w:after="120" w:line="240" w:lineRule="auto"/>
        <w:jc w:val="both"/>
        <w:rPr>
          <w:rFonts w:ascii="Times New Roman" w:eastAsia="Calibri" w:hAnsi="Times New Roman" w:cs="Times New Roman"/>
          <w:iCs/>
          <w:sz w:val="24"/>
          <w:szCs w:val="24"/>
          <w:lang w:eastAsia="en-GB"/>
        </w:rPr>
      </w:pPr>
      <w:r w:rsidRPr="00E54D6D">
        <w:rPr>
          <w:rFonts w:ascii="Times New Roman" w:eastAsia="Calibri" w:hAnsi="Times New Roman" w:cs="Times New Roman"/>
          <w:iCs/>
          <w:sz w:val="24"/>
          <w:szCs w:val="24"/>
          <w:lang w:eastAsia="en-GB"/>
        </w:rPr>
        <w:t>Please also refer to the replies given to paragraphs 7 and 10.</w:t>
      </w:r>
    </w:p>
    <w:p w14:paraId="610941AE" w14:textId="77777777" w:rsidR="00E54D6D" w:rsidRPr="00E54D6D" w:rsidRDefault="00E54D6D" w:rsidP="00E54D6D">
      <w:pPr>
        <w:spacing w:after="120" w:line="240" w:lineRule="auto"/>
        <w:jc w:val="both"/>
        <w:rPr>
          <w:rFonts w:ascii="Times New Roman" w:eastAsia="Calibri" w:hAnsi="Times New Roman" w:cs="Times New Roman"/>
          <w:iCs/>
          <w:sz w:val="24"/>
          <w:szCs w:val="24"/>
          <w:lang w:eastAsia="en-GB"/>
        </w:rPr>
      </w:pPr>
      <w:r w:rsidRPr="00E54D6D">
        <w:rPr>
          <w:rFonts w:ascii="Times New Roman" w:eastAsia="Calibri" w:hAnsi="Times New Roman" w:cs="Times New Roman"/>
          <w:iCs/>
          <w:sz w:val="24"/>
          <w:szCs w:val="24"/>
          <w:lang w:eastAsia="en-GB"/>
        </w:rPr>
        <w:t xml:space="preserve">The identification and assessment of the most significant impacts is a core task of every impact assessment, evaluation, and fitness check. The </w:t>
      </w:r>
      <w:hyperlink r:id="rId18" w:history="1">
        <w:r w:rsidRPr="00E54D6D">
          <w:rPr>
            <w:rFonts w:ascii="Times New Roman" w:eastAsia="Calibri" w:hAnsi="Times New Roman" w:cs="Times New Roman"/>
            <w:iCs/>
            <w:color w:val="0000FF"/>
            <w:sz w:val="24"/>
            <w:szCs w:val="24"/>
            <w:u w:val="single"/>
            <w:lang w:eastAsia="en-GB"/>
          </w:rPr>
          <w:t>Better Regulation Toolbox that supports the application of the Better Regulation Guidelines</w:t>
        </w:r>
      </w:hyperlink>
      <w:r w:rsidRPr="00E54D6D">
        <w:rPr>
          <w:rFonts w:ascii="Times New Roman" w:eastAsia="Calibri" w:hAnsi="Times New Roman" w:cs="Times New Roman"/>
          <w:iCs/>
          <w:sz w:val="24"/>
          <w:szCs w:val="24"/>
          <w:lang w:eastAsia="en-GB"/>
        </w:rPr>
        <w:t xml:space="preserve"> makes several references to social dialogue and the social partners. </w:t>
      </w:r>
      <w:r w:rsidRPr="00E54D6D">
        <w:rPr>
          <w:rFonts w:ascii="Times New Roman" w:eastAsia="Calibri" w:hAnsi="Times New Roman" w:cs="Times New Roman"/>
          <w:color w:val="000000" w:themeColor="text1"/>
          <w:sz w:val="24"/>
          <w:szCs w:val="24"/>
          <w:lang w:eastAsia="en-GB"/>
        </w:rPr>
        <w:t>The possible effect on social dialogue is one of the aspects to consider when screening the impacts of a policy option.</w:t>
      </w:r>
    </w:p>
    <w:p w14:paraId="3B2987CD" w14:textId="77777777" w:rsidR="00E54D6D" w:rsidRPr="00E54D6D" w:rsidRDefault="00E54D6D" w:rsidP="00E54D6D">
      <w:pPr>
        <w:spacing w:after="120" w:line="240" w:lineRule="auto"/>
        <w:jc w:val="both"/>
        <w:rPr>
          <w:rFonts w:ascii="Times New Roman" w:eastAsia="Calibri" w:hAnsi="Times New Roman" w:cs="Times New Roman"/>
          <w:iCs/>
          <w:sz w:val="24"/>
          <w:szCs w:val="24"/>
          <w:lang w:eastAsia="en-GB"/>
        </w:rPr>
      </w:pPr>
      <w:r w:rsidRPr="00E54D6D">
        <w:rPr>
          <w:rFonts w:ascii="Times New Roman" w:eastAsia="Calibri" w:hAnsi="Times New Roman" w:cs="Times New Roman"/>
          <w:iCs/>
          <w:sz w:val="24"/>
          <w:szCs w:val="24"/>
          <w:lang w:eastAsia="en-GB"/>
        </w:rPr>
        <w:t xml:space="preserve">The </w:t>
      </w:r>
      <w:hyperlink r:id="rId19" w:history="1">
        <w:r w:rsidRPr="00E54D6D">
          <w:rPr>
            <w:rFonts w:ascii="Times New Roman" w:eastAsia="Calibri" w:hAnsi="Times New Roman" w:cs="Times New Roman"/>
            <w:iCs/>
            <w:color w:val="0000FF"/>
            <w:sz w:val="24"/>
            <w:szCs w:val="24"/>
            <w:u w:val="single"/>
            <w:lang w:eastAsia="en-GB"/>
          </w:rPr>
          <w:t>2023 Annual Sustainable Growth Survey</w:t>
        </w:r>
      </w:hyperlink>
      <w:r w:rsidRPr="00E54D6D">
        <w:rPr>
          <w:rFonts w:ascii="Times New Roman" w:eastAsia="Calibri" w:hAnsi="Times New Roman" w:cs="Times New Roman"/>
          <w:iCs/>
          <w:sz w:val="24"/>
          <w:szCs w:val="24"/>
          <w:lang w:eastAsia="en-GB"/>
        </w:rPr>
        <w:t xml:space="preserve"> states that the Commission is committed to an inclusive process and the timely involvement of social partners and other relevant stakeholders during the European Semester cycle. The Commission called on all Member States to engage actively with social partners, local and regional authorities, and other stakeholders through regular exchanges. Several country-specific recommendations have been issued in the context of the European Semester to some Member States in relation to the improvement of social dialogue and on involving social partners in the design and/or implementation of reforms.</w:t>
      </w:r>
    </w:p>
    <w:p w14:paraId="434BAA46" w14:textId="77777777" w:rsidR="00E54D6D" w:rsidRPr="00E54D6D" w:rsidRDefault="00E54D6D" w:rsidP="00E54D6D">
      <w:pPr>
        <w:spacing w:after="120" w:line="240" w:lineRule="auto"/>
        <w:jc w:val="both"/>
        <w:rPr>
          <w:rFonts w:ascii="Times New Roman" w:eastAsia="Calibri" w:hAnsi="Times New Roman" w:cs="Times New Roman"/>
          <w:b/>
          <w:sz w:val="24"/>
          <w:szCs w:val="24"/>
          <w:lang w:eastAsia="en-GB"/>
        </w:rPr>
      </w:pPr>
      <w:r w:rsidRPr="00E54D6D">
        <w:rPr>
          <w:rFonts w:ascii="Times New Roman" w:eastAsia="Calibri" w:hAnsi="Times New Roman" w:cs="Times New Roman"/>
          <w:b/>
          <w:sz w:val="24"/>
          <w:szCs w:val="24"/>
          <w:lang w:eastAsia="en-GB"/>
        </w:rPr>
        <w:t>Paragraph 13</w:t>
      </w:r>
    </w:p>
    <w:p w14:paraId="48D0215C"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The Commission conducts a continuous policy dialogue with Member States on the implementation of the measures contained in the Recovery and Resilience Plans, including labour market reforms. Each measure is closely monitored and thoroughly assessed in the context of each payment request submitted by Member States. The Commission is committed to promoting an inclusive process and the timely involvement of all relevant national stakeholders throughout the implementation of the Recovery and Resilience Facility. The Commission continuously calls on all Member States to engage actively with relevant stakeholders, including with social partners, to jointly identify challenges, improve policy solutions, and ensure broader ownership of the economic and social policy agenda.</w:t>
      </w:r>
    </w:p>
    <w:p w14:paraId="739CAFC5"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Commission is currently initiating the process to monitor the implementation of the </w:t>
      </w:r>
      <w:hyperlink r:id="rId20" w:history="1">
        <w:r w:rsidRPr="00E54D6D">
          <w:rPr>
            <w:rFonts w:ascii="Times New Roman" w:eastAsia="Calibri" w:hAnsi="Times New Roman" w:cs="Times New Roman"/>
            <w:color w:val="0000FF"/>
            <w:sz w:val="24"/>
            <w:szCs w:val="24"/>
            <w:u w:val="single"/>
            <w:lang w:eastAsia="en-GB"/>
          </w:rPr>
          <w:t>Council Recommendation on ensuring a fair transition towards climate neutrality</w:t>
        </w:r>
      </w:hyperlink>
      <w:r w:rsidRPr="00E54D6D">
        <w:rPr>
          <w:rFonts w:ascii="Times New Roman" w:eastAsia="Calibri" w:hAnsi="Times New Roman" w:cs="Times New Roman"/>
          <w:sz w:val="24"/>
          <w:szCs w:val="24"/>
          <w:lang w:eastAsia="en-GB"/>
        </w:rPr>
        <w:t>, where Member States will report, via the Employment and Social Protection Committees (EMCO-SPC), on the initiatives carried to promote a fair green transition.</w:t>
      </w:r>
    </w:p>
    <w:p w14:paraId="5D10013D"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Recommendation establishes the need to strengthen the evidence base and ensure the availability and quality of the data and evidence, which are needed to put in place sound social and labour market policies for a fair transition, both at the Member States and the Commission levels. In this context, the Commission has launched different research projects, which seek to strengthen the evidence base, such as the </w:t>
      </w:r>
      <w:hyperlink r:id="rId21" w:tgtFrame="_blank" w:tooltip="https://ec.europa.eu/social/main.jsp?langid=en&amp;catid=1588" w:history="1">
        <w:r w:rsidRPr="00E54D6D">
          <w:rPr>
            <w:rFonts w:ascii="Times New Roman" w:eastAsia="Calibri" w:hAnsi="Times New Roman" w:cs="Times New Roman"/>
            <w:color w:val="0000FF"/>
            <w:sz w:val="24"/>
            <w:szCs w:val="24"/>
            <w:u w:val="single"/>
            <w:lang w:eastAsia="en-GB"/>
          </w:rPr>
          <w:t>Assessing and Monitoring Employment and Distributional Impacts Projec</w:t>
        </w:r>
      </w:hyperlink>
      <w:r w:rsidRPr="00E54D6D">
        <w:rPr>
          <w:rFonts w:ascii="Times New Roman" w:eastAsia="Calibri" w:hAnsi="Times New Roman" w:cs="Times New Roman"/>
          <w:sz w:val="24"/>
          <w:szCs w:val="24"/>
          <w:lang w:eastAsia="en-GB"/>
        </w:rPr>
        <w:t xml:space="preserve">t (AMEDI), a study on transport poverty and research on green jobs and skills. Moreover, the Commission is initiating the monitoring of </w:t>
      </w:r>
      <w:r w:rsidRPr="00E54D6D">
        <w:rPr>
          <w:rFonts w:ascii="Times New Roman" w:eastAsia="Calibri" w:hAnsi="Times New Roman" w:cs="Times New Roman"/>
          <w:sz w:val="24"/>
          <w:szCs w:val="24"/>
          <w:lang w:eastAsia="en-GB"/>
        </w:rPr>
        <w:lastRenderedPageBreak/>
        <w:t>the Council Recommendation, where Member States will provide information on how they are working to improve employment, social and distributional impacts of the transition at the national level.</w:t>
      </w:r>
    </w:p>
    <w:p w14:paraId="4A0C77EC"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Please also refer to the reply to paragraph 9 and paragraph 18.</w:t>
      </w:r>
    </w:p>
    <w:p w14:paraId="5B616EC0"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b/>
          <w:sz w:val="24"/>
          <w:szCs w:val="24"/>
          <w:lang w:eastAsia="en-GB"/>
        </w:rPr>
        <w:t>Paragraphs 15 and 24</w:t>
      </w:r>
    </w:p>
    <w:p w14:paraId="43E2A9AB"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Council Recommendation on strengthening social dialogue in the EU, adopted on a proposal from the Commission, advises Member States to ensure an enabling environment for bipartite and tripartite social dialogue, including collective bargaining, in the public and private sectors, at all levels. The Recommendation </w:t>
      </w:r>
      <w:proofErr w:type="gramStart"/>
      <w:r w:rsidRPr="00E54D6D">
        <w:rPr>
          <w:rFonts w:ascii="Times New Roman" w:eastAsia="Calibri" w:hAnsi="Times New Roman" w:cs="Times New Roman"/>
          <w:sz w:val="24"/>
          <w:szCs w:val="24"/>
          <w:lang w:eastAsia="en-GB"/>
        </w:rPr>
        <w:t>takes into account</w:t>
      </w:r>
      <w:proofErr w:type="gramEnd"/>
      <w:r w:rsidRPr="00E54D6D">
        <w:rPr>
          <w:rFonts w:ascii="Times New Roman" w:eastAsia="Calibri" w:hAnsi="Times New Roman" w:cs="Times New Roman"/>
          <w:sz w:val="24"/>
          <w:szCs w:val="24"/>
          <w:lang w:eastAsia="en-GB"/>
        </w:rPr>
        <w:t xml:space="preserve"> the competences of the Member States and of the EU, the autonomy of the social partners and respects the diversity of social dialogue systems in the EU. Among the main elements of the enabling environment mentioned above it is worth underlining the respect for the fundamental rights of freedom of association and of collective bargaining; the promotion of strong, independent trade unions and employers' organisations for the purpose of fostering meaningful social dialogue; the inclusion of measures to strengthen the capacity of trade unions and employers’ organisations; and the provision appropriate institutional support for the purpose of fostering meaningful social dialogue. In its Guidelines on the application of Union competition law to collective agreements regarding the working conditions of solo self-employed persons,  the Commission clarifies that, in its view, collective agreements by solo self-employed persons who are in a situation comparable to that of workers fall outside the scope of Article 101 TFEU; and that the Commission will not intervene against collective agreements of solo self-employed persons who experience an imbalance in bargaining power vis-à-vis their counterparty/ counterparties.</w:t>
      </w:r>
    </w:p>
    <w:p w14:paraId="6993F0DE"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t>Paragraph 17</w:t>
      </w:r>
    </w:p>
    <w:p w14:paraId="6B8C5621"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color w:val="000000"/>
          <w:sz w:val="24"/>
          <w:szCs w:val="24"/>
          <w:bdr w:val="none" w:sz="0" w:space="0" w:color="auto" w:frame="1"/>
        </w:rPr>
      </w:pPr>
      <w:r w:rsidRPr="00E54D6D">
        <w:rPr>
          <w:rFonts w:ascii="Times New Roman" w:eastAsia="Times New Roman" w:hAnsi="Times New Roman" w:cs="Arial"/>
          <w:color w:val="000000" w:themeColor="text1"/>
          <w:sz w:val="24"/>
          <w:szCs w:val="24"/>
        </w:rPr>
        <w:t>A workforce with the right skills is a crucial factor underpinning the current and future competitiveness</w:t>
      </w:r>
      <w:r w:rsidRPr="00E54D6D">
        <w:rPr>
          <w:rFonts w:ascii="Times New Roman" w:eastAsia="Times New Roman" w:hAnsi="Times New Roman" w:cs="Times New Roman"/>
          <w:color w:val="000000"/>
          <w:sz w:val="24"/>
          <w:szCs w:val="24"/>
          <w:bdr w:val="none" w:sz="0" w:space="0" w:color="auto" w:frame="1"/>
        </w:rPr>
        <w:t xml:space="preserve">. The </w:t>
      </w:r>
      <w:hyperlink r:id="rId22" w:history="1">
        <w:r w:rsidRPr="00E54D6D">
          <w:rPr>
            <w:rFonts w:ascii="Times New Roman" w:eastAsia="Times New Roman" w:hAnsi="Times New Roman" w:cs="Times New Roman"/>
            <w:color w:val="0000FF"/>
            <w:sz w:val="24"/>
            <w:szCs w:val="24"/>
            <w:u w:val="single"/>
            <w:bdr w:val="none" w:sz="0" w:space="0" w:color="auto" w:frame="1"/>
          </w:rPr>
          <w:t>SME Strategy</w:t>
        </w:r>
      </w:hyperlink>
      <w:r w:rsidRPr="00E54D6D">
        <w:rPr>
          <w:rFonts w:ascii="Times New Roman" w:eastAsia="Times New Roman" w:hAnsi="Times New Roman" w:cs="Times New Roman"/>
          <w:color w:val="000000"/>
          <w:sz w:val="24"/>
          <w:szCs w:val="24"/>
          <w:bdr w:val="none" w:sz="0" w:space="0" w:color="auto" w:frame="1"/>
        </w:rPr>
        <w:t xml:space="preserve"> recognises that Member States and social partners have a key role to play to help SMEs in the(</w:t>
      </w:r>
      <w:proofErr w:type="spellStart"/>
      <w:r w:rsidRPr="00E54D6D">
        <w:rPr>
          <w:rFonts w:ascii="Times New Roman" w:eastAsia="Times New Roman" w:hAnsi="Times New Roman" w:cs="Times New Roman"/>
          <w:color w:val="000000"/>
          <w:sz w:val="24"/>
          <w:szCs w:val="24"/>
          <w:bdr w:val="none" w:sz="0" w:space="0" w:color="auto" w:frame="1"/>
        </w:rPr>
        <w:t>ir</w:t>
      </w:r>
      <w:proofErr w:type="spellEnd"/>
      <w:r w:rsidRPr="00E54D6D">
        <w:rPr>
          <w:rFonts w:ascii="Times New Roman" w:eastAsia="Times New Roman" w:hAnsi="Times New Roman" w:cs="Times New Roman"/>
          <w:color w:val="000000"/>
          <w:sz w:val="24"/>
          <w:szCs w:val="24"/>
          <w:bdr w:val="none" w:sz="0" w:space="0" w:color="auto" w:frame="1"/>
        </w:rPr>
        <w:t xml:space="preserve">) digital and sustainable transitions. The EU can help address these challenges, facilitating access to training, and helping match the demand for talents from SMEs with labour market supply. In fact, entrepreneurial education and training that enhances business knowledge and skills play a key role in making SMEs fit for the single market. Educational and upskilling activities are essential for all SME managers and employees, with a particular focus on empowering women and girls to be founders and improving the gender balance among those creating and managing businesses (Gender Equality Strategy 2020 – 2025, </w:t>
      </w:r>
      <w:proofErr w:type="gramStart"/>
      <w:r w:rsidRPr="00E54D6D">
        <w:rPr>
          <w:rFonts w:ascii="Times New Roman" w:eastAsia="Times New Roman" w:hAnsi="Times New Roman" w:cs="Times New Roman"/>
          <w:color w:val="000000"/>
          <w:sz w:val="24"/>
          <w:szCs w:val="24"/>
          <w:bdr w:val="none" w:sz="0" w:space="0" w:color="auto" w:frame="1"/>
        </w:rPr>
        <w:t>COM(</w:t>
      </w:r>
      <w:proofErr w:type="gramEnd"/>
      <w:r w:rsidRPr="00E54D6D">
        <w:rPr>
          <w:rFonts w:ascii="Times New Roman" w:eastAsia="Times New Roman" w:hAnsi="Times New Roman" w:cs="Times New Roman"/>
          <w:color w:val="000000"/>
          <w:sz w:val="24"/>
          <w:szCs w:val="24"/>
          <w:bdr w:val="none" w:sz="0" w:space="0" w:color="auto" w:frame="1"/>
        </w:rPr>
        <w:t>2020)152 final).</w:t>
      </w:r>
    </w:p>
    <w:p w14:paraId="01D115E5"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color w:val="000000"/>
          <w:sz w:val="24"/>
          <w:szCs w:val="24"/>
          <w:bdr w:val="none" w:sz="0" w:space="0" w:color="auto" w:frame="1"/>
        </w:rPr>
      </w:pPr>
      <w:r w:rsidRPr="00E54D6D">
        <w:rPr>
          <w:rFonts w:ascii="Times New Roman" w:eastAsia="Times New Roman" w:hAnsi="Times New Roman" w:cs="Times New Roman"/>
          <w:color w:val="000000"/>
          <w:sz w:val="24"/>
          <w:szCs w:val="24"/>
          <w:bdr w:val="none" w:sz="0" w:space="0" w:color="auto" w:frame="1"/>
        </w:rPr>
        <w:t xml:space="preserve">The Commission supports and interlinks SME intermediaries such as clusters, European Enterprise Network (EEN) and European Resource Efficiency Knowledge Centre (EREK) to help upskill staff of SMEs </w:t>
      </w:r>
      <w:proofErr w:type="gramStart"/>
      <w:r w:rsidRPr="00E54D6D">
        <w:rPr>
          <w:rFonts w:ascii="Times New Roman" w:eastAsia="Times New Roman" w:hAnsi="Times New Roman" w:cs="Times New Roman"/>
          <w:color w:val="000000"/>
          <w:sz w:val="24"/>
          <w:szCs w:val="24"/>
          <w:bdr w:val="none" w:sz="0" w:space="0" w:color="auto" w:frame="1"/>
        </w:rPr>
        <w:t>in the area of</w:t>
      </w:r>
      <w:proofErr w:type="gramEnd"/>
      <w:r w:rsidRPr="00E54D6D">
        <w:rPr>
          <w:rFonts w:ascii="Times New Roman" w:eastAsia="Times New Roman" w:hAnsi="Times New Roman" w:cs="Times New Roman"/>
          <w:color w:val="000000"/>
          <w:sz w:val="24"/>
          <w:szCs w:val="24"/>
          <w:bdr w:val="none" w:sz="0" w:space="0" w:color="auto" w:frame="1"/>
        </w:rPr>
        <w:t xml:space="preserve"> sustainability. The new figure of “sustainable advisor” is fully operational in the EEN network.</w:t>
      </w:r>
    </w:p>
    <w:p w14:paraId="4D41A6DE"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color w:val="000000"/>
          <w:sz w:val="24"/>
          <w:szCs w:val="24"/>
          <w:bdr w:val="none" w:sz="0" w:space="0" w:color="auto" w:frame="1"/>
        </w:rPr>
      </w:pPr>
      <w:r w:rsidRPr="00E54D6D">
        <w:rPr>
          <w:rFonts w:ascii="Times New Roman" w:eastAsia="Times New Roman" w:hAnsi="Times New Roman" w:cs="Times New Roman"/>
          <w:color w:val="000000"/>
          <w:sz w:val="24"/>
          <w:szCs w:val="24"/>
          <w:bdr w:val="none" w:sz="0" w:space="0" w:color="auto" w:frame="1"/>
        </w:rPr>
        <w:t xml:space="preserve">Addressing shortages of skills for “green jobs” and other key professional abilities for the digital transition was reported as top priority for SMEs. The Commission has updated its Skills Agenda for Europe and launched a Pact for Skills and sectorial skills academies in partnerships with public and private organisations to take concrete action to upskill and reskill the workforce in Europe tailored to the needs of each industrial ecosystem. In addition, vocational </w:t>
      </w:r>
      <w:proofErr w:type="gramStart"/>
      <w:r w:rsidRPr="00E54D6D">
        <w:rPr>
          <w:rFonts w:ascii="Times New Roman" w:eastAsia="Times New Roman" w:hAnsi="Times New Roman" w:cs="Times New Roman"/>
          <w:color w:val="000000"/>
          <w:sz w:val="24"/>
          <w:szCs w:val="24"/>
          <w:bdr w:val="none" w:sz="0" w:space="0" w:color="auto" w:frame="1"/>
        </w:rPr>
        <w:t>education</w:t>
      </w:r>
      <w:proofErr w:type="gramEnd"/>
      <w:r w:rsidRPr="00E54D6D">
        <w:rPr>
          <w:rFonts w:ascii="Times New Roman" w:eastAsia="Times New Roman" w:hAnsi="Times New Roman" w:cs="Times New Roman"/>
          <w:color w:val="000000"/>
          <w:sz w:val="24"/>
          <w:szCs w:val="24"/>
          <w:bdr w:val="none" w:sz="0" w:space="0" w:color="auto" w:frame="1"/>
        </w:rPr>
        <w:t xml:space="preserve"> and training (VET) is particularly relevant for SMEs to make sure that their workforce has the skills needed on the labour market and it will be further strengthened.</w:t>
      </w:r>
    </w:p>
    <w:p w14:paraId="6AAB60B9"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color w:val="000000"/>
          <w:sz w:val="24"/>
          <w:szCs w:val="24"/>
          <w:bdr w:val="none" w:sz="0" w:space="0" w:color="auto" w:frame="1"/>
        </w:rPr>
      </w:pPr>
      <w:r w:rsidRPr="00E54D6D">
        <w:rPr>
          <w:rFonts w:ascii="Times New Roman" w:eastAsia="Times New Roman" w:hAnsi="Times New Roman" w:cs="Times New Roman"/>
          <w:color w:val="000000"/>
          <w:sz w:val="24"/>
          <w:szCs w:val="24"/>
          <w:bdr w:val="none" w:sz="0" w:space="0" w:color="auto" w:frame="1"/>
        </w:rPr>
        <w:t xml:space="preserve">The Commission also proposes in the Net Zero Industry Act to support the establishment of Net-Zero Industry Academies to roll out up-skilling and re-skilling programmes in strategic </w:t>
      </w:r>
      <w:r w:rsidRPr="00E54D6D">
        <w:rPr>
          <w:rFonts w:ascii="Times New Roman" w:eastAsia="Times New Roman" w:hAnsi="Times New Roman" w:cs="Times New Roman"/>
          <w:color w:val="000000"/>
          <w:sz w:val="24"/>
          <w:szCs w:val="24"/>
          <w:bdr w:val="none" w:sz="0" w:space="0" w:color="auto" w:frame="1"/>
        </w:rPr>
        <w:lastRenderedPageBreak/>
        <w:t xml:space="preserve">industries such as raw materials, </w:t>
      </w:r>
      <w:proofErr w:type="gramStart"/>
      <w:r w:rsidRPr="00E54D6D">
        <w:rPr>
          <w:rFonts w:ascii="Times New Roman" w:eastAsia="Times New Roman" w:hAnsi="Times New Roman" w:cs="Times New Roman"/>
          <w:color w:val="000000"/>
          <w:sz w:val="24"/>
          <w:szCs w:val="24"/>
          <w:bdr w:val="none" w:sz="0" w:space="0" w:color="auto" w:frame="1"/>
        </w:rPr>
        <w:t>hydrogen</w:t>
      </w:r>
      <w:proofErr w:type="gramEnd"/>
      <w:r w:rsidRPr="00E54D6D">
        <w:rPr>
          <w:rFonts w:ascii="Times New Roman" w:eastAsia="Times New Roman" w:hAnsi="Times New Roman" w:cs="Times New Roman"/>
          <w:color w:val="000000"/>
          <w:sz w:val="24"/>
          <w:szCs w:val="24"/>
          <w:bdr w:val="none" w:sz="0" w:space="0" w:color="auto" w:frame="1"/>
        </w:rPr>
        <w:t xml:space="preserve"> and solar technologies. This complements the already ongoing Battery value chain Skills Academy.</w:t>
      </w:r>
    </w:p>
    <w:p w14:paraId="4BAA9464"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color w:val="000000"/>
          <w:sz w:val="24"/>
          <w:szCs w:val="24"/>
          <w:bdr w:val="none" w:sz="0" w:space="0" w:color="auto" w:frame="1"/>
        </w:rPr>
      </w:pPr>
      <w:r w:rsidRPr="00E54D6D">
        <w:rPr>
          <w:rFonts w:ascii="Times New Roman" w:eastAsia="Times New Roman" w:hAnsi="Times New Roman" w:cs="Times New Roman"/>
          <w:color w:val="000000"/>
          <w:sz w:val="24"/>
          <w:szCs w:val="24"/>
          <w:bdr w:val="none" w:sz="0" w:space="0" w:color="auto" w:frame="1"/>
        </w:rPr>
        <w:t xml:space="preserve">2023 is the European Year of Skills, which presents an opportunity to accelerate the actions taken at EU, national and local levels </w:t>
      </w:r>
      <w:proofErr w:type="gramStart"/>
      <w:r w:rsidRPr="00E54D6D">
        <w:rPr>
          <w:rFonts w:ascii="Times New Roman" w:eastAsia="Times New Roman" w:hAnsi="Times New Roman" w:cs="Times New Roman"/>
          <w:color w:val="000000"/>
          <w:sz w:val="24"/>
          <w:szCs w:val="24"/>
          <w:bdr w:val="none" w:sz="0" w:space="0" w:color="auto" w:frame="1"/>
        </w:rPr>
        <w:t>in the area of</w:t>
      </w:r>
      <w:proofErr w:type="gramEnd"/>
      <w:r w:rsidRPr="00E54D6D">
        <w:rPr>
          <w:rFonts w:ascii="Times New Roman" w:eastAsia="Times New Roman" w:hAnsi="Times New Roman" w:cs="Times New Roman"/>
          <w:color w:val="000000"/>
          <w:sz w:val="24"/>
          <w:szCs w:val="24"/>
          <w:bdr w:val="none" w:sz="0" w:space="0" w:color="auto" w:frame="1"/>
        </w:rPr>
        <w:t xml:space="preserve"> skills. Actions which will benefit SMEs as part of the European Year of skills will receive extra visibility.</w:t>
      </w:r>
    </w:p>
    <w:p w14:paraId="6A0B8B7B"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color w:val="000000"/>
          <w:sz w:val="24"/>
          <w:szCs w:val="24"/>
          <w:bdr w:val="none" w:sz="0" w:space="0" w:color="auto" w:frame="1"/>
        </w:rPr>
      </w:pPr>
      <w:r w:rsidRPr="00E54D6D">
        <w:rPr>
          <w:rFonts w:ascii="Times New Roman" w:eastAsia="Times New Roman" w:hAnsi="Times New Roman" w:cs="Times New Roman"/>
          <w:color w:val="000000"/>
          <w:sz w:val="24"/>
          <w:szCs w:val="24"/>
          <w:bdr w:val="none" w:sz="0" w:space="0" w:color="auto" w:frame="1"/>
        </w:rPr>
        <w:t>All these actions will be complemented by the upcoming SME Relief Package that will comprise a set of concrete measures tailored to supporting SMEs to access more and better skills for sustainable competitiveness in cooperation with all relevant stakeholders, including Member States and social partners.</w:t>
      </w:r>
    </w:p>
    <w:p w14:paraId="57F2CEA4"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sz w:val="24"/>
          <w:szCs w:val="24"/>
        </w:rPr>
      </w:pPr>
      <w:r w:rsidRPr="00E54D6D">
        <w:rPr>
          <w:rFonts w:ascii="Times New Roman" w:eastAsia="Times New Roman" w:hAnsi="Times New Roman" w:cs="Times New Roman"/>
          <w:sz w:val="24"/>
          <w:szCs w:val="24"/>
        </w:rPr>
        <w:t xml:space="preserve">The European Social Fund Plus aims at delivering on the principles set out in the European Pillar of Social Rights and supports, </w:t>
      </w:r>
      <w:proofErr w:type="gramStart"/>
      <w:r w:rsidRPr="00E54D6D">
        <w:rPr>
          <w:rFonts w:ascii="Times New Roman" w:eastAsia="Times New Roman" w:hAnsi="Times New Roman" w:cs="Times New Roman"/>
          <w:sz w:val="24"/>
          <w:szCs w:val="24"/>
        </w:rPr>
        <w:t>complements</w:t>
      </w:r>
      <w:proofErr w:type="gramEnd"/>
      <w:r w:rsidRPr="00E54D6D">
        <w:rPr>
          <w:rFonts w:ascii="Times New Roman" w:eastAsia="Times New Roman" w:hAnsi="Times New Roman" w:cs="Times New Roman"/>
          <w:sz w:val="24"/>
          <w:szCs w:val="24"/>
        </w:rPr>
        <w:t xml:space="preserve"> and adds value to the policies of Member States to ensure, among others, fair and quality working conditions. Under the applicable EU shared management funds regulations the Member States are required to programme their ESF+ resources by prioritising interventions that address the challenges identified in the European Semester, including in their National Reform Programmes as well as in the relevant Country-Specific Recommendations, and take into account the principles and rights set out in the European Pillar of Social Rights and the national and regional strategies relevant for ESF+ objectives. Therefore, the ESF+ is indispensably linked to the Principles of the European Pillar of Social Rights, including the ones listed in its Chapter III, devoted to Fair Working Conditions (</w:t>
      </w:r>
      <w:proofErr w:type="gramStart"/>
      <w:r w:rsidRPr="00E54D6D">
        <w:rPr>
          <w:rFonts w:ascii="Times New Roman" w:eastAsia="Times New Roman" w:hAnsi="Times New Roman" w:cs="Times New Roman"/>
          <w:sz w:val="24"/>
          <w:szCs w:val="24"/>
        </w:rPr>
        <w:t>i.e.</w:t>
      </w:r>
      <w:proofErr w:type="gramEnd"/>
      <w:r w:rsidRPr="00E54D6D">
        <w:rPr>
          <w:rFonts w:ascii="Times New Roman" w:eastAsia="Times New Roman" w:hAnsi="Times New Roman" w:cs="Times New Roman"/>
          <w:sz w:val="24"/>
          <w:szCs w:val="24"/>
        </w:rPr>
        <w:t xml:space="preserve"> 8. Social dialogue and involvement of workers).</w:t>
      </w:r>
    </w:p>
    <w:p w14:paraId="18EE4511" w14:textId="77777777" w:rsidR="00E54D6D" w:rsidRPr="00E54D6D" w:rsidRDefault="00E54D6D" w:rsidP="00E54D6D">
      <w:pPr>
        <w:shd w:val="clear" w:color="auto" w:fill="FFFFFF"/>
        <w:spacing w:after="120" w:line="240" w:lineRule="auto"/>
        <w:jc w:val="both"/>
        <w:textAlignment w:val="baseline"/>
        <w:rPr>
          <w:rFonts w:ascii="Times New Roman" w:eastAsia="Times New Roman" w:hAnsi="Times New Roman" w:cs="Times New Roman"/>
          <w:sz w:val="24"/>
          <w:szCs w:val="24"/>
        </w:rPr>
      </w:pPr>
      <w:r w:rsidRPr="00E54D6D">
        <w:rPr>
          <w:rFonts w:ascii="Times New Roman" w:eastAsia="Times New Roman" w:hAnsi="Times New Roman" w:cs="Times New Roman"/>
          <w:sz w:val="24"/>
          <w:szCs w:val="24"/>
        </w:rPr>
        <w:t xml:space="preserve">Furthermore, the principle of partnership is a key feature in the implementation of the ESF+. This includes the involvement of social partners in all the crucial phases of the programmes supported by the ESF+, notably the preparation, </w:t>
      </w:r>
      <w:proofErr w:type="gramStart"/>
      <w:r w:rsidRPr="00E54D6D">
        <w:rPr>
          <w:rFonts w:ascii="Times New Roman" w:eastAsia="Times New Roman" w:hAnsi="Times New Roman" w:cs="Times New Roman"/>
          <w:sz w:val="24"/>
          <w:szCs w:val="24"/>
        </w:rPr>
        <w:t>implementation</w:t>
      </w:r>
      <w:proofErr w:type="gramEnd"/>
      <w:r w:rsidRPr="00E54D6D">
        <w:rPr>
          <w:rFonts w:ascii="Times New Roman" w:eastAsia="Times New Roman" w:hAnsi="Times New Roman" w:cs="Times New Roman"/>
          <w:sz w:val="24"/>
          <w:szCs w:val="24"/>
        </w:rPr>
        <w:t xml:space="preserve"> and evaluation. However, it should be recalled that - under the shared management – selecting operations and carrying out programme management tasks are, among many others, functions of the Managing </w:t>
      </w:r>
      <w:r w:rsidRPr="00E54D6D">
        <w:rPr>
          <w:rFonts w:ascii="Times New Roman" w:eastAsia="Calibri" w:hAnsi="Times New Roman" w:cs="Times New Roman"/>
          <w:sz w:val="24"/>
          <w:szCs w:val="24"/>
        </w:rPr>
        <w:t>Authorities.</w:t>
      </w:r>
    </w:p>
    <w:p w14:paraId="07DC6EB4"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b/>
          <w:sz w:val="24"/>
          <w:szCs w:val="24"/>
          <w:lang w:eastAsia="en-GB"/>
        </w:rPr>
        <w:t>Paragraph 18</w:t>
      </w:r>
    </w:p>
    <w:p w14:paraId="2E8F947B"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w:t>
      </w:r>
      <w:hyperlink r:id="rId23" w:history="1">
        <w:r w:rsidRPr="00E54D6D">
          <w:rPr>
            <w:rFonts w:ascii="Times New Roman" w:eastAsia="Calibri" w:hAnsi="Times New Roman" w:cs="Times New Roman"/>
            <w:color w:val="0000FF"/>
            <w:sz w:val="24"/>
            <w:szCs w:val="24"/>
            <w:u w:val="single"/>
            <w:lang w:eastAsia="en-GB"/>
          </w:rPr>
          <w:t>Council Recommendation on ensuring a fair transition towards climate neutrality</w:t>
        </w:r>
      </w:hyperlink>
      <w:r w:rsidRPr="00E54D6D">
        <w:rPr>
          <w:rFonts w:ascii="Times New Roman" w:eastAsia="Calibri" w:hAnsi="Times New Roman" w:cs="Times New Roman"/>
          <w:sz w:val="24"/>
          <w:szCs w:val="24"/>
          <w:lang w:eastAsia="en-GB"/>
        </w:rPr>
        <w:t xml:space="preserve"> provides concrete guidance to Member States on how to best devise and implement measures to address the employment and social impacts of the green transition. As a cross-cutting element, the Recommendation invites Member States to “actively involve social partners at national, regional and local levels, while respecting their autonomy, in all stages of </w:t>
      </w:r>
      <w:proofErr w:type="gramStart"/>
      <w:r w:rsidRPr="00E54D6D">
        <w:rPr>
          <w:rFonts w:ascii="Times New Roman" w:eastAsia="Calibri" w:hAnsi="Times New Roman" w:cs="Times New Roman"/>
          <w:sz w:val="24"/>
          <w:szCs w:val="24"/>
          <w:lang w:eastAsia="en-GB"/>
        </w:rPr>
        <w:t>policy-making</w:t>
      </w:r>
      <w:proofErr w:type="gramEnd"/>
      <w:r w:rsidRPr="00E54D6D">
        <w:rPr>
          <w:rFonts w:ascii="Times New Roman" w:eastAsia="Calibri" w:hAnsi="Times New Roman" w:cs="Times New Roman"/>
          <w:sz w:val="24"/>
          <w:szCs w:val="24"/>
          <w:lang w:eastAsia="en-GB"/>
        </w:rPr>
        <w:t xml:space="preserve"> and implementation provided for under this Recommendation, including through social dialogue and collective bargaining where appropriate”.</w:t>
      </w:r>
    </w:p>
    <w:p w14:paraId="55400926"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w:t>
      </w:r>
      <w:hyperlink r:id="rId24" w:history="1">
        <w:r w:rsidRPr="00E54D6D">
          <w:rPr>
            <w:rFonts w:ascii="Times New Roman" w:eastAsia="Calibri" w:hAnsi="Times New Roman" w:cs="Times New Roman"/>
            <w:color w:val="0000FF"/>
            <w:sz w:val="24"/>
            <w:szCs w:val="24"/>
            <w:u w:val="single"/>
            <w:lang w:eastAsia="en-GB"/>
          </w:rPr>
          <w:t>Social Climate Fund Regulation</w:t>
        </w:r>
      </w:hyperlink>
      <w:r w:rsidRPr="00E54D6D">
        <w:rPr>
          <w:rFonts w:ascii="Times New Roman" w:eastAsia="Calibri" w:hAnsi="Times New Roman" w:cs="Times New Roman"/>
          <w:sz w:val="24"/>
          <w:szCs w:val="24"/>
          <w:lang w:eastAsia="en-GB"/>
        </w:rPr>
        <w:t>, which aims to address the social impacts of the inclusion of greenhouse gas emissions from buildings and road transport within the scope of the EU’s Emission Trading System, provides funding to Member States upon the preparation of national Social Climate Plans, with the measures and investments to be financed. Each Member State shall submit a Plan to the Commission following a public consultation with different stakeholders, including economic and social partners and must then include an explanation on how the input of the stakeholders who participated in the consultation is reflected in the Plan.</w:t>
      </w:r>
    </w:p>
    <w:p w14:paraId="14ABE82D" w14:textId="77777777" w:rsidR="00E54D6D" w:rsidRPr="00E54D6D" w:rsidRDefault="00E54D6D" w:rsidP="00E54D6D">
      <w:pPr>
        <w:spacing w:after="120" w:line="240" w:lineRule="auto"/>
        <w:jc w:val="both"/>
        <w:rPr>
          <w:rFonts w:ascii="Times New Roman" w:eastAsia="Calibri" w:hAnsi="Times New Roman" w:cs="Times New Roman"/>
          <w:b/>
          <w:sz w:val="24"/>
          <w:szCs w:val="24"/>
          <w:lang w:eastAsia="en-GB"/>
        </w:rPr>
      </w:pPr>
      <w:r w:rsidRPr="00E54D6D">
        <w:rPr>
          <w:rFonts w:ascii="Times New Roman" w:eastAsia="Calibri" w:hAnsi="Times New Roman" w:cs="Times New Roman"/>
          <w:b/>
          <w:sz w:val="24"/>
          <w:szCs w:val="24"/>
          <w:lang w:eastAsia="en-GB"/>
        </w:rPr>
        <w:t>Paragraph 19</w:t>
      </w:r>
    </w:p>
    <w:p w14:paraId="21F6B302"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Member States are free to determine the role that collective agreements play in their national labour law system.</w:t>
      </w:r>
    </w:p>
    <w:p w14:paraId="103E1119"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lastRenderedPageBreak/>
        <w:t>Work relations during the performance of a public procurement contract are not different than those based on a private transaction: employers are bound by the same labour law framework and obligations when they are operating as public contractors and subcontractors.</w:t>
      </w:r>
    </w:p>
    <w:p w14:paraId="3822967E"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EU legal framework on public procurement recognises this principle and requires EU Member States and public buyers to ensure compliance with all applicable labour obligations during the performance of the contract, whether these are stemming from the law, administrative </w:t>
      </w:r>
      <w:proofErr w:type="gramStart"/>
      <w:r w:rsidRPr="00E54D6D">
        <w:rPr>
          <w:rFonts w:ascii="Times New Roman" w:eastAsia="Calibri" w:hAnsi="Times New Roman" w:cs="Times New Roman"/>
          <w:sz w:val="24"/>
          <w:szCs w:val="24"/>
          <w:lang w:eastAsia="en-GB"/>
        </w:rPr>
        <w:t>provisions</w:t>
      </w:r>
      <w:proofErr w:type="gramEnd"/>
      <w:r w:rsidRPr="00E54D6D">
        <w:rPr>
          <w:rFonts w:ascii="Times New Roman" w:eastAsia="Calibri" w:hAnsi="Times New Roman" w:cs="Times New Roman"/>
          <w:sz w:val="24"/>
          <w:szCs w:val="24"/>
          <w:lang w:eastAsia="en-GB"/>
        </w:rPr>
        <w:t xml:space="preserve"> or collective agreements, in line with EU Law.</w:t>
      </w:r>
    </w:p>
    <w:p w14:paraId="21F43246"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When the applicable labour obligations are stemming from collective agreements in line with the EU acquis, economic operators must comply with them in the context of a public contract or concession.</w:t>
      </w:r>
    </w:p>
    <w:p w14:paraId="30395A62"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Commission’s </w:t>
      </w:r>
      <w:hyperlink r:id="rId25" w:history="1">
        <w:r w:rsidRPr="00E54D6D">
          <w:rPr>
            <w:rFonts w:ascii="Times New Roman" w:eastAsia="Calibri" w:hAnsi="Times New Roman" w:cs="Times New Roman"/>
            <w:color w:val="0000FF"/>
            <w:sz w:val="24"/>
            <w:szCs w:val="24"/>
            <w:u w:val="single"/>
            <w:lang w:eastAsia="en-GB"/>
          </w:rPr>
          <w:t>“Buying Social” guide</w:t>
        </w:r>
      </w:hyperlink>
      <w:r w:rsidRPr="00E54D6D">
        <w:rPr>
          <w:rFonts w:ascii="Times New Roman" w:eastAsia="Calibri" w:hAnsi="Times New Roman" w:cs="Times New Roman"/>
          <w:sz w:val="24"/>
          <w:szCs w:val="24"/>
          <w:lang w:eastAsia="en-GB"/>
        </w:rPr>
        <w:t>, published in May 2021, provides public buyers with clear and concrete practical guidance on how to make their procurements more socially responsible, while always complying with the applicable labour law.</w:t>
      </w:r>
    </w:p>
    <w:p w14:paraId="234D28DC"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b/>
          <w:sz w:val="24"/>
          <w:szCs w:val="24"/>
          <w:lang w:eastAsia="en-GB"/>
        </w:rPr>
        <w:t>Paragraph 20</w:t>
      </w:r>
    </w:p>
    <w:p w14:paraId="62254FCB" w14:textId="77777777" w:rsidR="00E54D6D" w:rsidRPr="00E54D6D" w:rsidRDefault="00E54D6D" w:rsidP="00E54D6D">
      <w:pPr>
        <w:spacing w:after="120" w:line="240" w:lineRule="auto"/>
        <w:jc w:val="both"/>
        <w:rPr>
          <w:rFonts w:ascii="Times New Roman" w:eastAsia="Times New Roman" w:hAnsi="Times New Roman" w:cs="Times New Roman"/>
          <w:sz w:val="24"/>
          <w:szCs w:val="24"/>
          <w:lang w:eastAsia="en-GB"/>
        </w:rPr>
      </w:pPr>
      <w:r w:rsidRPr="00E54D6D">
        <w:rPr>
          <w:rFonts w:ascii="Times New Roman" w:eastAsia="Times New Roman" w:hAnsi="Times New Roman" w:cs="Times New Roman"/>
          <w:sz w:val="24"/>
          <w:szCs w:val="24"/>
          <w:lang w:eastAsia="en-GB"/>
        </w:rPr>
        <w:t xml:space="preserve">The </w:t>
      </w:r>
      <w:hyperlink r:id="rId26">
        <w:r w:rsidRPr="00E54D6D">
          <w:rPr>
            <w:rFonts w:ascii="Times New Roman" w:eastAsia="Times New Roman" w:hAnsi="Times New Roman" w:cs="Times New Roman"/>
            <w:color w:val="0000FF"/>
            <w:sz w:val="24"/>
            <w:szCs w:val="24"/>
            <w:u w:val="single"/>
            <w:lang w:eastAsia="en-GB"/>
          </w:rPr>
          <w:t>Commission Communication “Long-term competitiveness of the EU: looking beyond 2030”</w:t>
        </w:r>
      </w:hyperlink>
      <w:r w:rsidRPr="00E54D6D">
        <w:rPr>
          <w:rFonts w:ascii="Times New Roman" w:eastAsia="Times New Roman" w:hAnsi="Times New Roman" w:cs="Times New Roman"/>
          <w:sz w:val="24"/>
          <w:szCs w:val="24"/>
          <w:lang w:eastAsia="en-GB"/>
        </w:rPr>
        <w:t xml:space="preserve"> sets out a greater focus on ensuring a growth enhancing regulatory framework. While the Communication recalls that the EU has one of the most advanced ‘better regulation’ systems as ranked by the Organization for Economic Cooperation and Development (OECD) and is a high-standard setter in policy areas such as consumer protection, competition, environment, and workplace safety, it announces further work to reduce burdens. Actions include a new push for the rationalisation and simplification of reporting requirements stemming from EU rules for companies and administrations. The aim is to reduce such burdens by 25%, without undermining the related policy objectives. To this end, the Commission will present first proposals for the thematic areas green, </w:t>
      </w:r>
      <w:proofErr w:type="gramStart"/>
      <w:r w:rsidRPr="00E54D6D">
        <w:rPr>
          <w:rFonts w:ascii="Times New Roman" w:eastAsia="Times New Roman" w:hAnsi="Times New Roman" w:cs="Times New Roman"/>
          <w:sz w:val="24"/>
          <w:szCs w:val="24"/>
          <w:lang w:eastAsia="en-GB"/>
        </w:rPr>
        <w:t>digital</w:t>
      </w:r>
      <w:proofErr w:type="gramEnd"/>
      <w:r w:rsidRPr="00E54D6D">
        <w:rPr>
          <w:rFonts w:ascii="Times New Roman" w:eastAsia="Times New Roman" w:hAnsi="Times New Roman" w:cs="Times New Roman"/>
          <w:sz w:val="24"/>
          <w:szCs w:val="24"/>
          <w:lang w:eastAsia="en-GB"/>
        </w:rPr>
        <w:t xml:space="preserve"> and economy by autumn 2023.</w:t>
      </w:r>
    </w:p>
    <w:p w14:paraId="4C7310B6" w14:textId="77777777" w:rsidR="00E54D6D" w:rsidRPr="00E54D6D" w:rsidRDefault="00E54D6D" w:rsidP="00E54D6D">
      <w:pPr>
        <w:spacing w:after="120" w:line="240" w:lineRule="auto"/>
        <w:jc w:val="both"/>
        <w:rPr>
          <w:rFonts w:ascii="Times New Roman" w:eastAsia="Calibri" w:hAnsi="Times New Roman" w:cs="Times New Roman"/>
          <w:b/>
          <w:sz w:val="24"/>
          <w:szCs w:val="24"/>
          <w:lang w:eastAsia="en-GB"/>
        </w:rPr>
      </w:pPr>
      <w:r w:rsidRPr="00E54D6D">
        <w:rPr>
          <w:rFonts w:ascii="Times New Roman" w:eastAsia="Calibri" w:hAnsi="Times New Roman" w:cs="Times New Roman"/>
          <w:b/>
          <w:sz w:val="24"/>
          <w:szCs w:val="24"/>
          <w:lang w:eastAsia="en-GB"/>
        </w:rPr>
        <w:t>Paragraph</w:t>
      </w:r>
      <w:r w:rsidRPr="00E54D6D">
        <w:rPr>
          <w:rFonts w:ascii="Times New Roman" w:eastAsia="Calibri" w:hAnsi="Times New Roman" w:cs="Times New Roman"/>
          <w:sz w:val="24"/>
          <w:szCs w:val="24"/>
          <w:lang w:eastAsia="en-GB"/>
        </w:rPr>
        <w:t xml:space="preserve"> </w:t>
      </w:r>
      <w:r w:rsidRPr="00E54D6D">
        <w:rPr>
          <w:rFonts w:ascii="Times New Roman" w:eastAsia="Calibri" w:hAnsi="Times New Roman" w:cs="Times New Roman"/>
          <w:b/>
          <w:sz w:val="24"/>
          <w:szCs w:val="24"/>
          <w:lang w:eastAsia="en-GB"/>
        </w:rPr>
        <w:t>23</w:t>
      </w:r>
    </w:p>
    <w:p w14:paraId="7554FA85"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Commission is committed to following up rapidly on the Parliament’s resolution on the revision of the European Works Councils Directive (2019/2183 (INL)), in accordance with the commitment of President von der Leyen in her Political Guidelines to follow up resolutions of the Parliament adopted under Article 225 TFEU with a legislative proposal, in full respect of proportionality, subsidiarity and better law-making principles. The Commission is assessing the issues raised and the solutions proposed in that resolution, and the responses of the EU social partners to the first-stage consultation under Article 154 TFEU, carried out between 11 April and 25 May 2023. The Commission launched the second stage consultation of social partners on 26 July and expects the responses of the EU social partners by 4 October 2023. As part of the assessment of the challenges facing European Works Councils, as requested by the Parliament, the Commission is exploring the merits of including contracts which enable structurally independent undertakings to influence one another's operation and business decisions (such as franchising or management contracts) within the scope of Directive 2009/38/EC </w:t>
      </w:r>
      <w:proofErr w:type="gramStart"/>
      <w:r w:rsidRPr="00E54D6D">
        <w:rPr>
          <w:rFonts w:ascii="Times New Roman" w:eastAsia="Calibri" w:hAnsi="Times New Roman" w:cs="Times New Roman"/>
          <w:sz w:val="24"/>
          <w:szCs w:val="24"/>
          <w:lang w:eastAsia="en-GB"/>
        </w:rPr>
        <w:t>in order to</w:t>
      </w:r>
      <w:proofErr w:type="gramEnd"/>
      <w:r w:rsidRPr="00E54D6D">
        <w:rPr>
          <w:rFonts w:ascii="Times New Roman" w:eastAsia="Calibri" w:hAnsi="Times New Roman" w:cs="Times New Roman"/>
          <w:sz w:val="24"/>
          <w:szCs w:val="24"/>
          <w:lang w:eastAsia="en-GB"/>
        </w:rPr>
        <w:t xml:space="preserve"> prevent possible gaps in coverage of that directive.</w:t>
      </w:r>
    </w:p>
    <w:p w14:paraId="581BA971"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Please also refer to the reply to paragraph 33.</w:t>
      </w:r>
    </w:p>
    <w:p w14:paraId="384027E5" w14:textId="77777777" w:rsidR="00E54D6D" w:rsidRPr="00E54D6D" w:rsidRDefault="00E54D6D" w:rsidP="00E54D6D">
      <w:pPr>
        <w:spacing w:after="120" w:line="240" w:lineRule="auto"/>
        <w:jc w:val="both"/>
        <w:rPr>
          <w:rFonts w:ascii="Times New Roman" w:eastAsia="Calibri" w:hAnsi="Times New Roman" w:cs="Times New Roman"/>
          <w:b/>
          <w:sz w:val="24"/>
          <w:szCs w:val="24"/>
          <w:lang w:eastAsia="en-GB"/>
        </w:rPr>
      </w:pPr>
      <w:r w:rsidRPr="00E54D6D">
        <w:rPr>
          <w:rFonts w:ascii="Times New Roman" w:eastAsia="Calibri" w:hAnsi="Times New Roman" w:cs="Times New Roman"/>
          <w:b/>
          <w:sz w:val="24"/>
          <w:szCs w:val="24"/>
          <w:lang w:eastAsia="en-GB"/>
        </w:rPr>
        <w:t>Paragraph 26</w:t>
      </w:r>
    </w:p>
    <w:p w14:paraId="10475FD9"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Commission adopted its </w:t>
      </w:r>
      <w:bookmarkStart w:id="4" w:name="_Hlk138082564"/>
      <w:r w:rsidRPr="00E54D6D">
        <w:rPr>
          <w:rFonts w:ascii="Times New Roman" w:eastAsia="Calibri" w:hAnsi="Times New Roman" w:cs="Times New Roman"/>
          <w:sz w:val="24"/>
          <w:szCs w:val="24"/>
          <w:lang w:eastAsia="en-GB"/>
        </w:rPr>
        <w:fldChar w:fldCharType="begin"/>
      </w:r>
      <w:r w:rsidRPr="00E54D6D">
        <w:rPr>
          <w:rFonts w:ascii="Times New Roman" w:eastAsia="Calibri" w:hAnsi="Times New Roman" w:cs="Times New Roman"/>
          <w:sz w:val="24"/>
          <w:szCs w:val="24"/>
          <w:lang w:eastAsia="en-GB"/>
        </w:rPr>
        <w:instrText>HYPERLINK "https://eur-lex.europa.eu/legal-content/EN/TXT/?uri=CELEX:52022PC0071"</w:instrText>
      </w:r>
      <w:r w:rsidRPr="00E54D6D">
        <w:rPr>
          <w:rFonts w:ascii="Times New Roman" w:eastAsia="Calibri" w:hAnsi="Times New Roman" w:cs="Times New Roman"/>
          <w:sz w:val="24"/>
          <w:szCs w:val="24"/>
          <w:lang w:eastAsia="en-GB"/>
        </w:rPr>
      </w:r>
      <w:r w:rsidRPr="00E54D6D">
        <w:rPr>
          <w:rFonts w:ascii="Times New Roman" w:eastAsia="Calibri" w:hAnsi="Times New Roman" w:cs="Times New Roman"/>
          <w:sz w:val="24"/>
          <w:szCs w:val="24"/>
          <w:lang w:eastAsia="en-GB"/>
        </w:rPr>
        <w:fldChar w:fldCharType="separate"/>
      </w:r>
      <w:r w:rsidRPr="00E54D6D">
        <w:rPr>
          <w:rFonts w:ascii="Times New Roman" w:eastAsia="Calibri" w:hAnsi="Times New Roman" w:cs="Times New Roman"/>
          <w:color w:val="0000FF"/>
          <w:sz w:val="24"/>
          <w:szCs w:val="24"/>
          <w:u w:val="single"/>
          <w:lang w:eastAsia="en-GB"/>
        </w:rPr>
        <w:t>proposal for a Directive on Corporate Sustainability Due Diligence (CSDD)</w:t>
      </w:r>
      <w:bookmarkEnd w:id="4"/>
      <w:r w:rsidRPr="00E54D6D">
        <w:rPr>
          <w:rFonts w:ascii="Times New Roman" w:eastAsia="Calibri" w:hAnsi="Times New Roman" w:cs="Times New Roman"/>
          <w:sz w:val="24"/>
          <w:szCs w:val="24"/>
          <w:lang w:eastAsia="en-GB"/>
        </w:rPr>
        <w:fldChar w:fldCharType="end"/>
      </w:r>
      <w:r w:rsidRPr="00E54D6D">
        <w:rPr>
          <w:rFonts w:ascii="Times New Roman" w:eastAsia="Calibri" w:hAnsi="Times New Roman" w:cs="Times New Roman"/>
          <w:sz w:val="24"/>
          <w:szCs w:val="24"/>
          <w:lang w:eastAsia="en-GB"/>
        </w:rPr>
        <w:t xml:space="preserve"> in February 2022. The proposal, which covers several aspects mentioned in the European Parliament’s non-legislative resolution, is currently being negotiated between </w:t>
      </w:r>
      <w:r w:rsidRPr="00E54D6D">
        <w:rPr>
          <w:rFonts w:ascii="Times New Roman" w:eastAsia="Calibri" w:hAnsi="Times New Roman" w:cs="Times New Roman"/>
          <w:sz w:val="24"/>
          <w:szCs w:val="24"/>
          <w:lang w:eastAsia="en-GB"/>
        </w:rPr>
        <w:lastRenderedPageBreak/>
        <w:t>the co-legislators. The Commission will continue working on these matters with full consideration of the outcome of the CSDD negotiations, including the content of any possible review clause, also following the Better Regulation Guidelines.</w:t>
      </w:r>
    </w:p>
    <w:p w14:paraId="1D34D1A4"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t>Paragraph 27</w:t>
      </w:r>
    </w:p>
    <w:p w14:paraId="0E5B30D6"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As indicated in its Communication “Strengthening social dialogue in the European Union” the Commission has set up Social Dialogue Coordinators in the relevant Commission services due to the need for a better understanding of social dialogue across the Commission services and a more coherent approach to consultations of social partners. The social dialogue coordinators should contribute to the Commission’s efforts for an adequate involvement and appropriate consultation of social partners and promote a better understanding of social dialogue within the respective services.</w:t>
      </w:r>
    </w:p>
    <w:p w14:paraId="5B6D3451"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t>Paragraph 28</w:t>
      </w:r>
      <w:bookmarkStart w:id="5" w:name="_Hlk138168452"/>
    </w:p>
    <w:p w14:paraId="077CF892"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Capacity building of social partners in the programming period 2021/2027 has an increased importance within the </w:t>
      </w:r>
      <w:hyperlink r:id="rId27">
        <w:r w:rsidRPr="00E54D6D">
          <w:rPr>
            <w:rFonts w:ascii="Times New Roman" w:eastAsia="Calibri" w:hAnsi="Times New Roman" w:cs="Times New Roman"/>
            <w:color w:val="0000FF"/>
            <w:sz w:val="24"/>
            <w:szCs w:val="24"/>
            <w:u w:val="single"/>
            <w:lang w:eastAsia="en-GB"/>
          </w:rPr>
          <w:t>Common Provisions Regulation (CPR)</w:t>
        </w:r>
      </w:hyperlink>
      <w:r w:rsidRPr="00E54D6D">
        <w:rPr>
          <w:rFonts w:ascii="Times New Roman" w:eastAsia="Calibri" w:hAnsi="Times New Roman" w:cs="Times New Roman"/>
          <w:sz w:val="24"/>
          <w:szCs w:val="24"/>
          <w:lang w:eastAsia="en-GB"/>
        </w:rPr>
        <w:t xml:space="preserve"> and the </w:t>
      </w:r>
      <w:hyperlink r:id="rId28">
        <w:r w:rsidRPr="00E54D6D">
          <w:rPr>
            <w:rFonts w:ascii="Times New Roman" w:eastAsia="Calibri" w:hAnsi="Times New Roman" w:cs="Times New Roman"/>
            <w:color w:val="0000FF"/>
            <w:sz w:val="24"/>
            <w:szCs w:val="24"/>
            <w:u w:val="single"/>
            <w:lang w:eastAsia="en-GB"/>
          </w:rPr>
          <w:t>ESF+ Regulation</w:t>
        </w:r>
      </w:hyperlink>
      <w:r w:rsidRPr="00E54D6D">
        <w:rPr>
          <w:rFonts w:ascii="Times New Roman" w:eastAsia="Calibri" w:hAnsi="Times New Roman" w:cs="Times New Roman"/>
          <w:sz w:val="24"/>
          <w:szCs w:val="24"/>
          <w:lang w:eastAsia="en-GB"/>
        </w:rPr>
        <w:t xml:space="preserve">. Member States are required, where relevant, to allocate an appropriate percentage of the resources coming from the Funds for the administrative capacity building of social partners organisations (CPR, Article 8). In line with this provision, in the context of the ESF+, Member States are required to allocate an appropriate amount of their resources of the ESF+ strand under shared management in each programme to capacity building of the social partners and civil society organisations. Measures can include, among others, training, networking, strengthening of the social dialogue, and activities jointly undertaken by the social partners. Where capacity building of the social partners and civil society organisations is identified by a relevant country-specific recommendation, the amount allocated for that purpose should be at least 0,25% of concerned Member State’s resources of the ESF+ strand under shared management (ESF+ Regulation, Article 9). So far, Member States have programmed approximately 0.75% of the total ESF+ funding to support capacity building of social partners, civil </w:t>
      </w:r>
      <w:proofErr w:type="gramStart"/>
      <w:r w:rsidRPr="00E54D6D">
        <w:rPr>
          <w:rFonts w:ascii="Times New Roman" w:eastAsia="Calibri" w:hAnsi="Times New Roman" w:cs="Times New Roman"/>
          <w:sz w:val="24"/>
          <w:szCs w:val="24"/>
          <w:lang w:eastAsia="en-GB"/>
        </w:rPr>
        <w:t>society</w:t>
      </w:r>
      <w:proofErr w:type="gramEnd"/>
      <w:r w:rsidRPr="00E54D6D">
        <w:rPr>
          <w:rFonts w:ascii="Times New Roman" w:eastAsia="Calibri" w:hAnsi="Times New Roman" w:cs="Times New Roman"/>
          <w:sz w:val="24"/>
          <w:szCs w:val="24"/>
          <w:lang w:eastAsia="en-GB"/>
        </w:rPr>
        <w:t xml:space="preserve"> and organisations. Therefore, the importance of strongly supporting such activities is fully captured by the resources allocated in the programmes. Consequently, as mentioned above, capacity building for the purpose of strengthening the social dialogue is already part of the ESF+ Regulation. However, it should be recalled that in shared management the selection of operations is under the responsibility of the Managing Authorities.</w:t>
      </w:r>
    </w:p>
    <w:p w14:paraId="6058B727"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b/>
          <w:sz w:val="24"/>
          <w:szCs w:val="24"/>
          <w:lang w:eastAsia="en-GB"/>
        </w:rPr>
        <w:t>Paragraph 29</w:t>
      </w:r>
    </w:p>
    <w:p w14:paraId="46774343"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The Commission encourages Member States to continue to ratify and effectively implement ILO Conventions. This includes the two ILO standards on Occupational Safety and Health that have been elevated to the level of fundamental, ILO Convention No. 155 and ILO Convention No. 187, following the resolution adopted at the International Labour Conference in 2022. The EU and its Member States have been advocating and supporting the inclusion of occupational safety and health in the ILO’s framework on fundamental principles and rights at work, and the number of ratifications of the relevant conventions by EU Member States is expected to increase. All EU Member States have ratified the remaining core international standards of the ILO relevant to freedom of association and the effective recognition of the right to collective bargaining, the elimination of all forms of forced or compulsory labour, the effective abolition of child labour and the elimination of discrimination in respect of employment and occupation. Furthermore, the Commission proposed on 22 January 2020 a Council decision to authorise EU Member States to ratify ILO Convention No. 190, which is still under approval by the co-legislators.</w:t>
      </w:r>
    </w:p>
    <w:p w14:paraId="685C30FD" w14:textId="77777777" w:rsidR="00E54D6D" w:rsidRPr="00E54D6D" w:rsidRDefault="00E54D6D" w:rsidP="00E54D6D">
      <w:pPr>
        <w:widowControl w:val="0"/>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lastRenderedPageBreak/>
        <w:t>Paragraph 31</w:t>
      </w:r>
    </w:p>
    <w:p w14:paraId="33D036F9" w14:textId="77777777" w:rsidR="00E54D6D" w:rsidRPr="00E54D6D" w:rsidRDefault="00E54D6D" w:rsidP="00E54D6D">
      <w:pPr>
        <w:widowControl w:val="0"/>
        <w:spacing w:after="120" w:line="240" w:lineRule="auto"/>
        <w:jc w:val="both"/>
        <w:rPr>
          <w:rFonts w:ascii="Times New Roman" w:eastAsia="Calibri" w:hAnsi="Times New Roman" w:cs="Times New Roman"/>
          <w:sz w:val="24"/>
          <w:szCs w:val="24"/>
          <w:lang w:eastAsia="en-GB"/>
        </w:rPr>
      </w:pPr>
      <w:r w:rsidRPr="00E54D6D">
        <w:rPr>
          <w:rFonts w:ascii="Times New Roman" w:eastAsia="Times New Roman" w:hAnsi="Times New Roman" w:cs="Times New Roman"/>
          <w:sz w:val="24"/>
          <w:szCs w:val="24"/>
          <w:lang w:eastAsia="en-GB"/>
        </w:rPr>
        <w:t xml:space="preserve">The Commission fully supports the association of workers in the informal economy </w:t>
      </w:r>
      <w:proofErr w:type="gramStart"/>
      <w:r w:rsidRPr="00E54D6D">
        <w:rPr>
          <w:rFonts w:ascii="Times New Roman" w:eastAsia="Times New Roman" w:hAnsi="Times New Roman" w:cs="Times New Roman"/>
          <w:sz w:val="24"/>
          <w:szCs w:val="24"/>
          <w:lang w:eastAsia="en-GB"/>
        </w:rPr>
        <w:t>as a means to</w:t>
      </w:r>
      <w:proofErr w:type="gramEnd"/>
      <w:r w:rsidRPr="00E54D6D">
        <w:rPr>
          <w:rFonts w:ascii="Times New Roman" w:eastAsia="Times New Roman" w:hAnsi="Times New Roman" w:cs="Times New Roman"/>
          <w:sz w:val="24"/>
          <w:szCs w:val="24"/>
          <w:lang w:eastAsia="en-GB"/>
        </w:rPr>
        <w:t xml:space="preserve"> more formal recognition and better protection of these workers. In this context, the Commission will continue to support projects by social partner organisations and non-governmental organisations (NGOs) to enable and promote the better organisation of these workers. The Commission will also continue the work of the Platform Tackling Undeclared Work, whose primary objective is to transform undeclared work into declared work.</w:t>
      </w:r>
    </w:p>
    <w:p w14:paraId="55D9B8DC"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bookmarkStart w:id="6" w:name="_Hlk137497436"/>
      <w:r w:rsidRPr="00E54D6D">
        <w:rPr>
          <w:rFonts w:ascii="Times New Roman" w:eastAsia="Calibri" w:hAnsi="Times New Roman" w:cs="Times New Roman"/>
          <w:b/>
          <w:sz w:val="24"/>
          <w:szCs w:val="24"/>
          <w:lang w:eastAsia="en-GB"/>
        </w:rPr>
        <w:t>Paragraph 32</w:t>
      </w:r>
    </w:p>
    <w:bookmarkEnd w:id="6"/>
    <w:p w14:paraId="1C95B7ED" w14:textId="77777777" w:rsidR="00E54D6D" w:rsidRPr="00E54D6D" w:rsidRDefault="00E54D6D" w:rsidP="00E54D6D">
      <w:pPr>
        <w:spacing w:after="120" w:line="240" w:lineRule="auto"/>
        <w:jc w:val="both"/>
        <w:rPr>
          <w:rFonts w:ascii="Times New Roman" w:eastAsia="Calibri" w:hAnsi="Times New Roman" w:cs="Times New Roman"/>
          <w:sz w:val="24"/>
          <w:szCs w:val="24"/>
          <w:lang w:eastAsia="en-GB"/>
        </w:rPr>
      </w:pPr>
      <w:r w:rsidRPr="00E54D6D">
        <w:rPr>
          <w:rFonts w:ascii="Times New Roman" w:eastAsia="Calibri" w:hAnsi="Times New Roman" w:cs="Times New Roman"/>
          <w:sz w:val="24"/>
          <w:szCs w:val="24"/>
          <w:lang w:eastAsia="en-GB"/>
        </w:rPr>
        <w:t xml:space="preserve">The </w:t>
      </w:r>
      <w:hyperlink r:id="rId29" w:history="1">
        <w:r w:rsidRPr="00E54D6D">
          <w:rPr>
            <w:rFonts w:ascii="Times New Roman" w:eastAsia="Calibri" w:hAnsi="Times New Roman" w:cs="Times New Roman"/>
            <w:color w:val="0000FF"/>
            <w:sz w:val="24"/>
            <w:szCs w:val="24"/>
            <w:u w:val="single"/>
            <w:lang w:eastAsia="en-GB"/>
          </w:rPr>
          <w:t>recent judgement of the European Court of Justice (ECJ)</w:t>
        </w:r>
      </w:hyperlink>
      <w:r w:rsidRPr="00E54D6D">
        <w:rPr>
          <w:rFonts w:ascii="Times New Roman" w:eastAsia="Calibri" w:hAnsi="Times New Roman" w:cs="Times New Roman"/>
          <w:sz w:val="24"/>
          <w:szCs w:val="24"/>
          <w:lang w:eastAsia="en-GB"/>
        </w:rPr>
        <w:t xml:space="preserve"> clarifies the framework for implementing social partner agreement through EU law. The judgement entails that, following a joint request of social partners for their agreement to be implemented at EU level, the Commission determines on a case-by-case basis whether it is appropriate to submit a proposal for a Council Decision to the Council, implementing that agreement at EU level as a directive. To this end, the Commission will assess the agreement’s legality and the signatory parties’ representativeness, as well as the appropriateness of implementing the agreement through a Council Decision, by looking at economic, </w:t>
      </w:r>
      <w:proofErr w:type="gramStart"/>
      <w:r w:rsidRPr="00E54D6D">
        <w:rPr>
          <w:rFonts w:ascii="Times New Roman" w:eastAsia="Calibri" w:hAnsi="Times New Roman" w:cs="Times New Roman"/>
          <w:sz w:val="24"/>
          <w:szCs w:val="24"/>
          <w:lang w:eastAsia="en-GB"/>
        </w:rPr>
        <w:t>social</w:t>
      </w:r>
      <w:proofErr w:type="gramEnd"/>
      <w:r w:rsidRPr="00E54D6D">
        <w:rPr>
          <w:rFonts w:ascii="Times New Roman" w:eastAsia="Calibri" w:hAnsi="Times New Roman" w:cs="Times New Roman"/>
          <w:sz w:val="24"/>
          <w:szCs w:val="24"/>
          <w:lang w:eastAsia="en-GB"/>
        </w:rPr>
        <w:t xml:space="preserve"> and political aspects among other considerations. An impact assessment may be conducted in this context. The Commission recognises social partners’ knowledge on the possible impacts their agreement could have on businesses and workers. As stated in the </w:t>
      </w:r>
      <w:hyperlink r:id="rId30" w:history="1">
        <w:r w:rsidRPr="00E54D6D">
          <w:rPr>
            <w:rFonts w:ascii="Times New Roman" w:eastAsia="Calibri" w:hAnsi="Times New Roman" w:cs="Times New Roman"/>
            <w:color w:val="0000FF"/>
            <w:sz w:val="24"/>
            <w:szCs w:val="24"/>
            <w:u w:val="single"/>
            <w:lang w:eastAsia="en-GB"/>
          </w:rPr>
          <w:t xml:space="preserve">Commission </w:t>
        </w:r>
        <w:r w:rsidRPr="00E54D6D">
          <w:rPr>
            <w:rFonts w:ascii="Times New Roman" w:eastAsia="Times New Roman" w:hAnsi="Times New Roman" w:cs="Times New Roman"/>
            <w:color w:val="0000FF"/>
            <w:sz w:val="24"/>
            <w:szCs w:val="24"/>
            <w:u w:val="single"/>
            <w:lang w:eastAsia="en-GB"/>
          </w:rPr>
          <w:t>Communication Strengthening social dialogue in the European Union: harnessing its full potential for managing fair transitions</w:t>
        </w:r>
      </w:hyperlink>
      <w:r w:rsidRPr="00E54D6D">
        <w:rPr>
          <w:rFonts w:ascii="Times New Roman" w:eastAsia="Calibri" w:hAnsi="Times New Roman" w:cs="Times New Roman"/>
          <w:sz w:val="24"/>
          <w:szCs w:val="24"/>
          <w:lang w:eastAsia="en-GB"/>
        </w:rPr>
        <w:t xml:space="preserve">, the Commission services will inform the respective social partners within 3 months of their preliminary considerations, possibly including whether or not there will be an impact assessment. The Commission will take a final decision depending on the complexity of the assessment of the proposed agreement </w:t>
      </w:r>
      <w:proofErr w:type="gramStart"/>
      <w:r w:rsidRPr="00E54D6D">
        <w:rPr>
          <w:rFonts w:ascii="Times New Roman" w:eastAsia="Calibri" w:hAnsi="Times New Roman" w:cs="Times New Roman"/>
          <w:sz w:val="24"/>
          <w:szCs w:val="24"/>
          <w:lang w:eastAsia="en-GB"/>
        </w:rPr>
        <w:t>taking into account</w:t>
      </w:r>
      <w:proofErr w:type="gramEnd"/>
      <w:r w:rsidRPr="00E54D6D">
        <w:rPr>
          <w:rFonts w:ascii="Times New Roman" w:eastAsia="Calibri" w:hAnsi="Times New Roman" w:cs="Times New Roman"/>
          <w:sz w:val="24"/>
          <w:szCs w:val="24"/>
          <w:lang w:eastAsia="en-GB"/>
        </w:rPr>
        <w:t xml:space="preserve"> the requirements of the recent jurisprudence of the Court of Justice.</w:t>
      </w:r>
    </w:p>
    <w:p w14:paraId="36BDB712" w14:textId="77777777" w:rsidR="00E54D6D" w:rsidRPr="00E54D6D" w:rsidRDefault="00E54D6D" w:rsidP="00E54D6D">
      <w:pPr>
        <w:spacing w:after="120" w:line="240" w:lineRule="auto"/>
        <w:jc w:val="both"/>
        <w:rPr>
          <w:rFonts w:ascii="Times New Roman" w:eastAsia="Calibri" w:hAnsi="Times New Roman" w:cs="Times New Roman"/>
          <w:i/>
          <w:sz w:val="24"/>
          <w:szCs w:val="24"/>
          <w:lang w:eastAsia="en-GB"/>
        </w:rPr>
      </w:pPr>
      <w:r w:rsidRPr="00E54D6D">
        <w:rPr>
          <w:rFonts w:ascii="Times New Roman" w:eastAsia="Calibri" w:hAnsi="Times New Roman" w:cs="Times New Roman"/>
          <w:b/>
          <w:sz w:val="24"/>
          <w:szCs w:val="24"/>
          <w:lang w:eastAsia="en-GB"/>
        </w:rPr>
        <w:t>Paragraph 33</w:t>
      </w:r>
    </w:p>
    <w:bookmarkEnd w:id="5"/>
    <w:p w14:paraId="2724FB51" w14:textId="77777777" w:rsidR="00E54D6D" w:rsidRPr="00E54D6D" w:rsidRDefault="00E54D6D" w:rsidP="00E54D6D">
      <w:pPr>
        <w:spacing w:after="120" w:line="240" w:lineRule="auto"/>
        <w:jc w:val="both"/>
        <w:rPr>
          <w:rFonts w:ascii="Times New Roman" w:eastAsia="Times New Roman" w:hAnsi="Times New Roman" w:cs="Times New Roman"/>
          <w:color w:val="000000" w:themeColor="text1"/>
          <w:sz w:val="24"/>
          <w:szCs w:val="24"/>
          <w:lang w:eastAsia="en-GB"/>
        </w:rPr>
      </w:pPr>
      <w:r w:rsidRPr="00E54D6D">
        <w:rPr>
          <w:rFonts w:ascii="Times New Roman" w:eastAsia="Times New Roman" w:hAnsi="Times New Roman" w:cs="Times New Roman"/>
          <w:color w:val="000000" w:themeColor="text1"/>
          <w:sz w:val="24"/>
          <w:szCs w:val="24"/>
          <w:lang w:eastAsia="en-GB"/>
        </w:rPr>
        <w:t>The Commission has no plans to publish a proposal for a harmonised framework for employee participation on company boards.</w:t>
      </w:r>
    </w:p>
    <w:p w14:paraId="50CA1ABB" w14:textId="77777777" w:rsidR="00E54D6D" w:rsidRPr="00E54D6D" w:rsidRDefault="00E54D6D" w:rsidP="00E54D6D">
      <w:pPr>
        <w:spacing w:after="120" w:line="240" w:lineRule="auto"/>
        <w:jc w:val="both"/>
        <w:rPr>
          <w:rFonts w:ascii="Times New Roman" w:eastAsia="Times New Roman" w:hAnsi="Times New Roman" w:cs="Times New Roman"/>
          <w:color w:val="000000" w:themeColor="text1"/>
          <w:sz w:val="24"/>
          <w:szCs w:val="24"/>
          <w:lang w:eastAsia="en-GB"/>
        </w:rPr>
      </w:pPr>
      <w:r w:rsidRPr="00E54D6D">
        <w:rPr>
          <w:rFonts w:ascii="Times New Roman" w:eastAsia="Times New Roman" w:hAnsi="Times New Roman" w:cs="Times New Roman"/>
          <w:color w:val="000000" w:themeColor="text1"/>
          <w:sz w:val="24"/>
          <w:szCs w:val="24"/>
          <w:lang w:eastAsia="en-GB"/>
        </w:rPr>
        <w:t xml:space="preserve">European Company forms [European Company (SE) and European Cooperative Society (SCEs)], introduced by </w:t>
      </w:r>
      <w:hyperlink r:id="rId31" w:history="1">
        <w:r w:rsidRPr="00E54D6D">
          <w:rPr>
            <w:rFonts w:ascii="Times New Roman" w:eastAsia="Times New Roman" w:hAnsi="Times New Roman" w:cs="Times New Roman"/>
            <w:color w:val="0000FF"/>
            <w:sz w:val="24"/>
            <w:szCs w:val="24"/>
            <w:u w:val="single"/>
            <w:lang w:eastAsia="en-GB"/>
          </w:rPr>
          <w:t>EU Regulations 2157/2001</w:t>
        </w:r>
      </w:hyperlink>
      <w:r w:rsidRPr="00E54D6D">
        <w:rPr>
          <w:rFonts w:ascii="Times New Roman" w:eastAsia="Times New Roman" w:hAnsi="Times New Roman" w:cs="Times New Roman"/>
          <w:color w:val="000000" w:themeColor="text1"/>
          <w:sz w:val="24"/>
          <w:szCs w:val="24"/>
          <w:lang w:eastAsia="en-GB"/>
        </w:rPr>
        <w:t xml:space="preserve"> and </w:t>
      </w:r>
      <w:hyperlink r:id="rId32" w:history="1">
        <w:r w:rsidRPr="00E54D6D">
          <w:rPr>
            <w:rFonts w:ascii="Times New Roman" w:eastAsia="Times New Roman" w:hAnsi="Times New Roman" w:cs="Times New Roman"/>
            <w:color w:val="0000FF"/>
            <w:sz w:val="24"/>
            <w:szCs w:val="24"/>
            <w:u w:val="single"/>
            <w:lang w:eastAsia="en-GB"/>
          </w:rPr>
          <w:t>1435/2003</w:t>
        </w:r>
      </w:hyperlink>
      <w:r w:rsidRPr="00E54D6D">
        <w:rPr>
          <w:rFonts w:ascii="Times New Roman" w:eastAsia="Times New Roman" w:hAnsi="Times New Roman" w:cs="Times New Roman"/>
          <w:color w:val="000000" w:themeColor="text1"/>
          <w:sz w:val="24"/>
          <w:szCs w:val="24"/>
          <w:lang w:eastAsia="en-GB"/>
        </w:rPr>
        <w:t xml:space="preserve">, aim to facilitate economic cross-border activities in the EU and are supplemented by rules on workers’ involvement (Directives </w:t>
      </w:r>
      <w:hyperlink r:id="rId33" w:history="1">
        <w:r w:rsidRPr="00E54D6D">
          <w:rPr>
            <w:rFonts w:ascii="Times New Roman" w:eastAsia="Times New Roman" w:hAnsi="Times New Roman" w:cs="Times New Roman"/>
            <w:color w:val="0000FF"/>
            <w:sz w:val="24"/>
            <w:szCs w:val="24"/>
            <w:u w:val="single"/>
            <w:lang w:eastAsia="en-GB"/>
          </w:rPr>
          <w:t>2001/86</w:t>
        </w:r>
      </w:hyperlink>
      <w:r w:rsidRPr="00E54D6D">
        <w:rPr>
          <w:rFonts w:ascii="Times New Roman" w:eastAsia="Times New Roman" w:hAnsi="Times New Roman" w:cs="Times New Roman"/>
          <w:color w:val="000000" w:themeColor="text1"/>
          <w:sz w:val="24"/>
          <w:szCs w:val="24"/>
          <w:lang w:eastAsia="en-GB"/>
        </w:rPr>
        <w:t xml:space="preserve"> and </w:t>
      </w:r>
      <w:hyperlink r:id="rId34" w:history="1">
        <w:r w:rsidRPr="00E54D6D">
          <w:rPr>
            <w:rFonts w:ascii="Times New Roman" w:eastAsia="Times New Roman" w:hAnsi="Times New Roman" w:cs="Times New Roman"/>
            <w:color w:val="0000FF"/>
            <w:sz w:val="24"/>
            <w:szCs w:val="24"/>
            <w:u w:val="single"/>
            <w:lang w:eastAsia="en-GB"/>
          </w:rPr>
          <w:t>2003/72</w:t>
        </w:r>
      </w:hyperlink>
      <w:r w:rsidRPr="00E54D6D">
        <w:rPr>
          <w:rFonts w:ascii="Times New Roman" w:eastAsia="Times New Roman" w:hAnsi="Times New Roman" w:cs="Times New Roman"/>
          <w:color w:val="000000" w:themeColor="text1"/>
          <w:sz w:val="24"/>
          <w:szCs w:val="24"/>
          <w:lang w:eastAsia="en-GB"/>
        </w:rPr>
        <w:t xml:space="preserve">) that seek to prevent the use of European company forms to evade national rules on employee participation while not imposing national models of employee participation on other Member States. Provisions in the directive are based on the ‘before-and-after principle’ to preserve involvement rights that already existed prior to the creation of an SE/SCE. A legislative initiative introducing horizontal rules on board-level representation in SE and SCE would go beyond the current legal framework and potentially face the same challenges that prevented harmonisation of the rules in the past, including reaching </w:t>
      </w:r>
      <w:proofErr w:type="gramStart"/>
      <w:r w:rsidRPr="00E54D6D">
        <w:rPr>
          <w:rFonts w:ascii="Times New Roman" w:eastAsia="Times New Roman" w:hAnsi="Times New Roman" w:cs="Times New Roman"/>
          <w:color w:val="000000" w:themeColor="text1"/>
          <w:sz w:val="24"/>
          <w:szCs w:val="24"/>
          <w:lang w:eastAsia="en-GB"/>
        </w:rPr>
        <w:t>an</w:t>
      </w:r>
      <w:proofErr w:type="gramEnd"/>
      <w:r w:rsidRPr="00E54D6D">
        <w:rPr>
          <w:rFonts w:ascii="Times New Roman" w:eastAsia="Times New Roman" w:hAnsi="Times New Roman" w:cs="Times New Roman"/>
          <w:color w:val="000000" w:themeColor="text1"/>
          <w:sz w:val="24"/>
          <w:szCs w:val="24"/>
          <w:lang w:eastAsia="en-GB"/>
        </w:rPr>
        <w:t xml:space="preserve"> unanimous adoption by the Council as required by Article 153(1)(f) TFEU.</w:t>
      </w:r>
    </w:p>
    <w:p w14:paraId="4D9B2E03" w14:textId="74705CA2" w:rsidR="00072681" w:rsidRPr="00E54D6D" w:rsidRDefault="00E54D6D" w:rsidP="00E54D6D">
      <w:pPr>
        <w:spacing w:after="120" w:line="240" w:lineRule="auto"/>
        <w:jc w:val="both"/>
        <w:rPr>
          <w:rFonts w:ascii="Times New Roman" w:hAnsi="Times New Roman" w:cs="Times New Roman"/>
        </w:rPr>
      </w:pPr>
      <w:hyperlink r:id="rId35" w:history="1">
        <w:r w:rsidRPr="00E54D6D">
          <w:rPr>
            <w:rFonts w:ascii="Times New Roman" w:eastAsia="Times New Roman" w:hAnsi="Times New Roman" w:cs="Times New Roman"/>
            <w:color w:val="0000FF"/>
            <w:sz w:val="24"/>
            <w:szCs w:val="24"/>
            <w:u w:val="single"/>
            <w:lang w:eastAsia="en-GB"/>
          </w:rPr>
          <w:t xml:space="preserve">Directive 2019/2121 on cross-border conversions, </w:t>
        </w:r>
        <w:proofErr w:type="gramStart"/>
        <w:r w:rsidRPr="00E54D6D">
          <w:rPr>
            <w:rFonts w:ascii="Times New Roman" w:eastAsia="Times New Roman" w:hAnsi="Times New Roman" w:cs="Times New Roman"/>
            <w:color w:val="0000FF"/>
            <w:sz w:val="24"/>
            <w:szCs w:val="24"/>
            <w:u w:val="single"/>
            <w:lang w:eastAsia="en-GB"/>
          </w:rPr>
          <w:t>mergers</w:t>
        </w:r>
        <w:proofErr w:type="gramEnd"/>
        <w:r w:rsidRPr="00E54D6D">
          <w:rPr>
            <w:rFonts w:ascii="Times New Roman" w:eastAsia="Times New Roman" w:hAnsi="Times New Roman" w:cs="Times New Roman"/>
            <w:color w:val="0000FF"/>
            <w:sz w:val="24"/>
            <w:szCs w:val="24"/>
            <w:u w:val="single"/>
            <w:lang w:eastAsia="en-GB"/>
          </w:rPr>
          <w:t xml:space="preserve"> and divisions</w:t>
        </w:r>
      </w:hyperlink>
      <w:r w:rsidRPr="00E54D6D">
        <w:rPr>
          <w:rFonts w:ascii="Times New Roman" w:eastAsia="Times New Roman" w:hAnsi="Times New Roman" w:cs="Times New Roman"/>
          <w:sz w:val="24"/>
          <w:szCs w:val="24"/>
          <w:lang w:eastAsia="en-GB"/>
        </w:rPr>
        <w:t xml:space="preserve"> is being transposed by Member States</w:t>
      </w:r>
      <w:r w:rsidRPr="00E54D6D">
        <w:rPr>
          <w:rFonts w:ascii="Times New Roman" w:eastAsia="Times New Roman" w:hAnsi="Times New Roman" w:cs="Times New Roman"/>
          <w:color w:val="000000" w:themeColor="text1"/>
          <w:sz w:val="24"/>
          <w:szCs w:val="24"/>
          <w:lang w:eastAsia="en-GB"/>
        </w:rPr>
        <w:t xml:space="preserve"> (deadline was in January 2023). It ensures that in case of all three operations, employees’ participation rights are preserved, and employees are well informed and consulted during the operations. It contains a review clause, with an evaluation of the implementation of the directive to be carried out within four years after the end of the transposition period (</w:t>
      </w:r>
      <w:proofErr w:type="gramStart"/>
      <w:r w:rsidRPr="00E54D6D">
        <w:rPr>
          <w:rFonts w:ascii="Times New Roman" w:eastAsia="Times New Roman" w:hAnsi="Times New Roman" w:cs="Times New Roman"/>
          <w:color w:val="000000" w:themeColor="text1"/>
          <w:sz w:val="24"/>
          <w:szCs w:val="24"/>
          <w:lang w:eastAsia="en-GB"/>
        </w:rPr>
        <w:t>i.e.</w:t>
      </w:r>
      <w:proofErr w:type="gramEnd"/>
      <w:r w:rsidRPr="00E54D6D">
        <w:rPr>
          <w:rFonts w:ascii="Times New Roman" w:eastAsia="Times New Roman" w:hAnsi="Times New Roman" w:cs="Times New Roman"/>
          <w:color w:val="000000" w:themeColor="text1"/>
          <w:sz w:val="24"/>
          <w:szCs w:val="24"/>
          <w:lang w:eastAsia="en-GB"/>
        </w:rPr>
        <w:t xml:space="preserve"> by February 2027). In the context of this evaluation, the Commission will assess the implementation of employee consultation, </w:t>
      </w:r>
      <w:proofErr w:type="gramStart"/>
      <w:r w:rsidRPr="00E54D6D">
        <w:rPr>
          <w:rFonts w:ascii="Times New Roman" w:eastAsia="Times New Roman" w:hAnsi="Times New Roman" w:cs="Times New Roman"/>
          <w:color w:val="000000" w:themeColor="text1"/>
          <w:sz w:val="24"/>
          <w:szCs w:val="24"/>
          <w:lang w:eastAsia="en-GB"/>
        </w:rPr>
        <w:t>information</w:t>
      </w:r>
      <w:proofErr w:type="gramEnd"/>
      <w:r w:rsidRPr="00E54D6D">
        <w:rPr>
          <w:rFonts w:ascii="Times New Roman" w:eastAsia="Times New Roman" w:hAnsi="Times New Roman" w:cs="Times New Roman"/>
          <w:color w:val="000000" w:themeColor="text1"/>
          <w:sz w:val="24"/>
          <w:szCs w:val="24"/>
          <w:lang w:eastAsia="en-GB"/>
        </w:rPr>
        <w:t xml:space="preserve"> and participation provisions in the context of cross-border conversions, divisions and mergers, </w:t>
      </w:r>
      <w:r w:rsidRPr="00E54D6D">
        <w:rPr>
          <w:rFonts w:ascii="Times New Roman" w:eastAsia="Times New Roman" w:hAnsi="Times New Roman" w:cs="Times New Roman"/>
          <w:color w:val="000000" w:themeColor="text1"/>
          <w:sz w:val="24"/>
          <w:szCs w:val="24"/>
          <w:lang w:eastAsia="en-GB"/>
        </w:rPr>
        <w:lastRenderedPageBreak/>
        <w:t xml:space="preserve">and will consider a possible need to introduce a harmonised framework on board level employee representation in Union law. In its analysis, the Commission will also consider good practices, </w:t>
      </w:r>
      <w:proofErr w:type="gramStart"/>
      <w:r w:rsidRPr="00E54D6D">
        <w:rPr>
          <w:rFonts w:ascii="Times New Roman" w:eastAsia="Times New Roman" w:hAnsi="Times New Roman" w:cs="Times New Roman"/>
          <w:color w:val="000000" w:themeColor="text1"/>
          <w:sz w:val="24"/>
          <w:szCs w:val="24"/>
          <w:lang w:eastAsia="en-GB"/>
        </w:rPr>
        <w:t>studies</w:t>
      </w:r>
      <w:proofErr w:type="gramEnd"/>
      <w:r w:rsidRPr="00E54D6D">
        <w:rPr>
          <w:rFonts w:ascii="Times New Roman" w:eastAsia="Times New Roman" w:hAnsi="Times New Roman" w:cs="Times New Roman"/>
          <w:color w:val="000000" w:themeColor="text1"/>
          <w:sz w:val="24"/>
          <w:szCs w:val="24"/>
          <w:lang w:eastAsia="en-GB"/>
        </w:rPr>
        <w:t xml:space="preserve"> and assessments relevant to the implementation of the provisions on employee information, consultation and participation in the context of cross-border conversions, divisions and mergers.</w:t>
      </w:r>
    </w:p>
    <w:sectPr w:rsidR="00072681" w:rsidRPr="00E54D6D">
      <w:footerReference w:type="default" r:id="rId3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CE545" w14:textId="77777777" w:rsidR="00494003" w:rsidRDefault="00494003" w:rsidP="00E15738">
      <w:pPr>
        <w:spacing w:after="0" w:line="240" w:lineRule="auto"/>
      </w:pPr>
      <w:r>
        <w:separator/>
      </w:r>
    </w:p>
  </w:endnote>
  <w:endnote w:type="continuationSeparator" w:id="0">
    <w:p w14:paraId="2EDEB5D1" w14:textId="77777777" w:rsidR="00494003" w:rsidRDefault="00494003" w:rsidP="00E15738">
      <w:pPr>
        <w:spacing w:after="0" w:line="240" w:lineRule="auto"/>
      </w:pPr>
      <w:r>
        <w:continuationSeparator/>
      </w:r>
    </w:p>
  </w:endnote>
  <w:endnote w:type="continuationNotice" w:id="1">
    <w:p w14:paraId="495A6C4D" w14:textId="77777777" w:rsidR="00494003" w:rsidRDefault="004940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7777325"/>
      <w:docPartObj>
        <w:docPartGallery w:val="Page Numbers (Bottom of Page)"/>
        <w:docPartUnique/>
      </w:docPartObj>
    </w:sdtPr>
    <w:sdtEndPr>
      <w:rPr>
        <w:rFonts w:ascii="Times New Roman" w:hAnsi="Times New Roman" w:cs="Times New Roman"/>
        <w:noProof/>
        <w:sz w:val="18"/>
        <w:szCs w:val="18"/>
      </w:rPr>
    </w:sdtEndPr>
    <w:sdtContent>
      <w:p w14:paraId="0EE52E2C" w14:textId="77777777" w:rsidR="006D3F6D" w:rsidRPr="00D865DE" w:rsidRDefault="00650D93">
        <w:pPr>
          <w:pStyle w:val="Footer"/>
          <w:jc w:val="center"/>
          <w:rPr>
            <w:rFonts w:ascii="Times New Roman" w:hAnsi="Times New Roman" w:cs="Times New Roman"/>
            <w:sz w:val="18"/>
            <w:szCs w:val="18"/>
          </w:rPr>
        </w:pPr>
        <w:r w:rsidRPr="00D865DE">
          <w:rPr>
            <w:rFonts w:ascii="Times New Roman" w:hAnsi="Times New Roman" w:cs="Times New Roman"/>
            <w:sz w:val="18"/>
            <w:szCs w:val="18"/>
          </w:rPr>
          <w:fldChar w:fldCharType="begin"/>
        </w:r>
        <w:r w:rsidRPr="00D865DE">
          <w:rPr>
            <w:rFonts w:ascii="Times New Roman" w:hAnsi="Times New Roman" w:cs="Times New Roman"/>
            <w:sz w:val="18"/>
            <w:szCs w:val="18"/>
          </w:rPr>
          <w:instrText xml:space="preserve"> PAGE   \* MERGEFORMAT </w:instrText>
        </w:r>
        <w:r w:rsidRPr="00D865DE">
          <w:rPr>
            <w:rFonts w:ascii="Times New Roman" w:hAnsi="Times New Roman" w:cs="Times New Roman"/>
            <w:sz w:val="18"/>
            <w:szCs w:val="18"/>
          </w:rPr>
          <w:fldChar w:fldCharType="separate"/>
        </w:r>
        <w:r>
          <w:rPr>
            <w:rFonts w:ascii="Times New Roman" w:hAnsi="Times New Roman" w:cs="Times New Roman"/>
            <w:noProof/>
            <w:sz w:val="18"/>
            <w:szCs w:val="18"/>
          </w:rPr>
          <w:t>2</w:t>
        </w:r>
        <w:r w:rsidRPr="00D865DE">
          <w:rPr>
            <w:rFonts w:ascii="Times New Roman" w:hAnsi="Times New Roman" w:cs="Times New Roman"/>
            <w:noProof/>
            <w:sz w:val="18"/>
            <w:szCs w:val="18"/>
          </w:rPr>
          <w:fldChar w:fldCharType="end"/>
        </w:r>
      </w:p>
    </w:sdtContent>
  </w:sdt>
  <w:p w14:paraId="0929153F" w14:textId="77777777" w:rsidR="006D3F6D" w:rsidRDefault="006D3F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926EE" w14:textId="77777777" w:rsidR="00494003" w:rsidRDefault="00494003" w:rsidP="00E15738">
      <w:pPr>
        <w:spacing w:after="0" w:line="240" w:lineRule="auto"/>
      </w:pPr>
      <w:r>
        <w:separator/>
      </w:r>
    </w:p>
  </w:footnote>
  <w:footnote w:type="continuationSeparator" w:id="0">
    <w:p w14:paraId="4DC6DD4C" w14:textId="77777777" w:rsidR="00494003" w:rsidRDefault="00494003" w:rsidP="00E15738">
      <w:pPr>
        <w:spacing w:after="0" w:line="240" w:lineRule="auto"/>
      </w:pPr>
      <w:r>
        <w:continuationSeparator/>
      </w:r>
    </w:p>
  </w:footnote>
  <w:footnote w:type="continuationNotice" w:id="1">
    <w:p w14:paraId="515ADA8B" w14:textId="77777777" w:rsidR="00494003" w:rsidRDefault="0049400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F54F9C"/>
    <w:multiLevelType w:val="hybridMultilevel"/>
    <w:tmpl w:val="A1DCE7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0349648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E15738"/>
    <w:rsid w:val="00004EC8"/>
    <w:rsid w:val="00006BDF"/>
    <w:rsid w:val="000300E4"/>
    <w:rsid w:val="000377C1"/>
    <w:rsid w:val="00043745"/>
    <w:rsid w:val="00045299"/>
    <w:rsid w:val="00057A6F"/>
    <w:rsid w:val="00066308"/>
    <w:rsid w:val="00066AC4"/>
    <w:rsid w:val="00072681"/>
    <w:rsid w:val="000865B2"/>
    <w:rsid w:val="00086D78"/>
    <w:rsid w:val="00097AE7"/>
    <w:rsid w:val="000A0EC8"/>
    <w:rsid w:val="000B2A06"/>
    <w:rsid w:val="000C23F0"/>
    <w:rsid w:val="000C27C7"/>
    <w:rsid w:val="000D66E5"/>
    <w:rsid w:val="000D6F06"/>
    <w:rsid w:val="000F659E"/>
    <w:rsid w:val="001071F3"/>
    <w:rsid w:val="00123A08"/>
    <w:rsid w:val="0013287A"/>
    <w:rsid w:val="00132D99"/>
    <w:rsid w:val="00142EF4"/>
    <w:rsid w:val="0014517F"/>
    <w:rsid w:val="00147246"/>
    <w:rsid w:val="00153327"/>
    <w:rsid w:val="0018104D"/>
    <w:rsid w:val="001A0ACA"/>
    <w:rsid w:val="001C27F1"/>
    <w:rsid w:val="001C43B9"/>
    <w:rsid w:val="00204BB7"/>
    <w:rsid w:val="002166C2"/>
    <w:rsid w:val="0023544F"/>
    <w:rsid w:val="0024328C"/>
    <w:rsid w:val="00251974"/>
    <w:rsid w:val="00254DC9"/>
    <w:rsid w:val="00255B4A"/>
    <w:rsid w:val="00257979"/>
    <w:rsid w:val="0026200D"/>
    <w:rsid w:val="00265D7B"/>
    <w:rsid w:val="00274664"/>
    <w:rsid w:val="002F3F07"/>
    <w:rsid w:val="003052C9"/>
    <w:rsid w:val="00307DDA"/>
    <w:rsid w:val="00316FD5"/>
    <w:rsid w:val="00325F7F"/>
    <w:rsid w:val="00334743"/>
    <w:rsid w:val="00343D77"/>
    <w:rsid w:val="003516BD"/>
    <w:rsid w:val="003553F0"/>
    <w:rsid w:val="00357C69"/>
    <w:rsid w:val="003628D5"/>
    <w:rsid w:val="00384438"/>
    <w:rsid w:val="003B3E5E"/>
    <w:rsid w:val="003B3EB8"/>
    <w:rsid w:val="003C14C3"/>
    <w:rsid w:val="003C4E29"/>
    <w:rsid w:val="003C7669"/>
    <w:rsid w:val="003E6148"/>
    <w:rsid w:val="00410949"/>
    <w:rsid w:val="00420D04"/>
    <w:rsid w:val="004313F6"/>
    <w:rsid w:val="00451A76"/>
    <w:rsid w:val="004675D0"/>
    <w:rsid w:val="004738AF"/>
    <w:rsid w:val="00494003"/>
    <w:rsid w:val="004D6C34"/>
    <w:rsid w:val="004D7AA6"/>
    <w:rsid w:val="00506EEF"/>
    <w:rsid w:val="005316E2"/>
    <w:rsid w:val="0053177B"/>
    <w:rsid w:val="00533556"/>
    <w:rsid w:val="00547CFC"/>
    <w:rsid w:val="00555642"/>
    <w:rsid w:val="00565471"/>
    <w:rsid w:val="00566160"/>
    <w:rsid w:val="00567374"/>
    <w:rsid w:val="00586935"/>
    <w:rsid w:val="005871F3"/>
    <w:rsid w:val="0058772A"/>
    <w:rsid w:val="00587A1B"/>
    <w:rsid w:val="005A2D92"/>
    <w:rsid w:val="005B0C5D"/>
    <w:rsid w:val="005C20D3"/>
    <w:rsid w:val="005C57BA"/>
    <w:rsid w:val="005C7E57"/>
    <w:rsid w:val="005F17FF"/>
    <w:rsid w:val="005F272C"/>
    <w:rsid w:val="00610BB7"/>
    <w:rsid w:val="006251E1"/>
    <w:rsid w:val="0064657E"/>
    <w:rsid w:val="00650D93"/>
    <w:rsid w:val="00660799"/>
    <w:rsid w:val="00673AFF"/>
    <w:rsid w:val="00675491"/>
    <w:rsid w:val="00686DF6"/>
    <w:rsid w:val="0069502F"/>
    <w:rsid w:val="006A7731"/>
    <w:rsid w:val="006B04EB"/>
    <w:rsid w:val="006C1ADD"/>
    <w:rsid w:val="006D0594"/>
    <w:rsid w:val="006D3D4D"/>
    <w:rsid w:val="006D3F6D"/>
    <w:rsid w:val="006D5963"/>
    <w:rsid w:val="007076EF"/>
    <w:rsid w:val="0071465A"/>
    <w:rsid w:val="00735162"/>
    <w:rsid w:val="007522F8"/>
    <w:rsid w:val="00774D21"/>
    <w:rsid w:val="00785FED"/>
    <w:rsid w:val="00790E2A"/>
    <w:rsid w:val="007A06F7"/>
    <w:rsid w:val="007A41A3"/>
    <w:rsid w:val="007B6366"/>
    <w:rsid w:val="007C20AE"/>
    <w:rsid w:val="007C4B3B"/>
    <w:rsid w:val="007D0756"/>
    <w:rsid w:val="007D0AC5"/>
    <w:rsid w:val="007F1E49"/>
    <w:rsid w:val="00801383"/>
    <w:rsid w:val="00805B12"/>
    <w:rsid w:val="008113A1"/>
    <w:rsid w:val="008251C9"/>
    <w:rsid w:val="0083410B"/>
    <w:rsid w:val="00842B34"/>
    <w:rsid w:val="00845228"/>
    <w:rsid w:val="008515BD"/>
    <w:rsid w:val="00861315"/>
    <w:rsid w:val="008669C4"/>
    <w:rsid w:val="00882F87"/>
    <w:rsid w:val="00884FE1"/>
    <w:rsid w:val="0089605E"/>
    <w:rsid w:val="008A05EF"/>
    <w:rsid w:val="008A1E66"/>
    <w:rsid w:val="008A77AB"/>
    <w:rsid w:val="008B6465"/>
    <w:rsid w:val="009327F0"/>
    <w:rsid w:val="00933B25"/>
    <w:rsid w:val="009360B6"/>
    <w:rsid w:val="00936BC2"/>
    <w:rsid w:val="009415F3"/>
    <w:rsid w:val="0094459B"/>
    <w:rsid w:val="00950BF0"/>
    <w:rsid w:val="0096272F"/>
    <w:rsid w:val="00990DBC"/>
    <w:rsid w:val="0099437A"/>
    <w:rsid w:val="0099476E"/>
    <w:rsid w:val="0099780B"/>
    <w:rsid w:val="009A09C5"/>
    <w:rsid w:val="009A0EAE"/>
    <w:rsid w:val="009A73AB"/>
    <w:rsid w:val="009B079A"/>
    <w:rsid w:val="009B0E39"/>
    <w:rsid w:val="009C1405"/>
    <w:rsid w:val="009D1F0E"/>
    <w:rsid w:val="009D63DC"/>
    <w:rsid w:val="009E4141"/>
    <w:rsid w:val="009F3441"/>
    <w:rsid w:val="00A00F39"/>
    <w:rsid w:val="00A05129"/>
    <w:rsid w:val="00A07E04"/>
    <w:rsid w:val="00A14C85"/>
    <w:rsid w:val="00A152B0"/>
    <w:rsid w:val="00A25DD5"/>
    <w:rsid w:val="00A2630B"/>
    <w:rsid w:val="00A371B1"/>
    <w:rsid w:val="00A40330"/>
    <w:rsid w:val="00A631CE"/>
    <w:rsid w:val="00A7470B"/>
    <w:rsid w:val="00A76DAC"/>
    <w:rsid w:val="00A81132"/>
    <w:rsid w:val="00A8132A"/>
    <w:rsid w:val="00AA0538"/>
    <w:rsid w:val="00AA1826"/>
    <w:rsid w:val="00AB0010"/>
    <w:rsid w:val="00AB109B"/>
    <w:rsid w:val="00AB319E"/>
    <w:rsid w:val="00AB47A4"/>
    <w:rsid w:val="00AC0343"/>
    <w:rsid w:val="00AC16D1"/>
    <w:rsid w:val="00AE48D4"/>
    <w:rsid w:val="00B01FA7"/>
    <w:rsid w:val="00B133BB"/>
    <w:rsid w:val="00B301A2"/>
    <w:rsid w:val="00B42B44"/>
    <w:rsid w:val="00B44CAD"/>
    <w:rsid w:val="00B45DAD"/>
    <w:rsid w:val="00B5340A"/>
    <w:rsid w:val="00B63649"/>
    <w:rsid w:val="00B65189"/>
    <w:rsid w:val="00B7070A"/>
    <w:rsid w:val="00B714D6"/>
    <w:rsid w:val="00B71ED9"/>
    <w:rsid w:val="00B74767"/>
    <w:rsid w:val="00B82046"/>
    <w:rsid w:val="00BA14F3"/>
    <w:rsid w:val="00BE64A5"/>
    <w:rsid w:val="00BE7B7D"/>
    <w:rsid w:val="00C10748"/>
    <w:rsid w:val="00C335D2"/>
    <w:rsid w:val="00C507D5"/>
    <w:rsid w:val="00C50AAA"/>
    <w:rsid w:val="00C53CA4"/>
    <w:rsid w:val="00C7482F"/>
    <w:rsid w:val="00C83B99"/>
    <w:rsid w:val="00C93EDF"/>
    <w:rsid w:val="00CB152B"/>
    <w:rsid w:val="00CB2505"/>
    <w:rsid w:val="00CC28EA"/>
    <w:rsid w:val="00CD2696"/>
    <w:rsid w:val="00CE7175"/>
    <w:rsid w:val="00CF66A2"/>
    <w:rsid w:val="00D028D8"/>
    <w:rsid w:val="00D12F14"/>
    <w:rsid w:val="00D216EB"/>
    <w:rsid w:val="00D240A9"/>
    <w:rsid w:val="00D27472"/>
    <w:rsid w:val="00D32C7E"/>
    <w:rsid w:val="00D5363D"/>
    <w:rsid w:val="00D5474A"/>
    <w:rsid w:val="00D553AE"/>
    <w:rsid w:val="00D750DA"/>
    <w:rsid w:val="00D77D01"/>
    <w:rsid w:val="00D9763F"/>
    <w:rsid w:val="00DA11EE"/>
    <w:rsid w:val="00DA24F8"/>
    <w:rsid w:val="00DA7DB9"/>
    <w:rsid w:val="00DD7825"/>
    <w:rsid w:val="00DE28E9"/>
    <w:rsid w:val="00E15738"/>
    <w:rsid w:val="00E20A41"/>
    <w:rsid w:val="00E3062F"/>
    <w:rsid w:val="00E417FE"/>
    <w:rsid w:val="00E54D6D"/>
    <w:rsid w:val="00E63859"/>
    <w:rsid w:val="00E823DE"/>
    <w:rsid w:val="00E838F7"/>
    <w:rsid w:val="00E876EE"/>
    <w:rsid w:val="00E87B6B"/>
    <w:rsid w:val="00EB3F62"/>
    <w:rsid w:val="00EC247D"/>
    <w:rsid w:val="00EC2802"/>
    <w:rsid w:val="00ED0BDB"/>
    <w:rsid w:val="00ED2003"/>
    <w:rsid w:val="00ED3C72"/>
    <w:rsid w:val="00ED3E32"/>
    <w:rsid w:val="00F42B94"/>
    <w:rsid w:val="00F46050"/>
    <w:rsid w:val="00F6671A"/>
    <w:rsid w:val="00F74FFD"/>
    <w:rsid w:val="00F801F0"/>
    <w:rsid w:val="00F920EF"/>
    <w:rsid w:val="00F9586F"/>
    <w:rsid w:val="00FA0AB3"/>
    <w:rsid w:val="00FB05F2"/>
    <w:rsid w:val="00FB5F70"/>
    <w:rsid w:val="00FC3A90"/>
    <w:rsid w:val="00FC79FB"/>
    <w:rsid w:val="00FE3CAA"/>
    <w:rsid w:val="1C8CD708"/>
    <w:rsid w:val="20549679"/>
    <w:rsid w:val="242B1144"/>
    <w:rsid w:val="27AE387A"/>
    <w:rsid w:val="27E31EC7"/>
    <w:rsid w:val="2A4E8357"/>
    <w:rsid w:val="2C628933"/>
    <w:rsid w:val="30F595DD"/>
    <w:rsid w:val="32600917"/>
    <w:rsid w:val="37F09B00"/>
    <w:rsid w:val="38FA0431"/>
    <w:rsid w:val="3F4E054D"/>
    <w:rsid w:val="4208B43A"/>
    <w:rsid w:val="43CCA1AC"/>
    <w:rsid w:val="45A54D64"/>
    <w:rsid w:val="4B7B4637"/>
    <w:rsid w:val="52379203"/>
    <w:rsid w:val="56642EE0"/>
    <w:rsid w:val="5880EBA9"/>
    <w:rsid w:val="5DF77F36"/>
    <w:rsid w:val="5F16674C"/>
    <w:rsid w:val="68B06A37"/>
    <w:rsid w:val="6D22908B"/>
    <w:rsid w:val="6F8889F9"/>
    <w:rsid w:val="7F98D16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4B723F"/>
  <w15:chartTrackingRefBased/>
  <w15:docId w15:val="{777D94D3-CE74-4806-BF71-CBD398C87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E1573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15738"/>
    <w:rPr>
      <w:sz w:val="20"/>
      <w:szCs w:val="20"/>
    </w:rPr>
  </w:style>
  <w:style w:type="character" w:styleId="FootnoteReference">
    <w:name w:val="footnote reference"/>
    <w:basedOn w:val="DefaultParagraphFont"/>
    <w:uiPriority w:val="99"/>
    <w:unhideWhenUsed/>
    <w:rsid w:val="00E15738"/>
    <w:rPr>
      <w:vertAlign w:val="superscript"/>
    </w:rPr>
  </w:style>
  <w:style w:type="paragraph" w:styleId="Footer">
    <w:name w:val="footer"/>
    <w:basedOn w:val="Normal"/>
    <w:link w:val="FooterChar"/>
    <w:uiPriority w:val="99"/>
    <w:unhideWhenUsed/>
    <w:rsid w:val="00E157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5738"/>
  </w:style>
  <w:style w:type="character" w:styleId="CommentReference">
    <w:name w:val="annotation reference"/>
    <w:basedOn w:val="DefaultParagraphFont"/>
    <w:uiPriority w:val="99"/>
    <w:semiHidden/>
    <w:unhideWhenUsed/>
    <w:rsid w:val="00DE28E9"/>
    <w:rPr>
      <w:sz w:val="16"/>
      <w:szCs w:val="16"/>
    </w:rPr>
  </w:style>
  <w:style w:type="paragraph" w:styleId="CommentText">
    <w:name w:val="annotation text"/>
    <w:basedOn w:val="Normal"/>
    <w:link w:val="CommentTextChar"/>
    <w:uiPriority w:val="99"/>
    <w:semiHidden/>
    <w:unhideWhenUsed/>
    <w:rsid w:val="00DE28E9"/>
    <w:pPr>
      <w:spacing w:line="240" w:lineRule="auto"/>
    </w:pPr>
    <w:rPr>
      <w:sz w:val="20"/>
      <w:szCs w:val="20"/>
    </w:rPr>
  </w:style>
  <w:style w:type="character" w:customStyle="1" w:styleId="CommentTextChar">
    <w:name w:val="Comment Text Char"/>
    <w:basedOn w:val="DefaultParagraphFont"/>
    <w:link w:val="CommentText"/>
    <w:uiPriority w:val="99"/>
    <w:semiHidden/>
    <w:rsid w:val="00DE28E9"/>
    <w:rPr>
      <w:sz w:val="20"/>
      <w:szCs w:val="20"/>
    </w:rPr>
  </w:style>
  <w:style w:type="paragraph" w:styleId="CommentSubject">
    <w:name w:val="annotation subject"/>
    <w:basedOn w:val="CommentText"/>
    <w:next w:val="CommentText"/>
    <w:link w:val="CommentSubjectChar"/>
    <w:uiPriority w:val="99"/>
    <w:semiHidden/>
    <w:unhideWhenUsed/>
    <w:rsid w:val="00DE28E9"/>
    <w:rPr>
      <w:b/>
      <w:bCs/>
    </w:rPr>
  </w:style>
  <w:style w:type="character" w:customStyle="1" w:styleId="CommentSubjectChar">
    <w:name w:val="Comment Subject Char"/>
    <w:basedOn w:val="CommentTextChar"/>
    <w:link w:val="CommentSubject"/>
    <w:uiPriority w:val="99"/>
    <w:semiHidden/>
    <w:rsid w:val="00DE28E9"/>
    <w:rPr>
      <w:b/>
      <w:bCs/>
      <w:sz w:val="20"/>
      <w:szCs w:val="20"/>
    </w:rPr>
  </w:style>
  <w:style w:type="paragraph" w:customStyle="1" w:styleId="oj-normal">
    <w:name w:val="oj-normal"/>
    <w:basedOn w:val="Normal"/>
    <w:rsid w:val="009E414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9E4141"/>
    <w:rPr>
      <w:color w:val="0000FF"/>
      <w:u w:val="single"/>
    </w:rPr>
  </w:style>
  <w:style w:type="character" w:customStyle="1" w:styleId="oj-super">
    <w:name w:val="oj-super"/>
    <w:basedOn w:val="DefaultParagraphFont"/>
    <w:rsid w:val="009E4141"/>
  </w:style>
  <w:style w:type="paragraph" w:customStyle="1" w:styleId="Normal1">
    <w:name w:val="Normal1"/>
    <w:basedOn w:val="Normal"/>
    <w:rsid w:val="00950BF0"/>
    <w:pPr>
      <w:spacing w:before="100" w:beforeAutospacing="1" w:after="100" w:afterAutospacing="1" w:line="240" w:lineRule="auto"/>
    </w:pPr>
    <w:rPr>
      <w:rFonts w:ascii="Times New Roman" w:eastAsia="Times New Roman" w:hAnsi="Times New Roman" w:cs="Times New Roman"/>
      <w:sz w:val="24"/>
      <w:szCs w:val="24"/>
      <w:lang w:val="en-IE" w:eastAsia="en-IE"/>
    </w:rPr>
  </w:style>
  <w:style w:type="character" w:customStyle="1" w:styleId="footnotereference0">
    <w:name w:val="footnotereference"/>
    <w:basedOn w:val="DefaultParagraphFont"/>
    <w:rsid w:val="00950BF0"/>
  </w:style>
  <w:style w:type="paragraph" w:styleId="ListParagraph">
    <w:name w:val="List Paragraph"/>
    <w:basedOn w:val="Normal"/>
    <w:uiPriority w:val="34"/>
    <w:qFormat/>
    <w:rsid w:val="008669C4"/>
    <w:pPr>
      <w:ind w:left="720"/>
      <w:contextualSpacing/>
    </w:pPr>
  </w:style>
  <w:style w:type="paragraph" w:styleId="Revision">
    <w:name w:val="Revision"/>
    <w:hidden/>
    <w:uiPriority w:val="99"/>
    <w:semiHidden/>
    <w:rsid w:val="00E838F7"/>
    <w:pPr>
      <w:spacing w:after="0" w:line="240" w:lineRule="auto"/>
    </w:pPr>
  </w:style>
  <w:style w:type="character" w:styleId="UnresolvedMention">
    <w:name w:val="Unresolved Mention"/>
    <w:basedOn w:val="DefaultParagraphFont"/>
    <w:uiPriority w:val="99"/>
    <w:unhideWhenUsed/>
    <w:rsid w:val="00343D77"/>
    <w:rPr>
      <w:color w:val="605E5C"/>
      <w:shd w:val="clear" w:color="auto" w:fill="E1DFDD"/>
    </w:rPr>
  </w:style>
  <w:style w:type="paragraph" w:styleId="Header">
    <w:name w:val="header"/>
    <w:basedOn w:val="Normal"/>
    <w:link w:val="HeaderChar"/>
    <w:uiPriority w:val="99"/>
    <w:unhideWhenUsed/>
    <w:rsid w:val="00805B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5B12"/>
  </w:style>
  <w:style w:type="character" w:styleId="FollowedHyperlink">
    <w:name w:val="FollowedHyperlink"/>
    <w:basedOn w:val="DefaultParagraphFont"/>
    <w:uiPriority w:val="99"/>
    <w:semiHidden/>
    <w:unhideWhenUsed/>
    <w:rsid w:val="007A41A3"/>
    <w:rPr>
      <w:color w:val="800080" w:themeColor="followedHyperlink"/>
      <w:u w:val="single"/>
    </w:rPr>
  </w:style>
  <w:style w:type="character" w:styleId="Mention">
    <w:name w:val="Mention"/>
    <w:basedOn w:val="DefaultParagraphFont"/>
    <w:uiPriority w:val="99"/>
    <w:unhideWhenUsed/>
    <w:rsid w:val="00E87B6B"/>
    <w:rPr>
      <w:color w:val="2B579A"/>
      <w:shd w:val="clear" w:color="auto" w:fill="E1DFDD"/>
    </w:rPr>
  </w:style>
  <w:style w:type="character" w:customStyle="1" w:styleId="ui-provider">
    <w:name w:val="ui-provider"/>
    <w:basedOn w:val="DefaultParagraphFont"/>
    <w:rsid w:val="00F801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685878">
      <w:bodyDiv w:val="1"/>
      <w:marLeft w:val="0"/>
      <w:marRight w:val="0"/>
      <w:marTop w:val="0"/>
      <w:marBottom w:val="0"/>
      <w:divBdr>
        <w:top w:val="none" w:sz="0" w:space="0" w:color="auto"/>
        <w:left w:val="none" w:sz="0" w:space="0" w:color="auto"/>
        <w:bottom w:val="none" w:sz="0" w:space="0" w:color="auto"/>
        <w:right w:val="none" w:sz="0" w:space="0" w:color="auto"/>
      </w:divBdr>
    </w:div>
    <w:div w:id="468981708">
      <w:bodyDiv w:val="1"/>
      <w:marLeft w:val="0"/>
      <w:marRight w:val="0"/>
      <w:marTop w:val="0"/>
      <w:marBottom w:val="0"/>
      <w:divBdr>
        <w:top w:val="none" w:sz="0" w:space="0" w:color="auto"/>
        <w:left w:val="none" w:sz="0" w:space="0" w:color="auto"/>
        <w:bottom w:val="none" w:sz="0" w:space="0" w:color="auto"/>
        <w:right w:val="none" w:sz="0" w:space="0" w:color="auto"/>
      </w:divBdr>
    </w:div>
    <w:div w:id="1077020069">
      <w:bodyDiv w:val="1"/>
      <w:marLeft w:val="0"/>
      <w:marRight w:val="0"/>
      <w:marTop w:val="0"/>
      <w:marBottom w:val="0"/>
      <w:divBdr>
        <w:top w:val="none" w:sz="0" w:space="0" w:color="auto"/>
        <w:left w:val="none" w:sz="0" w:space="0" w:color="auto"/>
        <w:bottom w:val="none" w:sz="0" w:space="0" w:color="auto"/>
        <w:right w:val="none" w:sz="0" w:space="0" w:color="auto"/>
      </w:divBdr>
    </w:div>
    <w:div w:id="1225722396">
      <w:bodyDiv w:val="1"/>
      <w:marLeft w:val="0"/>
      <w:marRight w:val="0"/>
      <w:marTop w:val="0"/>
      <w:marBottom w:val="0"/>
      <w:divBdr>
        <w:top w:val="none" w:sz="0" w:space="0" w:color="auto"/>
        <w:left w:val="none" w:sz="0" w:space="0" w:color="auto"/>
        <w:bottom w:val="none" w:sz="0" w:space="0" w:color="auto"/>
        <w:right w:val="none" w:sz="0" w:space="0" w:color="auto"/>
      </w:divBdr>
    </w:div>
    <w:div w:id="1299456784">
      <w:bodyDiv w:val="1"/>
      <w:marLeft w:val="0"/>
      <w:marRight w:val="0"/>
      <w:marTop w:val="0"/>
      <w:marBottom w:val="0"/>
      <w:divBdr>
        <w:top w:val="none" w:sz="0" w:space="0" w:color="auto"/>
        <w:left w:val="none" w:sz="0" w:space="0" w:color="auto"/>
        <w:bottom w:val="none" w:sz="0" w:space="0" w:color="auto"/>
        <w:right w:val="none" w:sz="0" w:space="0" w:color="auto"/>
      </w:divBdr>
    </w:div>
    <w:div w:id="1317490965">
      <w:bodyDiv w:val="1"/>
      <w:marLeft w:val="0"/>
      <w:marRight w:val="0"/>
      <w:marTop w:val="0"/>
      <w:marBottom w:val="0"/>
      <w:divBdr>
        <w:top w:val="none" w:sz="0" w:space="0" w:color="auto"/>
        <w:left w:val="none" w:sz="0" w:space="0" w:color="auto"/>
        <w:bottom w:val="none" w:sz="0" w:space="0" w:color="auto"/>
        <w:right w:val="none" w:sz="0" w:space="0" w:color="auto"/>
      </w:divBdr>
    </w:div>
    <w:div w:id="1344866749">
      <w:bodyDiv w:val="1"/>
      <w:marLeft w:val="0"/>
      <w:marRight w:val="0"/>
      <w:marTop w:val="0"/>
      <w:marBottom w:val="0"/>
      <w:divBdr>
        <w:top w:val="none" w:sz="0" w:space="0" w:color="auto"/>
        <w:left w:val="none" w:sz="0" w:space="0" w:color="auto"/>
        <w:bottom w:val="none" w:sz="0" w:space="0" w:color="auto"/>
        <w:right w:val="none" w:sz="0" w:space="0" w:color="auto"/>
      </w:divBdr>
    </w:div>
    <w:div w:id="1388644782">
      <w:bodyDiv w:val="1"/>
      <w:marLeft w:val="0"/>
      <w:marRight w:val="0"/>
      <w:marTop w:val="0"/>
      <w:marBottom w:val="0"/>
      <w:divBdr>
        <w:top w:val="none" w:sz="0" w:space="0" w:color="auto"/>
        <w:left w:val="none" w:sz="0" w:space="0" w:color="auto"/>
        <w:bottom w:val="none" w:sz="0" w:space="0" w:color="auto"/>
        <w:right w:val="none" w:sz="0" w:space="0" w:color="auto"/>
      </w:divBdr>
    </w:div>
    <w:div w:id="1535461887">
      <w:bodyDiv w:val="1"/>
      <w:marLeft w:val="0"/>
      <w:marRight w:val="0"/>
      <w:marTop w:val="0"/>
      <w:marBottom w:val="0"/>
      <w:divBdr>
        <w:top w:val="none" w:sz="0" w:space="0" w:color="auto"/>
        <w:left w:val="none" w:sz="0" w:space="0" w:color="auto"/>
        <w:bottom w:val="none" w:sz="0" w:space="0" w:color="auto"/>
        <w:right w:val="none" w:sz="0" w:space="0" w:color="auto"/>
      </w:divBdr>
    </w:div>
    <w:div w:id="1590769036">
      <w:bodyDiv w:val="1"/>
      <w:marLeft w:val="0"/>
      <w:marRight w:val="0"/>
      <w:marTop w:val="0"/>
      <w:marBottom w:val="0"/>
      <w:divBdr>
        <w:top w:val="none" w:sz="0" w:space="0" w:color="auto"/>
        <w:left w:val="none" w:sz="0" w:space="0" w:color="auto"/>
        <w:bottom w:val="none" w:sz="0" w:space="0" w:color="auto"/>
        <w:right w:val="none" w:sz="0" w:space="0" w:color="auto"/>
      </w:divBdr>
    </w:div>
    <w:div w:id="1611159833">
      <w:bodyDiv w:val="1"/>
      <w:marLeft w:val="0"/>
      <w:marRight w:val="0"/>
      <w:marTop w:val="0"/>
      <w:marBottom w:val="0"/>
      <w:divBdr>
        <w:top w:val="none" w:sz="0" w:space="0" w:color="auto"/>
        <w:left w:val="none" w:sz="0" w:space="0" w:color="auto"/>
        <w:bottom w:val="none" w:sz="0" w:space="0" w:color="auto"/>
        <w:right w:val="none" w:sz="0" w:space="0" w:color="auto"/>
      </w:divBdr>
    </w:div>
    <w:div w:id="1773040483">
      <w:bodyDiv w:val="1"/>
      <w:marLeft w:val="0"/>
      <w:marRight w:val="0"/>
      <w:marTop w:val="0"/>
      <w:marBottom w:val="0"/>
      <w:divBdr>
        <w:top w:val="none" w:sz="0" w:space="0" w:color="auto"/>
        <w:left w:val="none" w:sz="0" w:space="0" w:color="auto"/>
        <w:bottom w:val="none" w:sz="0" w:space="0" w:color="auto"/>
        <w:right w:val="none" w:sz="0" w:space="0" w:color="auto"/>
      </w:divBdr>
    </w:div>
    <w:div w:id="1852648692">
      <w:bodyDiv w:val="1"/>
      <w:marLeft w:val="0"/>
      <w:marRight w:val="0"/>
      <w:marTop w:val="0"/>
      <w:marBottom w:val="0"/>
      <w:divBdr>
        <w:top w:val="none" w:sz="0" w:space="0" w:color="auto"/>
        <w:left w:val="none" w:sz="0" w:space="0" w:color="auto"/>
        <w:bottom w:val="none" w:sz="0" w:space="0" w:color="auto"/>
        <w:right w:val="none" w:sz="0" w:space="0" w:color="auto"/>
      </w:divBdr>
    </w:div>
    <w:div w:id="1968202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ommission.europa.eu/system/files/2022-04/c_2022_2230_2_en_act_part1_v11.pdf" TargetMode="External"/><Relationship Id="rId18" Type="http://schemas.openxmlformats.org/officeDocument/2006/relationships/hyperlink" Target="https://commission.europa.eu/law/law-making-process/planning-and-proposing-law/better-regulation/better-regulation-guidelines-and-toolbox_en" TargetMode="External"/><Relationship Id="rId26" Type="http://schemas.openxmlformats.org/officeDocument/2006/relationships/hyperlink" Target="https://eur-lex.europa.eu/legal-content/EN/TXT/?uri=CELEX:52023DC0168" TargetMode="External"/><Relationship Id="rId39" Type="http://schemas.microsoft.com/office/2019/05/relationships/documenttasks" Target="documenttasks/documenttasks1.xml"/><Relationship Id="rId21" Type="http://schemas.openxmlformats.org/officeDocument/2006/relationships/hyperlink" Target="https://ec.europa.eu/social/main.jsp?langId=en&amp;catId=1588" TargetMode="External"/><Relationship Id="rId34" Type="http://schemas.openxmlformats.org/officeDocument/2006/relationships/hyperlink" Target="https://eur-lex.europa.eu/legal-content/EN/TXT/?uri=CELEX:32003L0072" TargetMode="External"/><Relationship Id="rId7" Type="http://schemas.openxmlformats.org/officeDocument/2006/relationships/settings" Target="settings.xml"/><Relationship Id="rId12" Type="http://schemas.openxmlformats.org/officeDocument/2006/relationships/hyperlink" Target="https://eur-lex.europa.eu/legal-content/EN/TXT/?uri=COM%3A2023%3A38%3AFIN" TargetMode="External"/><Relationship Id="rId17" Type="http://schemas.openxmlformats.org/officeDocument/2006/relationships/hyperlink" Target="https://www.oecd.org/employment/ictwss-database.htm" TargetMode="External"/><Relationship Id="rId25" Type="http://schemas.openxmlformats.org/officeDocument/2006/relationships/hyperlink" Target="https://op.europa.eu/en/publication-detail/-/publication/47c69b3a-cfcf-11eb-ac72-01aa75ed71a1/language-en" TargetMode="External"/><Relationship Id="rId33" Type="http://schemas.openxmlformats.org/officeDocument/2006/relationships/hyperlink" Target="https://eur-lex.europa.eu/legal-content/EN/TXT/?uri=CELEX:32001L0086"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eur-lex.europa.eu/legal-content/EN/TXT/?toc=OJ%3AL%3A2022%3A275%3ATOC&amp;uri=uriserv%3AOJ.L_.2022.275.01.0033.01.ENG" TargetMode="External"/><Relationship Id="rId20" Type="http://schemas.openxmlformats.org/officeDocument/2006/relationships/hyperlink" Target="https://data.consilium.europa.eu/doc/document/ST-9107-2022-INIT/en/pdf" TargetMode="External"/><Relationship Id="rId29" Type="http://schemas.openxmlformats.org/officeDocument/2006/relationships/hyperlink" Target="https://curia.europa.eu/juris/liste.jsf?language=en&amp;td=ALL&amp;num=C-928/19%20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ur-lex.europa.eu/legal-content/EN/TXT/PDF/?uri=COM:2023:40:FIN" TargetMode="External"/><Relationship Id="rId24" Type="http://schemas.openxmlformats.org/officeDocument/2006/relationships/hyperlink" Target="https://eur-lex.europa.eu/legal-content/EN/TXT/?uri=CELEX%3A32023R0955" TargetMode="External"/><Relationship Id="rId32" Type="http://schemas.openxmlformats.org/officeDocument/2006/relationships/hyperlink" Target="https://eur-lex.europa.eu/legal-content/EN/TXT/?uri=CELEX%3A02003R1435-20030821"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static.eurofound.europa.eu/covid19db/index.html" TargetMode="External"/><Relationship Id="rId23" Type="http://schemas.openxmlformats.org/officeDocument/2006/relationships/hyperlink" Target="https://data.consilium.europa.eu/doc/document/ST-9107-2022-INIT/en/pdf" TargetMode="External"/><Relationship Id="rId28" Type="http://schemas.openxmlformats.org/officeDocument/2006/relationships/hyperlink" Target="https://eur-lex.europa.eu/eli/reg/2021/1057"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eur-lex.europa.eu/legal-content/EN/TXT/?uri=COM:2022:780:FIN" TargetMode="External"/><Relationship Id="rId31" Type="http://schemas.openxmlformats.org/officeDocument/2006/relationships/hyperlink" Target="https://eur-lex.europa.eu/legal-content/EN/TXT/?uri=CELEX%3A02001R2157-2013070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ata.consilium.europa.eu/doc/document/ST-9650-2023-INIT/en/pdf" TargetMode="External"/><Relationship Id="rId22" Type="http://schemas.openxmlformats.org/officeDocument/2006/relationships/hyperlink" Target="https://eur-lex.europa.eu/legal-content/EN/TXT/?uri=COM%3A2020%3A103%3AFIN" TargetMode="External"/><Relationship Id="rId27" Type="http://schemas.openxmlformats.org/officeDocument/2006/relationships/hyperlink" Target="https://eur-lex.europa.eu/legal-content/EN/TXT/?uri=CELEX%3A32021R1060" TargetMode="External"/><Relationship Id="rId30" Type="http://schemas.openxmlformats.org/officeDocument/2006/relationships/hyperlink" Target="https://eur-lex.europa.eu/legal-content/EN/TXT/PDF/?uri=COM:2023:40:FIN" TargetMode="External"/><Relationship Id="rId35" Type="http://schemas.openxmlformats.org/officeDocument/2006/relationships/hyperlink" Target="https://eur-lex.europa.eu/legal-content/EN/TXT/?uri=CELEX%3A02019L2121-20191212&amp;qid=1687526690232"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documenttasks/documenttasks1.xml><?xml version="1.0" encoding="utf-8"?>
<t:Tasks xmlns:t="http://schemas.microsoft.com/office/tasks/2019/documenttasks" xmlns:oel="http://schemas.microsoft.com/office/2019/extlst">
  <t:Task id="{82B0E08B-77DD-4F2B-AE97-AA9F86C48217}">
    <t:Anchor>
      <t:Comment id="676159214"/>
    </t:Anchor>
    <t:History>
      <t:Event id="{DC2B40BF-10E4-420F-9813-42D68FCEF6E7}" time="2023-07-03T12:57:46.442Z">
        <t:Attribution userId="S::arnold.de-boer@ec.europa.eu::001cb85a-68ad-4d6f-a0b9-6c7f2b105088" userProvider="AD" userName="DE BOER Arnold (SG-RECOVER)"/>
        <t:Anchor>
          <t:Comment id="294999616"/>
        </t:Anchor>
        <t:Create/>
      </t:Event>
      <t:Event id="{3D35EADB-889F-482B-915A-E5F072D7CD54}" time="2023-07-03T12:57:46.442Z">
        <t:Attribution userId="S::arnold.de-boer@ec.europa.eu::001cb85a-68ad-4d6f-a0b9-6c7f2b105088" userProvider="AD" userName="DE BOER Arnold (SG-RECOVER)"/>
        <t:Anchor>
          <t:Comment id="294999616"/>
        </t:Anchor>
        <t:Assign userId="S::Eva.TOROK@ec.europa.eu::d75aec18-462b-4b30-bf7a-dbfa4cc4f31c" userProvider="AD" userName="TOROK Eva (SG-RECOVER)"/>
      </t:Event>
      <t:Event id="{7CE09CE5-EBA5-4EC0-9353-8753DAD8F810}" time="2023-07-03T12:57:46.442Z">
        <t:Attribution userId="S::arnold.de-boer@ec.europa.eu::001cb85a-68ad-4d6f-a0b9-6c7f2b105088" userProvider="AD" userName="DE BOER Arnold (SG-RECOVER)"/>
        <t:Anchor>
          <t:Comment id="294999616"/>
        </t:Anchor>
        <t:SetTitle title="@TOROK Eva (SG-RECOVER) Can you have a quick look?"/>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p:properties xmlns:p="http://schemas.microsoft.com/office/2006/metadata/properties" xmlns:xsi="http://www.w3.org/2001/XMLSchema-instance" xmlns:pc="http://schemas.microsoft.com/office/infopath/2007/PartnerControls"><documentManagement><SharedWithUsers xmlns="8420d8fb-4fac-4911-9d87-3fd919c6d1fa"><UserInfo><DisplayName>DE BOER Arnold (SG-RECOVER)</DisplayName><AccountId>319</AccountId><AccountType/></UserInfo><UserInfo><DisplayName>MORANDINI Maria Chiara (SG-RECOVER)</DisplayName><AccountId>276</AccountId><AccountType/></UserInfo><UserInfo><DisplayName>TOROK Eva (SG-RECOVER)</DisplayName><AccountId>28</AccountId><AccountType/></UserInfo></SharedWithUsers><EC_Collab_Reference xmlns="$ListId:Working Documents;" xsi:nil="true"/><_Status xmlns="http://schemas.microsoft.com/sharepoint/v3/fields">Not Started</_Status><EC_Collab_DocumentLanguage xmlns="$ListId:Working Documents;">EN</EC_Collab_DocumentLanguage><EC_Collab_Status xmlns="$ListId:Working Documents;">Not Started</EC_Collab_Status></documentManagement></p:properties>
</file>

<file path=customXml/item4.xml><?xml version="1.0" encoding="utf-8"?><ct:contentTypeSchema ct:_="" ma:_="" ma:contentTypeName="EC Document" ma:contentTypeID="0x010100258AA79CEB83498886A3A086811232500070CE323670BDCC4F94C3C92271EE1894" ma:contentTypeVersion="2" ma:contentTypeDescription="Create a new document in this library." ma:contentTypeScope="" ma:versionID="e7b7699bc39383a936c3ff898c54951b" xmlns:ct="http://schemas.microsoft.com/office/2006/metadata/contentType" xmlns:ma="http://schemas.microsoft.com/office/2006/metadata/properties/metaAttributes">
<xsd:schema targetNamespace="http://schemas.microsoft.com/office/2006/metadata/properties" ma:root="true" ma:fieldsID="273fb4946a39d35b00a70f2ceeb2b8a6" ns2:_="" ns3:_="" ns4:_="" xmlns:xsd="http://www.w3.org/2001/XMLSchema" xmlns:xs="http://www.w3.org/2001/XMLSchema" xmlns:p="http://schemas.microsoft.com/office/2006/metadata/properties" xmlns:ns2="http://schemas.microsoft.com/sharepoint/v3/fields" xmlns:ns3="$ListId:Working Documents;" xmlns:ns4="8420d8fb-4fac-4911-9d87-3fd919c6d1fa">
<xsd:import namespace="http://schemas.microsoft.com/sharepoint/v3/fields"/>
<xsd:import namespace="$ListId:Working Documents;"/>
<xsd:import namespace="8420d8fb-4fac-4911-9d87-3fd919c6d1fa"/>
<xsd:element name="properties">
<xsd:complexType>
<xsd:sequence>
<xsd:element name="documentManagement">
<xsd:complexType>
<xsd:all>
<xsd:element ref="ns3:EC_Collab_Reference" minOccurs="0"/>
<xsd:element ref="ns2:_Status" minOccurs="0"/>
<xsd:element ref="ns3:EC_Collab_DocumentLanguage"/>
<xsd:element ref="ns3:EC_Collab_Status"/>
<xsd:element ref="ns4:SharedWithUsers" minOccurs="0"/>
<xsd:element ref="ns4:SharedWithDetails" minOccurs="0"/>
</xsd:all>
</xsd:complexType>
</xsd:element>
</xsd:sequence>
</xsd:complexType>
</xsd:element>
</xsd:schema>
<xsd:schema targetNamespace="http://schemas.microsoft.com/sharepoint/v3/fields" elementFormDefault="qualified" xmlns:xsd="http://www.w3.org/2001/XMLSchema" xmlns:xs="http://www.w3.org/2001/XMLSchema" xmlns:dms="http://schemas.microsoft.com/office/2006/documentManagement/types" xmlns:pc="http://schemas.microsoft.com/office/infopath/2007/PartnerControls">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targetNamespace="$ListId:Working Documents;" elementFormDefault="qualified" xmlns:xsd="http://www.w3.org/2001/XMLSchema" xmlns:xs="http://www.w3.org/2001/XMLSchema" xmlns:dms="http://schemas.microsoft.com/office/2006/documentManagement/types" xmlns:pc="http://schemas.microsoft.com/office/infopath/2007/PartnerControls">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schema>
<xsd:schema targetNamespace="8420d8fb-4fac-4911-9d87-3fd919c6d1fa" elementFormDefault="qualified" xmlns:xsd="http://www.w3.org/2001/XMLSchema" xmlns:xs="http://www.w3.org/2001/XMLSchema" xmlns:dms="http://schemas.microsoft.com/office/2006/documentManagement/types" xmlns:pc="http://schemas.microsoft.com/office/infopath/2007/PartnerControls">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targetNamespace="http://schemas.openxmlformats.org/package/2006/metadata/core-properties" elementFormDefault="qualified" attributeFormDefault="unqualified" blockDefault="#all" xmlns="http://schemas.openxmlformats.org/package/2006/metadata/core-properties" xmlns:xsd="http://www.w3.org/2001/XMLSchema" xmlns:xsi="http://www.w3.org/2001/XMLSchema-instance" xmlns:dc="http://purl.org/dc/elements/1.1/" xmlns:dcterms="http://purl.org/dc/terms/" xmlns:odoc="http://schemas.microsoft.com/internal/obd">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targetNamespace="http://schemas.microsoft.com/office/infopath/2007/PartnerControls" elementFormDefault="qualified" attributeFormDefault="unqualified" xmlns:pc="http://schemas.microsoft.com/office/infopath/2007/PartnerControls" xmlns:xs="http://www.w3.org/2001/XMLSchema">
<xs:element name="Person">
<xs:complexType>
<xs:sequence>
<xs:element ref="pc:DisplayName" minOccurs="0"></xs:element>
<xs:element ref="pc:AccountId" minOccurs="0"></xs:element>
<xs:element ref="pc:AccountType" minOccurs="0"></xs:element>
</xs:sequence>
</xs:complexType>
</xs:element>
<xs:element name="DisplayName" type="xs:string"></xs:element>
<xs:element name="AccountId" type="xs:string"></xs:element>
<xs:element name="AccountType" type="xs:string"></xs:element>
<xs:element name="BDCAssociatedEntity">
<xs:complexType>
<xs:sequence>
<xs:element ref="pc:BDCEntity" minOccurs="0" maxOccurs="unbounded"></xs:element>
</xs:sequence>
<xs:attribute ref="pc:EntityNamespace"></xs:attribute>
<xs:attribute ref="pc:EntityName"></xs:attribute>
<xs:attribute ref="pc:SystemInstanceName"></xs:attribute>
<xs:attribute ref="pc:AssociationName"></xs:attribute>
</xs:complexType>
</xs:element>
<xs:attribute name="EntityNamespace" type="xs:string"></xs:attribute>
<xs:attribute name="EntityName" type="xs:string"></xs:attribute>
<xs:attribute name="SystemInstanceName" type="xs:string"></xs:attribute>
<xs:attribute name="AssociationName" type="xs:string"></xs:attribute>
<xs:element name="BDCEntity">
<xs:complexType>
<xs:sequence>
<xs:element ref="pc:EntityDisplayName" minOccurs="0"></xs:element>
<xs:element ref="pc:EntityInstanceReference" minOccurs="0"></xs:element>
<xs:element ref="pc:EntityId1" minOccurs="0"></xs:element>
<xs:element ref="pc:EntityId2" minOccurs="0"></xs:element>
<xs:element ref="pc:EntityId3" minOccurs="0"></xs:element>
<xs:element ref="pc:EntityId4" minOccurs="0"></xs:element>
<xs:element ref="pc:EntityId5" minOccurs="0"></xs:element>
</xs:sequence>
</xs:complexType>
</xs:element>
<xs:element name="EntityDisplayName" type="xs:string"></xs:element>
<xs:element name="EntityInstanceReference" type="xs:string"></xs:element>
<xs:element name="EntityId1" type="xs:string"></xs:element>
<xs:element name="EntityId2" type="xs:string"></xs:element>
<xs:element name="EntityId3" type="xs:string"></xs:element>
<xs:element name="EntityId4" type="xs:string"></xs:element>
<xs:element name="EntityId5" type="xs:string"></xs:element>
<xs:element name="Terms">
<xs:complexType>
<xs:sequence>
<xs:element ref="pc:TermInfo" minOccurs="0" maxOccurs="unbounded"></xs:element>
</xs:sequence>
</xs:complexType>
</xs:element>
<xs:element name="TermInfo">
<xs:complexType>
<xs:sequence>
<xs:element ref="pc:TermName" minOccurs="0"></xs:element>
<xs:element ref="pc:TermId" minOccurs="0"></xs:element>
</xs:sequence>
</xs:complexType>
</xs:element>
<xs:element name="TermName" type="xs:string"></xs:element>
<xs:element name="TermId" type="xs:string"></xs:element>
</xs:schema>
</ct:contentTypeSchema>
</file>

<file path=customXml/itemProps1.xml><?xml version="1.0" encoding="utf-8"?>
<ds:datastoreItem xmlns:ds="http://schemas.openxmlformats.org/officeDocument/2006/customXml" ds:itemID="{E25EFD77-297B-41A6-A2AD-9E3301B2E71B}">
  <ds:schemaRefs>
    <ds:schemaRef ds:uri="http://schemas.openxmlformats.org/officeDocument/2006/bibliography"/>
  </ds:schemaRefs>
</ds:datastoreItem>
</file>

<file path=customXml/itemProps2.xml><?xml version="1.0" encoding="utf-8"?>
<ds:datastoreItem xmlns:ds="http://schemas.openxmlformats.org/officeDocument/2006/customXml" ds:itemID="{5B7EC7A3-141F-4DBF-9688-73377A9133C8}">
  <ds:schemaRefs>
    <ds:schemaRef ds:uri="http://schemas.microsoft.com/sharepoint/v3/contenttype/forms"/>
  </ds:schemaRefs>
</ds:datastoreItem>
</file>

<file path=customXml/itemProps3.xml><?xml version="1.0" encoding="utf-8"?>
<ds:datastoreItem xmlns:ds="http://schemas.openxmlformats.org/officeDocument/2006/customXml" ds:itemID="{EBD10AF4-352F-4F06-BA62-4DD41DF5AE1E}">
  <ds:schemaRefs>
    <ds:schemaRef ds:uri="http://schemas.microsoft.com/office/2006/metadata/properties"/>
    <ds:schemaRef ds:uri="http://schemas.microsoft.com/office/infopath/2007/PartnerControls"/>
    <ds:schemaRef ds:uri="8420d8fb-4fac-4911-9d87-3fd919c6d1fa"/>
    <ds:schemaRef ds:uri="$ListId:Working Documents;"/>
    <ds:schemaRef ds:uri="http://schemas.microsoft.com/sharepoint/v3/fields"/>
  </ds:schemaRefs>
</ds:datastoreItem>
</file>

<file path=customXml/itemProps4.xml><?xml version="1.0" encoding="utf-8"?>
<ds:datastoreItem xmlns:ds="http://schemas.openxmlformats.org/officeDocument/2006/customXml" ds:itemID="{2AF3532D-C364-44E3-9CEC-D5FAEC81B3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ListId:Working Documents;"/>
    <ds:schemaRef ds:uri="8420d8fb-4fac-4911-9d87-3fd919c6d1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10</Pages>
  <Words>5292</Words>
  <Characters>30432</Characters>
  <Application>Microsoft Office Word</Application>
  <DocSecurity>0</DocSecurity>
  <Lines>447</Lines>
  <Paragraphs>98</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35626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ROELEN Evi (EMPL)</dc:creator>
  <cp:keywords/>
  <dc:description/>
  <cp:lastModifiedBy>ALMEIDA Maria Jose (SG)</cp:lastModifiedBy>
  <cp:revision>5</cp:revision>
  <dcterms:created xsi:type="dcterms:W3CDTF">2023-08-27T08:49:00Z</dcterms:created>
  <dcterms:modified xsi:type="dcterms:W3CDTF">2023-09-01T13:27:00Z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2023-06-12T14:54:29Z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d771be55-9488-4809-8375-34e17ebfd526</vt:lpwstr>
  </property>
  <property fmtid="{D5CDD505-2E9C-101B-9397-08002B2CF9AE}" pid="8" name="MSIP_Label_6bd9ddd1-4d20-43f6-abfa-fc3c07406f94_ContentBits">
    <vt:lpwstr>0</vt:lpwstr>
  </property>
  <property fmtid="{D5CDD505-2E9C-101B-9397-08002B2CF9AE}" pid="9" name="ContentTypeId">
    <vt:lpwstr>0x010100258AA79CEB83498886A3A086811232500070CE323670BDCC4F94C3C92271EE1894</vt:lpwstr>
  </property>
</Properties>
</file>