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42B3" w14:textId="77777777" w:rsidR="00D376F6" w:rsidRPr="00B90D87" w:rsidRDefault="00D376F6" w:rsidP="00D376F6">
      <w:pPr>
        <w:spacing w:after="600"/>
        <w:jc w:val="center"/>
        <w:rPr>
          <w:rFonts w:ascii="Times New Roman" w:hAnsi="Times New Roman"/>
          <w:b/>
          <w:bCs/>
          <w:lang w:val="en-IE"/>
        </w:rPr>
      </w:pPr>
      <w:bookmarkStart w:id="0" w:name="competition"/>
      <w:r w:rsidRPr="00B90D87">
        <w:rPr>
          <w:rFonts w:ascii="Times New Roman" w:hAnsi="Times New Roman"/>
          <w:b/>
          <w:bCs/>
          <w:lang w:val="en-IE"/>
        </w:rPr>
        <w:t xml:space="preserve">Follow-up to the European Parliament non-legislative resolution on </w:t>
      </w:r>
      <w:r w:rsidRPr="00812EB3">
        <w:rPr>
          <w:rFonts w:ascii="Times New Roman" w:hAnsi="Times New Roman"/>
          <w:b/>
          <w:bCs/>
        </w:rPr>
        <w:t>competition policy – annual report 202</w:t>
      </w:r>
      <w:r>
        <w:rPr>
          <w:rFonts w:ascii="Times New Roman" w:hAnsi="Times New Roman"/>
          <w:b/>
          <w:bCs/>
        </w:rPr>
        <w:t>2</w:t>
      </w:r>
    </w:p>
    <w:bookmarkEnd w:id="0"/>
    <w:p w14:paraId="2C5B7AE3" w14:textId="77777777" w:rsidR="00D376F6" w:rsidRPr="00625115" w:rsidRDefault="00D376F6" w:rsidP="00D376F6">
      <w:pPr>
        <w:widowControl w:val="0"/>
        <w:ind w:left="567" w:hanging="567"/>
        <w:rPr>
          <w:rFonts w:ascii="Times New Roman" w:hAnsi="Times New Roman"/>
          <w:szCs w:val="24"/>
          <w:lang w:val="fr-FR"/>
        </w:rPr>
      </w:pPr>
      <w:r w:rsidRPr="00625115">
        <w:rPr>
          <w:rFonts w:ascii="Times New Roman" w:hAnsi="Times New Roman"/>
          <w:b/>
          <w:szCs w:val="24"/>
          <w:lang w:val="fr-FR"/>
        </w:rPr>
        <w:t>1.</w:t>
      </w:r>
      <w:r w:rsidRPr="00625115">
        <w:rPr>
          <w:rFonts w:ascii="Times New Roman" w:hAnsi="Times New Roman"/>
          <w:b/>
          <w:szCs w:val="24"/>
          <w:lang w:val="fr-FR"/>
        </w:rPr>
        <w:tab/>
        <w:t>Rapporteur:</w:t>
      </w:r>
      <w:r w:rsidRPr="00625115">
        <w:rPr>
          <w:rFonts w:ascii="Times New Roman" w:hAnsi="Times New Roman"/>
          <w:szCs w:val="24"/>
          <w:lang w:val="fr-FR"/>
        </w:rPr>
        <w:t xml:space="preserve"> René REPASI </w:t>
      </w:r>
      <w:r w:rsidRPr="00625115">
        <w:rPr>
          <w:rFonts w:ascii="Times New Roman" w:hAnsi="Times New Roman"/>
          <w:szCs w:val="24"/>
          <w:shd w:val="clear" w:color="auto" w:fill="FFFFFF"/>
          <w:lang w:val="fr-FR"/>
        </w:rPr>
        <w:t>(S&amp;D</w:t>
      </w:r>
      <w:r>
        <w:rPr>
          <w:rFonts w:ascii="Times New Roman" w:hAnsi="Times New Roman"/>
          <w:szCs w:val="24"/>
          <w:shd w:val="clear" w:color="auto" w:fill="FFFFFF"/>
          <w:lang w:val="fr-FR"/>
        </w:rPr>
        <w:t xml:space="preserve"> </w:t>
      </w:r>
      <w:r w:rsidRPr="00625115">
        <w:rPr>
          <w:rFonts w:ascii="Times New Roman" w:hAnsi="Times New Roman"/>
          <w:szCs w:val="24"/>
          <w:shd w:val="clear" w:color="auto" w:fill="FFFFFF"/>
          <w:lang w:val="fr-FR"/>
        </w:rPr>
        <w:t>/</w:t>
      </w:r>
      <w:r>
        <w:rPr>
          <w:rFonts w:ascii="Times New Roman" w:hAnsi="Times New Roman"/>
          <w:szCs w:val="24"/>
          <w:shd w:val="clear" w:color="auto" w:fill="FFFFFF"/>
          <w:lang w:val="fr-FR"/>
        </w:rPr>
        <w:t xml:space="preserve"> </w:t>
      </w:r>
      <w:r w:rsidRPr="00625115">
        <w:rPr>
          <w:rFonts w:ascii="Times New Roman" w:hAnsi="Times New Roman"/>
          <w:szCs w:val="24"/>
          <w:shd w:val="clear" w:color="auto" w:fill="FFFFFF"/>
          <w:lang w:val="fr-FR"/>
        </w:rPr>
        <w:t>DE)</w:t>
      </w:r>
    </w:p>
    <w:p w14:paraId="4C86103C" w14:textId="77777777" w:rsidR="00D376F6" w:rsidRPr="00B90D87" w:rsidRDefault="00D376F6" w:rsidP="00D376F6">
      <w:pPr>
        <w:widowControl w:val="0"/>
        <w:tabs>
          <w:tab w:val="left" w:pos="567"/>
        </w:tabs>
        <w:autoSpaceDE w:val="0"/>
        <w:autoSpaceDN w:val="0"/>
        <w:adjustRightInd w:val="0"/>
        <w:rPr>
          <w:rFonts w:ascii="Times New Roman" w:hAnsi="Times New Roman"/>
          <w:szCs w:val="24"/>
          <w:lang w:val="en-IE" w:eastAsia="fr-FR"/>
        </w:rPr>
      </w:pPr>
      <w:r w:rsidRPr="00B90D87">
        <w:rPr>
          <w:rFonts w:ascii="Times New Roman" w:hAnsi="Times New Roman"/>
          <w:b/>
          <w:color w:val="000000"/>
          <w:szCs w:val="24"/>
          <w:lang w:val="en-IE" w:eastAsia="fr-FR"/>
        </w:rPr>
        <w:t>2.</w:t>
      </w:r>
      <w:r w:rsidRPr="00B90D87">
        <w:rPr>
          <w:rFonts w:ascii="Times New Roman" w:hAnsi="Times New Roman"/>
          <w:b/>
          <w:color w:val="000000"/>
          <w:szCs w:val="24"/>
          <w:lang w:val="en-IE" w:eastAsia="fr-FR"/>
        </w:rPr>
        <w:tab/>
      </w:r>
      <w:r>
        <w:rPr>
          <w:rFonts w:ascii="Times New Roman" w:hAnsi="Times New Roman"/>
          <w:b/>
          <w:color w:val="000000"/>
          <w:szCs w:val="24"/>
          <w:lang w:val="en-IE" w:eastAsia="fr-FR"/>
        </w:rPr>
        <w:t>R</w:t>
      </w:r>
      <w:r w:rsidRPr="00B90D87">
        <w:rPr>
          <w:rFonts w:ascii="Times New Roman" w:hAnsi="Times New Roman"/>
          <w:b/>
          <w:color w:val="000000"/>
          <w:szCs w:val="24"/>
          <w:lang w:val="en-IE" w:eastAsia="fr-FR"/>
        </w:rPr>
        <w:t>eference number</w:t>
      </w:r>
      <w:r>
        <w:rPr>
          <w:rFonts w:ascii="Times New Roman" w:hAnsi="Times New Roman"/>
          <w:b/>
          <w:color w:val="000000"/>
          <w:szCs w:val="24"/>
          <w:lang w:val="en-IE" w:eastAsia="fr-FR"/>
        </w:rPr>
        <w:t>s</w:t>
      </w:r>
      <w:r w:rsidRPr="00B90D87">
        <w:rPr>
          <w:rFonts w:ascii="Times New Roman" w:hAnsi="Times New Roman"/>
          <w:b/>
          <w:color w:val="000000"/>
          <w:szCs w:val="24"/>
          <w:lang w:val="en-IE" w:eastAsia="fr-FR"/>
        </w:rPr>
        <w:t>:</w:t>
      </w:r>
      <w:r w:rsidRPr="00B90D87">
        <w:rPr>
          <w:rFonts w:ascii="Times New Roman" w:hAnsi="Times New Roman"/>
          <w:color w:val="000000"/>
          <w:szCs w:val="24"/>
          <w:lang w:val="en-IE" w:eastAsia="fr-FR"/>
        </w:rPr>
        <w:t xml:space="preserve"> 2022/2060 (INI) / </w:t>
      </w:r>
      <w:r>
        <w:rPr>
          <w:rFonts w:ascii="Times New Roman" w:hAnsi="Times New Roman"/>
          <w:color w:val="000000"/>
          <w:szCs w:val="24"/>
          <w:lang w:val="en-IE" w:eastAsia="fr-FR"/>
        </w:rPr>
        <w:t xml:space="preserve">A9-0183/2023 / </w:t>
      </w:r>
      <w:r w:rsidRPr="00B90D87">
        <w:rPr>
          <w:rFonts w:ascii="Times New Roman" w:hAnsi="Times New Roman"/>
          <w:color w:val="000000"/>
          <w:szCs w:val="24"/>
          <w:lang w:val="en-IE" w:eastAsia="fr-FR"/>
        </w:rPr>
        <w:t>P9_TA(2023)0227</w:t>
      </w:r>
    </w:p>
    <w:p w14:paraId="4E29A95C" w14:textId="77777777" w:rsidR="00D376F6" w:rsidRPr="00B90D87" w:rsidRDefault="00D376F6" w:rsidP="00D376F6">
      <w:pPr>
        <w:widowControl w:val="0"/>
        <w:ind w:left="567" w:hanging="567"/>
        <w:rPr>
          <w:rFonts w:ascii="Times New Roman" w:hAnsi="Times New Roman"/>
          <w:szCs w:val="24"/>
          <w:lang w:val="en-IE"/>
        </w:rPr>
      </w:pPr>
      <w:r w:rsidRPr="00B90D87">
        <w:rPr>
          <w:rFonts w:ascii="Times New Roman" w:hAnsi="Times New Roman"/>
          <w:b/>
          <w:szCs w:val="24"/>
          <w:lang w:val="en-IE"/>
        </w:rPr>
        <w:t>3.</w:t>
      </w:r>
      <w:r w:rsidRPr="00B90D87">
        <w:rPr>
          <w:rFonts w:ascii="Times New Roman" w:hAnsi="Times New Roman"/>
          <w:b/>
          <w:szCs w:val="24"/>
          <w:lang w:val="en-IE"/>
        </w:rPr>
        <w:tab/>
        <w:t xml:space="preserve">Date of adoption of the resolution: </w:t>
      </w:r>
      <w:r w:rsidRPr="00B90D87">
        <w:rPr>
          <w:rFonts w:ascii="Times New Roman" w:hAnsi="Times New Roman"/>
          <w:szCs w:val="24"/>
          <w:lang w:val="en-IE"/>
        </w:rPr>
        <w:t>13 June 2023</w:t>
      </w:r>
    </w:p>
    <w:p w14:paraId="2F5306EA" w14:textId="77777777" w:rsidR="00D376F6" w:rsidRPr="00B90D87" w:rsidRDefault="00D376F6" w:rsidP="00D376F6">
      <w:pPr>
        <w:widowControl w:val="0"/>
        <w:ind w:left="567" w:hanging="567"/>
        <w:rPr>
          <w:rFonts w:ascii="Times New Roman" w:hAnsi="Times New Roman"/>
          <w:szCs w:val="24"/>
          <w:lang w:val="en-IE"/>
        </w:rPr>
      </w:pPr>
      <w:r w:rsidRPr="00B90D87">
        <w:rPr>
          <w:rFonts w:ascii="Times New Roman" w:hAnsi="Times New Roman"/>
          <w:b/>
          <w:szCs w:val="24"/>
          <w:lang w:val="en-IE"/>
        </w:rPr>
        <w:t>4.</w:t>
      </w:r>
      <w:r w:rsidRPr="00B90D87">
        <w:rPr>
          <w:rFonts w:ascii="Times New Roman" w:hAnsi="Times New Roman"/>
          <w:b/>
          <w:szCs w:val="24"/>
          <w:lang w:val="en-IE"/>
        </w:rPr>
        <w:tab/>
        <w:t>Competent Parliamentary Committee:</w:t>
      </w:r>
      <w:r w:rsidRPr="00B90D87">
        <w:rPr>
          <w:rFonts w:ascii="Times New Roman" w:hAnsi="Times New Roman"/>
          <w:szCs w:val="24"/>
          <w:lang w:val="en-IE"/>
        </w:rPr>
        <w:t xml:space="preserve"> Committee on Economic and Monetary Affairs (ECON)</w:t>
      </w:r>
    </w:p>
    <w:p w14:paraId="1F3D0658" w14:textId="77777777" w:rsidR="00D376F6" w:rsidRPr="00B90D87" w:rsidRDefault="00D376F6" w:rsidP="00D376F6">
      <w:pPr>
        <w:widowControl w:val="0"/>
        <w:ind w:left="567" w:hanging="567"/>
        <w:rPr>
          <w:rFonts w:ascii="Times New Roman" w:hAnsi="Times New Roman"/>
          <w:b/>
          <w:szCs w:val="24"/>
          <w:lang w:val="en-IE"/>
        </w:rPr>
      </w:pPr>
      <w:r w:rsidRPr="00B90D87">
        <w:rPr>
          <w:rFonts w:ascii="Times New Roman" w:hAnsi="Times New Roman"/>
          <w:b/>
          <w:szCs w:val="24"/>
          <w:lang w:val="en-IE"/>
        </w:rPr>
        <w:t>5.</w:t>
      </w:r>
      <w:r w:rsidRPr="00B90D87">
        <w:rPr>
          <w:rFonts w:ascii="Times New Roman" w:hAnsi="Times New Roman"/>
          <w:b/>
          <w:szCs w:val="24"/>
          <w:lang w:val="en-IE"/>
        </w:rPr>
        <w:tab/>
        <w:t>Brief assessment of the resolution and the requests made in it:</w:t>
      </w:r>
    </w:p>
    <w:p w14:paraId="03290E74" w14:textId="77777777" w:rsidR="00D376F6" w:rsidRPr="007607A4" w:rsidRDefault="00D376F6" w:rsidP="00D376F6">
      <w:pPr>
        <w:widowControl w:val="0"/>
        <w:spacing w:after="120"/>
        <w:rPr>
          <w:rFonts w:ascii="Times New Roman" w:hAnsi="Times New Roman"/>
          <w:szCs w:val="24"/>
          <w:lang w:val="en-IE"/>
        </w:rPr>
      </w:pPr>
      <w:r w:rsidRPr="007607A4">
        <w:rPr>
          <w:rFonts w:ascii="Times New Roman" w:hAnsi="Times New Roman"/>
          <w:szCs w:val="24"/>
          <w:lang w:val="en-IE"/>
        </w:rPr>
        <w:t xml:space="preserve">The </w:t>
      </w:r>
      <w:r>
        <w:rPr>
          <w:rFonts w:ascii="Times New Roman" w:hAnsi="Times New Roman"/>
          <w:szCs w:val="24"/>
          <w:lang w:val="en-IE"/>
        </w:rPr>
        <w:t xml:space="preserve">resolution of the </w:t>
      </w:r>
      <w:r w:rsidRPr="007607A4">
        <w:rPr>
          <w:rFonts w:ascii="Times New Roman" w:hAnsi="Times New Roman"/>
          <w:szCs w:val="24"/>
          <w:lang w:val="en-IE"/>
        </w:rPr>
        <w:t xml:space="preserve">European Parliament concerns the Commission’s Annual Report on Competition Policy 2021 (COM(2022) 0337 final) and its accompanying Staff Working Document (SWD (2022) 0188 final), adopted on 14 July 2022. These documents together are referred to as the Annual Competition Report 2021 (ACR 2021). </w:t>
      </w:r>
      <w:bookmarkStart w:id="1" w:name="_Hlk138668656"/>
      <w:r w:rsidRPr="007607A4">
        <w:rPr>
          <w:rFonts w:ascii="Times New Roman" w:hAnsi="Times New Roman"/>
          <w:szCs w:val="24"/>
          <w:lang w:val="en-IE"/>
        </w:rPr>
        <w:t>The ACR 2021 presents how the Commission implemented its competition policy in 2021 as well as how competition policy contributes to the EU economy and improves the welfare of EU citizens</w:t>
      </w:r>
      <w:bookmarkEnd w:id="1"/>
      <w:r w:rsidRPr="007607A4">
        <w:rPr>
          <w:rFonts w:ascii="Times New Roman" w:hAnsi="Times New Roman"/>
          <w:szCs w:val="24"/>
          <w:lang w:val="en-IE"/>
        </w:rPr>
        <w:t>.</w:t>
      </w:r>
    </w:p>
    <w:p w14:paraId="591C1942" w14:textId="77777777" w:rsidR="00D376F6" w:rsidRPr="007607A4" w:rsidRDefault="00D376F6" w:rsidP="00D376F6">
      <w:pPr>
        <w:widowControl w:val="0"/>
        <w:spacing w:after="120"/>
        <w:rPr>
          <w:rFonts w:ascii="Times New Roman" w:hAnsi="Times New Roman"/>
          <w:szCs w:val="24"/>
          <w:lang w:val="en-IE"/>
        </w:rPr>
      </w:pPr>
      <w:r w:rsidRPr="007607A4">
        <w:rPr>
          <w:rFonts w:ascii="Times New Roman" w:hAnsi="Times New Roman"/>
          <w:szCs w:val="24"/>
          <w:lang w:val="en-IE"/>
        </w:rPr>
        <w:t>The European Parliament calls on the Commission to ensure that the regulatory framework is fit to respond to technological developments and to the EU’s digital connectivity objectives by making sure that funding for critical infrastructure is adequate and effective without jeopardising competition rules.</w:t>
      </w:r>
    </w:p>
    <w:p w14:paraId="2601DDC2"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takes note of the draft Commission notice on the definition of the relevant market for the purposes of EU competition law. It welcomes the Commission’s clarification in this draft notice that the definition of the relevant market should not rely solely on a product’s price but also the level of innovation it embodies. The European Parliament considers innovation competition to be an essential factor in the determination of the relevant market and asks the Commission to take into account a longer-term vision encompassing the global dimension and potential future competition in its competitive assessments. It underlines the need to include an analysis of consumer behaviour when defining the relevant product market, and in particular appreciates all the new contributions to addressing key market definition issues concerning certain fast-moving sectors such as the digital sector.</w:t>
      </w:r>
    </w:p>
    <w:p w14:paraId="30A531B8"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European Parliament underlines the need for a balanced reconciliation of the Union’s competition rules with its industrial and international trade policies to re-shore value chains and bolster global competitiveness. </w:t>
      </w:r>
    </w:p>
    <w:p w14:paraId="4C713C4E"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European Parliament welcomes the rapid adoption of the Temporary Crisis Framework for State Aid measures to support the economy following Russia’s aggression against Ukraine and the subsequent prolongations. It notes the Commission’s proposal to transform this into a Temporary Crisis and Transition Framework (TCTF), by enlarging its scope to support all possible renewable sources of energy. The </w:t>
      </w:r>
      <w:r>
        <w:rPr>
          <w:rFonts w:ascii="Times New Roman" w:hAnsi="Times New Roman"/>
          <w:bCs/>
          <w:iCs/>
          <w:szCs w:val="24"/>
          <w:lang w:val="en-IE"/>
        </w:rPr>
        <w:t>r</w:t>
      </w:r>
      <w:r w:rsidRPr="007607A4">
        <w:rPr>
          <w:rFonts w:ascii="Times New Roman" w:hAnsi="Times New Roman"/>
          <w:bCs/>
          <w:iCs/>
          <w:szCs w:val="24"/>
          <w:lang w:val="en-IE"/>
        </w:rPr>
        <w:t>esolution stresses that any flexibility should be targeted, temporary, proportionate and consistent with EU policy objectives and not create permanent distortions in the internal market.</w:t>
      </w:r>
    </w:p>
    <w:p w14:paraId="2F235BB9"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lastRenderedPageBreak/>
        <w:t>The European Parliament considers rising energy and food prices, leading to excessive corporate profits, to be the main drivers of the current hike in inflation. It emphasises that rising energy costs relative to those in other parts of the world have been one of the key factors adversely impacting EU industry’s ability to compete on the global market and reiterates that the Commission must make use of all the available tools under competition law to tackle market distortions and unfair pricing in the energy and food markets.</w:t>
      </w:r>
    </w:p>
    <w:p w14:paraId="7A828472"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calls for a permanent market investigation mechanism to be triggered automatically when certain conditions are met, such as specific increases in prices.</w:t>
      </w:r>
    </w:p>
    <w:p w14:paraId="7C200B1D"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The European Parliament considers that merger thresholds based on turnover are not fit for the digital economy in which value is often represented by other factors. It believes that merger assessments by the Commission should not merely focus on prices and stresses that a product’s ‘fair price’ is not the lowest price possible for the consumer.</w:t>
      </w:r>
    </w:p>
    <w:p w14:paraId="7457418E"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supports the introduction of a rebuttable presumption that effective competition is significantly impeded by any concentration leading to a business holding a dominant position in a relevant market or any concentration involving a dominant market player, or a gatekeeper as defined in the Digital Markets Act (DMA)</w:t>
      </w:r>
      <w:r w:rsidRPr="007607A4">
        <w:rPr>
          <w:rStyle w:val="FootnoteReference"/>
          <w:rFonts w:ascii="Times New Roman" w:hAnsi="Times New Roman"/>
          <w:bCs/>
          <w:iCs/>
          <w:szCs w:val="24"/>
          <w:lang w:val="en-IE"/>
        </w:rPr>
        <w:footnoteReference w:id="2"/>
      </w:r>
      <w:r w:rsidRPr="007607A4">
        <w:rPr>
          <w:rFonts w:ascii="Times New Roman" w:hAnsi="Times New Roman"/>
          <w:bCs/>
          <w:iCs/>
          <w:szCs w:val="24"/>
          <w:lang w:val="en-IE"/>
        </w:rPr>
        <w:t xml:space="preserve">. The European Parliament notes that there is scope for </w:t>
      </w:r>
      <w:r>
        <w:rPr>
          <w:rFonts w:ascii="Times New Roman" w:hAnsi="Times New Roman"/>
          <w:bCs/>
          <w:iCs/>
          <w:szCs w:val="24"/>
          <w:lang w:val="en-IE"/>
        </w:rPr>
        <w:t xml:space="preserve">the </w:t>
      </w:r>
      <w:r w:rsidRPr="007607A4">
        <w:rPr>
          <w:rFonts w:ascii="Times New Roman" w:hAnsi="Times New Roman"/>
          <w:bCs/>
          <w:iCs/>
          <w:szCs w:val="24"/>
          <w:lang w:val="en-IE"/>
        </w:rPr>
        <w:t xml:space="preserve">Member States to intervene on ‘non-competitive grounds’ and asks for the Commission to be given the same possibility when examining the impact of concentration on the internal market. </w:t>
      </w:r>
      <w:r>
        <w:rPr>
          <w:rFonts w:ascii="Times New Roman" w:hAnsi="Times New Roman"/>
          <w:bCs/>
          <w:iCs/>
          <w:szCs w:val="24"/>
          <w:lang w:val="en-IE"/>
        </w:rPr>
        <w:t>It</w:t>
      </w:r>
      <w:r w:rsidRPr="007607A4">
        <w:rPr>
          <w:rFonts w:ascii="Times New Roman" w:hAnsi="Times New Roman"/>
          <w:bCs/>
          <w:iCs/>
          <w:szCs w:val="24"/>
          <w:lang w:val="en-IE"/>
        </w:rPr>
        <w:t xml:space="preserve"> calls for the inclusion of review clauses in decisions approving a concentration with a view to introducing more appropriate conditions without affecting the decision as such.</w:t>
      </w:r>
    </w:p>
    <w:p w14:paraId="527AE5B0"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calls for the Commission’s procedure for examining a concentration to be shortened by making full use of digitalisation.</w:t>
      </w:r>
    </w:p>
    <w:p w14:paraId="4FCA6994"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Parliament notes the call for evidence by the Commission on its review of the services of general economic interest (SGEI) </w:t>
      </w:r>
      <w:r w:rsidRPr="007607A4">
        <w:rPr>
          <w:rFonts w:ascii="Times New Roman" w:hAnsi="Times New Roman"/>
          <w:bCs/>
          <w:i/>
          <w:iCs/>
          <w:szCs w:val="24"/>
          <w:lang w:val="en-IE"/>
        </w:rPr>
        <w:t>de minimis</w:t>
      </w:r>
      <w:r w:rsidRPr="007607A4">
        <w:rPr>
          <w:rFonts w:ascii="Times New Roman" w:hAnsi="Times New Roman"/>
          <w:bCs/>
          <w:iCs/>
          <w:szCs w:val="24"/>
          <w:lang w:val="en-IE"/>
        </w:rPr>
        <w:t xml:space="preserve"> Regulation (Regulation (EU) No 360/2012). It recalls that SGEI are subject to specific rules to protect citizens’ access to basic public services below a clear threshold. The </w:t>
      </w:r>
      <w:r>
        <w:rPr>
          <w:rFonts w:ascii="Times New Roman" w:hAnsi="Times New Roman"/>
          <w:bCs/>
          <w:iCs/>
          <w:szCs w:val="24"/>
          <w:lang w:val="en-IE"/>
        </w:rPr>
        <w:t>r</w:t>
      </w:r>
      <w:r w:rsidRPr="007607A4">
        <w:rPr>
          <w:rFonts w:ascii="Times New Roman" w:hAnsi="Times New Roman"/>
          <w:bCs/>
          <w:iCs/>
          <w:szCs w:val="24"/>
          <w:lang w:val="en-IE"/>
        </w:rPr>
        <w:t>esolution calls on the Commission to assess how EU competition principles have affected the supply of SGEI, also in the light of the COVID crisis and increased costs of living and asks attention for the socio-economic realities of the various EU regions, especially in the context of state support to peripheral and island regions in the EU.</w:t>
      </w:r>
    </w:p>
    <w:p w14:paraId="23412809"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The European Parliament’s welcomes the Commission’s willingness to take into account the effects on labour markets and wages when determining the anti-competitive effects of collusive behaviour under Article 101(1) of the Treaty on the Functioning of the EU</w:t>
      </w:r>
      <w:r>
        <w:rPr>
          <w:rFonts w:ascii="Times New Roman" w:hAnsi="Times New Roman"/>
          <w:bCs/>
          <w:iCs/>
          <w:szCs w:val="24"/>
          <w:lang w:val="en-IE"/>
        </w:rPr>
        <w:t xml:space="preserve"> (TFEU)</w:t>
      </w:r>
      <w:r w:rsidRPr="007607A4">
        <w:rPr>
          <w:rFonts w:ascii="Times New Roman" w:hAnsi="Times New Roman"/>
          <w:bCs/>
          <w:iCs/>
          <w:szCs w:val="24"/>
          <w:lang w:val="en-IE"/>
        </w:rPr>
        <w:t>.</w:t>
      </w:r>
    </w:p>
    <w:p w14:paraId="15A9AFDF"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The Parliament welcomes the Commission’s guidelines on the application of EU competition law to collective agreements, clarifying that it does not prevent solo self-employed workers from engaging in collective bargaining.</w:t>
      </w:r>
    </w:p>
    <w:p w14:paraId="29CCC63F" w14:textId="7C6A7C64" w:rsidR="00D376F6" w:rsidRPr="007607A4" w:rsidRDefault="00D376F6" w:rsidP="00D376F6">
      <w:pPr>
        <w:widowControl w:val="0"/>
        <w:spacing w:after="120"/>
        <w:rPr>
          <w:rFonts w:ascii="Times New Roman" w:hAnsi="Times New Roman"/>
          <w:szCs w:val="24"/>
          <w:lang w:val="en-IE"/>
        </w:rPr>
      </w:pPr>
      <w:r w:rsidRPr="007607A4">
        <w:rPr>
          <w:rFonts w:ascii="Times New Roman" w:hAnsi="Times New Roman"/>
          <w:szCs w:val="24"/>
          <w:lang w:val="en-IE"/>
        </w:rPr>
        <w:t>The European Parliament welcomes the evaluation</w:t>
      </w:r>
      <w:r w:rsidRPr="007607A4">
        <w:rPr>
          <w:rStyle w:val="FootnoteReference"/>
          <w:rFonts w:ascii="Times New Roman" w:hAnsi="Times New Roman"/>
          <w:szCs w:val="24"/>
          <w:lang w:val="en-IE"/>
        </w:rPr>
        <w:footnoteReference w:id="3"/>
      </w:r>
      <w:r w:rsidRPr="007607A4">
        <w:rPr>
          <w:rFonts w:ascii="Times New Roman" w:hAnsi="Times New Roman"/>
          <w:szCs w:val="24"/>
          <w:lang w:val="en-IE"/>
        </w:rPr>
        <w:t xml:space="preserve"> of Regulation (EC) No 1/2003</w:t>
      </w:r>
      <w:r w:rsidRPr="007607A4">
        <w:rPr>
          <w:rStyle w:val="FootnoteReference"/>
          <w:rFonts w:ascii="Times New Roman" w:hAnsi="Times New Roman"/>
          <w:szCs w:val="24"/>
          <w:lang w:val="en-IE"/>
        </w:rPr>
        <w:footnoteReference w:id="4"/>
      </w:r>
      <w:r w:rsidRPr="007607A4">
        <w:rPr>
          <w:rFonts w:ascii="Times New Roman" w:hAnsi="Times New Roman"/>
          <w:szCs w:val="24"/>
          <w:lang w:val="en-IE"/>
        </w:rPr>
        <w:t xml:space="preserve"> and </w:t>
      </w:r>
      <w:r w:rsidRPr="007607A4">
        <w:rPr>
          <w:rFonts w:ascii="Times New Roman" w:hAnsi="Times New Roman"/>
          <w:szCs w:val="24"/>
          <w:lang w:val="en-IE"/>
        </w:rPr>
        <w:lastRenderedPageBreak/>
        <w:t>Regulation (EC) No 773/2004</w:t>
      </w:r>
      <w:r w:rsidRPr="007607A4">
        <w:rPr>
          <w:rStyle w:val="FootnoteReference"/>
          <w:rFonts w:ascii="Times New Roman" w:hAnsi="Times New Roman"/>
          <w:szCs w:val="24"/>
          <w:lang w:val="en-IE"/>
        </w:rPr>
        <w:footnoteReference w:id="5"/>
      </w:r>
      <w:r w:rsidRPr="007607A4">
        <w:rPr>
          <w:rFonts w:ascii="Times New Roman" w:hAnsi="Times New Roman"/>
          <w:szCs w:val="24"/>
          <w:lang w:val="en-IE"/>
        </w:rPr>
        <w:t xml:space="preserve">. It considers a legislative review of these regulations necessary, calls for stronger use of structural remedies and for the primacy of behavioural remedies to be removed from </w:t>
      </w:r>
      <w:r w:rsidR="00446E00">
        <w:rPr>
          <w:rFonts w:ascii="Times New Roman" w:hAnsi="Times New Roman"/>
          <w:szCs w:val="24"/>
          <w:lang w:val="en-IE"/>
        </w:rPr>
        <w:t>R</w:t>
      </w:r>
      <w:r w:rsidRPr="007607A4">
        <w:rPr>
          <w:rFonts w:ascii="Times New Roman" w:hAnsi="Times New Roman"/>
          <w:szCs w:val="24"/>
          <w:lang w:val="en-IE"/>
        </w:rPr>
        <w:t>egulation</w:t>
      </w:r>
      <w:r w:rsidR="00446E00">
        <w:rPr>
          <w:rFonts w:ascii="Times New Roman" w:hAnsi="Times New Roman"/>
          <w:szCs w:val="24"/>
          <w:lang w:val="en-IE"/>
        </w:rPr>
        <w:t xml:space="preserve"> (EC) No 1/2003</w:t>
      </w:r>
      <w:r w:rsidRPr="007607A4">
        <w:rPr>
          <w:rFonts w:ascii="Times New Roman" w:hAnsi="Times New Roman"/>
          <w:szCs w:val="24"/>
          <w:lang w:val="en-IE"/>
        </w:rPr>
        <w:t>.</w:t>
      </w:r>
    </w:p>
    <w:p w14:paraId="2FDE1643"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acknowledges the existence of a legal basis for structural separation and calls on the Commission to analyse the merits of the legal base for the unbundling of undertakings as a structural remedy of last resort for antitrust violations. The European Parliament regrets the reluctance of the Commission to address market dominance through structural separation and considers unbundling to be a structural remedy in situations where abuse of a dominant position on a relevant market cannot be ascertained but where conditions for competition would improve significantly if unbundling measures were applied.</w:t>
      </w:r>
    </w:p>
    <w:p w14:paraId="7608C4BB"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calls on the Commission to establish a publicly accessible database of all European and national competition law cases, including summaries in English. It stresses the need for, and importance of, the independence of the national authorities while reiterating the increasing need to ensure more cooperation and sharing of information on best practices between the national authorities to ensure transparency.</w:t>
      </w:r>
    </w:p>
    <w:p w14:paraId="49702335"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The European Parliament underlines the importance of damages for infringements of competition law and considers it necessary to alleviate the burden on injured parties to successfully claim damages by introducing an obligation of the competent competition authority to state the extent of the damages in the public enforcement decision or by introducing a presumption of a minimum amount of damages calculated in relation to the infringement of competition law.</w:t>
      </w:r>
    </w:p>
    <w:p w14:paraId="6E038A08"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 xml:space="preserve">esolution welcomes the creation of new Commission directorates for the enforcement of the DMA and highlights the difference by nature between the ex-post enforcement of antitrust rules and the </w:t>
      </w:r>
      <w:r w:rsidRPr="007607A4">
        <w:rPr>
          <w:rFonts w:ascii="Times New Roman" w:hAnsi="Times New Roman"/>
          <w:bCs/>
          <w:szCs w:val="24"/>
          <w:lang w:val="en-IE"/>
        </w:rPr>
        <w:t>ex-ante</w:t>
      </w:r>
      <w:r w:rsidRPr="007607A4">
        <w:rPr>
          <w:rFonts w:ascii="Times New Roman" w:hAnsi="Times New Roman"/>
          <w:bCs/>
          <w:iCs/>
          <w:szCs w:val="24"/>
          <w:lang w:val="en-IE"/>
        </w:rPr>
        <w:t xml:space="preserve"> enforcement of the DMA. The European Parliament calls on the Member States to make available additional financial resources to enable more behavioural economists, algorithms specialists, data-science and technology staff to be hired by the Commission. It asks the Member States to second additional staff to the Commission for this task. The </w:t>
      </w:r>
      <w:r>
        <w:rPr>
          <w:rFonts w:ascii="Times New Roman" w:hAnsi="Times New Roman"/>
          <w:bCs/>
          <w:iCs/>
          <w:szCs w:val="24"/>
          <w:lang w:val="en-IE"/>
        </w:rPr>
        <w:t>r</w:t>
      </w:r>
      <w:r w:rsidRPr="007607A4">
        <w:rPr>
          <w:rFonts w:ascii="Times New Roman" w:hAnsi="Times New Roman"/>
          <w:bCs/>
          <w:iCs/>
          <w:szCs w:val="24"/>
          <w:lang w:val="en-IE"/>
        </w:rPr>
        <w:t xml:space="preserve">esolution urges the Commission to allocate a larger budget for the proper implementation and enforcement of this </w:t>
      </w:r>
      <w:r>
        <w:rPr>
          <w:rFonts w:ascii="Times New Roman" w:hAnsi="Times New Roman"/>
          <w:bCs/>
          <w:iCs/>
          <w:szCs w:val="24"/>
          <w:lang w:val="en-IE"/>
        </w:rPr>
        <w:t>r</w:t>
      </w:r>
      <w:r w:rsidRPr="007607A4">
        <w:rPr>
          <w:rFonts w:ascii="Times New Roman" w:hAnsi="Times New Roman"/>
          <w:bCs/>
          <w:iCs/>
          <w:szCs w:val="24"/>
          <w:lang w:val="en-IE"/>
        </w:rPr>
        <w:t>egulation and welcomes the strong cooperation with the national competition authorities when enforcing the DMA.</w:t>
      </w:r>
    </w:p>
    <w:p w14:paraId="18D356AF" w14:textId="77777777" w:rsidR="00D376F6" w:rsidRPr="007607A4" w:rsidRDefault="00D376F6" w:rsidP="00D376F6">
      <w:pPr>
        <w:widowControl w:val="0"/>
        <w:spacing w:after="120"/>
        <w:rPr>
          <w:rFonts w:ascii="Times New Roman" w:hAnsi="Times New Roman"/>
          <w:bCs/>
          <w:iCs/>
          <w:szCs w:val="24"/>
          <w:lang w:val="en-IE"/>
        </w:rPr>
      </w:pPr>
      <w:r w:rsidRPr="007607A4">
        <w:rPr>
          <w:rFonts w:ascii="Times New Roman" w:hAnsi="Times New Roman"/>
          <w:bCs/>
          <w:iCs/>
          <w:szCs w:val="24"/>
          <w:lang w:val="en-IE"/>
        </w:rPr>
        <w:t xml:space="preserve">The </w:t>
      </w:r>
      <w:r>
        <w:rPr>
          <w:rFonts w:ascii="Times New Roman" w:hAnsi="Times New Roman"/>
          <w:bCs/>
          <w:iCs/>
          <w:szCs w:val="24"/>
          <w:lang w:val="en-IE"/>
        </w:rPr>
        <w:t>r</w:t>
      </w:r>
      <w:r w:rsidRPr="007607A4">
        <w:rPr>
          <w:rFonts w:ascii="Times New Roman" w:hAnsi="Times New Roman"/>
          <w:bCs/>
          <w:iCs/>
          <w:szCs w:val="24"/>
          <w:lang w:val="en-IE"/>
        </w:rPr>
        <w:t>esolution stresses that competition law remains relevant to digital markets despite the entry into force of the DMA, particularly in antitrust procedures against gatekeepers. It considers that violations of privacy rights can constitute abusive practices and recalls that some undertakings likely to be designated as gatekeepers have been subject to previous antitrust rulings, which have not led to effective behavioural changes, especially regarding self-preferencing. This should be taken into account when enforcing the DMA.</w:t>
      </w:r>
    </w:p>
    <w:p w14:paraId="7EB14220" w14:textId="77777777" w:rsidR="00D376F6" w:rsidRPr="007607A4" w:rsidRDefault="00D376F6" w:rsidP="00D376F6">
      <w:pPr>
        <w:widowControl w:val="0"/>
        <w:spacing w:after="120"/>
        <w:rPr>
          <w:rFonts w:ascii="Times New Roman" w:hAnsi="Times New Roman"/>
          <w:szCs w:val="24"/>
        </w:rPr>
      </w:pPr>
      <w:r w:rsidRPr="007607A4">
        <w:rPr>
          <w:rFonts w:ascii="Times New Roman" w:hAnsi="Times New Roman"/>
          <w:bCs/>
          <w:iCs/>
          <w:szCs w:val="24"/>
          <w:lang w:val="en-IE"/>
        </w:rPr>
        <w:t>The European Parliament urges the Commission to bring forward its revision of the 2013 Banking Communication</w:t>
      </w:r>
      <w:r w:rsidRPr="007607A4">
        <w:rPr>
          <w:rStyle w:val="FootnoteReference"/>
          <w:rFonts w:ascii="Times New Roman" w:hAnsi="Times New Roman"/>
          <w:bCs/>
          <w:iCs/>
          <w:szCs w:val="24"/>
          <w:lang w:val="en-IE"/>
        </w:rPr>
        <w:footnoteReference w:id="6"/>
      </w:r>
      <w:r w:rsidRPr="007607A4">
        <w:rPr>
          <w:rFonts w:ascii="Times New Roman" w:hAnsi="Times New Roman"/>
          <w:bCs/>
          <w:iCs/>
          <w:szCs w:val="24"/>
          <w:lang w:val="en-IE"/>
        </w:rPr>
        <w:t>.</w:t>
      </w:r>
    </w:p>
    <w:p w14:paraId="7142BB8F" w14:textId="77777777" w:rsidR="00D376F6" w:rsidRPr="00A96619" w:rsidRDefault="00D376F6" w:rsidP="00D376F6">
      <w:pPr>
        <w:widowControl w:val="0"/>
        <w:spacing w:after="120"/>
        <w:rPr>
          <w:rFonts w:ascii="Times New Roman" w:hAnsi="Times New Roman"/>
          <w:bCs/>
          <w:szCs w:val="24"/>
          <w:lang w:val="en-IE"/>
        </w:rPr>
      </w:pPr>
      <w:r w:rsidRPr="007607A4">
        <w:rPr>
          <w:rFonts w:ascii="Times New Roman" w:hAnsi="Times New Roman"/>
          <w:bCs/>
          <w:iCs/>
          <w:szCs w:val="24"/>
          <w:lang w:val="en-IE"/>
        </w:rPr>
        <w:lastRenderedPageBreak/>
        <w:t>The European Parliament calls for companies engaging in tax avoidance using third-country tax havens to be barred from receiving State aid</w:t>
      </w:r>
      <w:r w:rsidRPr="001F452C">
        <w:rPr>
          <w:rFonts w:ascii="Times New Roman" w:hAnsi="Times New Roman"/>
          <w:bCs/>
          <w:iCs/>
          <w:szCs w:val="24"/>
          <w:lang w:val="en-IE"/>
        </w:rPr>
        <w:t>.</w:t>
      </w:r>
    </w:p>
    <w:p w14:paraId="2822598F" w14:textId="77777777" w:rsidR="00D376F6" w:rsidRPr="00B90D87" w:rsidRDefault="00D376F6" w:rsidP="00D376F6">
      <w:pPr>
        <w:widowControl w:val="0"/>
        <w:spacing w:line="276" w:lineRule="auto"/>
        <w:ind w:left="567" w:hanging="567"/>
        <w:rPr>
          <w:rFonts w:ascii="Times New Roman" w:hAnsi="Times New Roman"/>
          <w:b/>
          <w:szCs w:val="24"/>
          <w:lang w:val="en-IE"/>
        </w:rPr>
      </w:pPr>
      <w:r w:rsidRPr="00B90D87">
        <w:rPr>
          <w:rFonts w:ascii="Times New Roman" w:hAnsi="Times New Roman"/>
          <w:b/>
          <w:szCs w:val="24"/>
          <w:lang w:val="en-IE"/>
        </w:rPr>
        <w:t>6.</w:t>
      </w:r>
      <w:r w:rsidRPr="00B90D87">
        <w:rPr>
          <w:rFonts w:ascii="Times New Roman" w:hAnsi="Times New Roman"/>
          <w:b/>
          <w:szCs w:val="24"/>
          <w:lang w:val="en-IE"/>
        </w:rPr>
        <w:tab/>
        <w:t>Response by the Commission to the requests and overview of the action taken, or intended to be taken:</w:t>
      </w:r>
    </w:p>
    <w:p w14:paraId="48D2791F" w14:textId="77777777" w:rsidR="00D376F6" w:rsidRPr="00B90D87" w:rsidRDefault="00D376F6" w:rsidP="00D376F6">
      <w:pPr>
        <w:widowControl w:val="0"/>
        <w:spacing w:after="120"/>
        <w:rPr>
          <w:rFonts w:ascii="Times New Roman" w:hAnsi="Times New Roman"/>
          <w:b/>
          <w:szCs w:val="24"/>
          <w:lang w:val="en-IE"/>
        </w:rPr>
      </w:pPr>
      <w:r w:rsidRPr="00B90D87">
        <w:rPr>
          <w:rFonts w:ascii="Times New Roman" w:hAnsi="Times New Roman"/>
          <w:b/>
          <w:szCs w:val="24"/>
          <w:lang w:val="en-IE"/>
        </w:rPr>
        <w:t>General considerations</w:t>
      </w:r>
    </w:p>
    <w:p w14:paraId="4D7D809D" w14:textId="77777777" w:rsidR="00D376F6" w:rsidRPr="00B90D87" w:rsidRDefault="00D376F6" w:rsidP="00D376F6">
      <w:pPr>
        <w:widowControl w:val="0"/>
        <w:spacing w:after="120"/>
        <w:rPr>
          <w:rFonts w:ascii="Times New Roman" w:hAnsi="Times New Roman"/>
          <w:szCs w:val="24"/>
          <w:lang w:val="en-IE"/>
        </w:rPr>
      </w:pPr>
      <w:r w:rsidRPr="7BF0A77A">
        <w:rPr>
          <w:rFonts w:ascii="Times New Roman" w:hAnsi="Times New Roman"/>
          <w:szCs w:val="24"/>
          <w:lang w:val="en-IE"/>
        </w:rPr>
        <w:t>The Commission agrees with the European Parliament that the EU competition law framework needs to be fit to respond to technological developments and the challenges of the digital transition (</w:t>
      </w:r>
      <w:r w:rsidRPr="7BF0A77A">
        <w:rPr>
          <w:rFonts w:ascii="Times New Roman" w:hAnsi="Times New Roman"/>
          <w:b/>
          <w:bCs/>
          <w:szCs w:val="24"/>
          <w:lang w:val="en-IE"/>
        </w:rPr>
        <w:t>paragraph 3</w:t>
      </w:r>
      <w:r w:rsidRPr="7BF0A77A">
        <w:rPr>
          <w:rFonts w:ascii="Times New Roman" w:hAnsi="Times New Roman"/>
          <w:szCs w:val="24"/>
          <w:lang w:val="en-IE"/>
        </w:rPr>
        <w:t>).</w:t>
      </w:r>
    </w:p>
    <w:p w14:paraId="62BBE585"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Commission is currently engaged in an </w:t>
      </w:r>
      <w:r>
        <w:rPr>
          <w:rFonts w:ascii="Times New Roman" w:hAnsi="Times New Roman"/>
          <w:bCs/>
          <w:szCs w:val="24"/>
          <w:lang w:val="en-IE"/>
        </w:rPr>
        <w:t>extensive</w:t>
      </w:r>
      <w:r w:rsidRPr="00B90D87">
        <w:rPr>
          <w:rFonts w:ascii="Times New Roman" w:hAnsi="Times New Roman"/>
          <w:bCs/>
          <w:szCs w:val="24"/>
          <w:lang w:val="en-IE"/>
        </w:rPr>
        <w:t xml:space="preserve"> review of the competition rules, covering all competition tools: antitrust, merger control and State aid control. As part of this review, the Commission has been reviewing more than 20 sets of competition rules and guidelines. Ensuring that the competition rules remain fit for purpose will foster the green and digital transition.</w:t>
      </w:r>
    </w:p>
    <w:p w14:paraId="5D60FB07" w14:textId="77777777" w:rsidR="00D376F6" w:rsidRPr="00B90D87" w:rsidRDefault="00D376F6" w:rsidP="00D376F6">
      <w:pPr>
        <w:widowControl w:val="0"/>
        <w:spacing w:after="120"/>
        <w:rPr>
          <w:rFonts w:ascii="Times New Roman" w:hAnsi="Times New Roman"/>
          <w:szCs w:val="24"/>
          <w:lang w:val="en-IE"/>
        </w:rPr>
      </w:pPr>
      <w:r w:rsidRPr="7BF0A77A">
        <w:rPr>
          <w:rFonts w:ascii="Times New Roman" w:hAnsi="Times New Roman"/>
          <w:szCs w:val="24"/>
          <w:lang w:val="en-IE"/>
        </w:rPr>
        <w:t xml:space="preserve">The Commission welcomes the European Parliament’s support </w:t>
      </w:r>
      <w:r w:rsidRPr="00440836">
        <w:rPr>
          <w:rFonts w:ascii="Times New Roman" w:hAnsi="Times New Roman"/>
          <w:szCs w:val="24"/>
          <w:lang w:val="en-IE"/>
        </w:rPr>
        <w:t>for the forthcoming adoption of the revised draft Commission notice on the definition of the relevant market</w:t>
      </w:r>
      <w:r w:rsidRPr="7BF0A77A">
        <w:rPr>
          <w:rFonts w:ascii="Times New Roman" w:hAnsi="Times New Roman"/>
          <w:szCs w:val="24"/>
          <w:lang w:val="en-IE"/>
        </w:rPr>
        <w:t xml:space="preserve"> for the purposes of EU competition law and takes note of</w:t>
      </w:r>
      <w:r>
        <w:t xml:space="preserve"> </w:t>
      </w:r>
      <w:r w:rsidRPr="00440836">
        <w:rPr>
          <w:rFonts w:ascii="Times New Roman" w:hAnsi="Times New Roman"/>
          <w:szCs w:val="24"/>
        </w:rPr>
        <w:t xml:space="preserve">the </w:t>
      </w:r>
      <w:r w:rsidRPr="7BF0A77A">
        <w:rPr>
          <w:rFonts w:ascii="Times New Roman" w:hAnsi="Times New Roman"/>
          <w:szCs w:val="24"/>
          <w:lang w:val="en-IE"/>
        </w:rPr>
        <w:t>European Parliament’s call for considering a longer-term vision in its competitive assessment and for analysing consumer behaviour (</w:t>
      </w:r>
      <w:r w:rsidRPr="7BF0A77A">
        <w:rPr>
          <w:rFonts w:ascii="Times New Roman" w:hAnsi="Times New Roman"/>
          <w:b/>
          <w:bCs/>
          <w:szCs w:val="24"/>
          <w:lang w:val="en-IE"/>
        </w:rPr>
        <w:t>paragraph 5</w:t>
      </w:r>
      <w:r w:rsidRPr="7BF0A77A">
        <w:rPr>
          <w:rFonts w:ascii="Times New Roman" w:hAnsi="Times New Roman"/>
          <w:szCs w:val="24"/>
          <w:lang w:val="en-IE"/>
        </w:rPr>
        <w:t>).</w:t>
      </w:r>
    </w:p>
    <w:p w14:paraId="6C8B21F8" w14:textId="77777777" w:rsidR="00D376F6" w:rsidRPr="00B90D87" w:rsidRDefault="00D376F6" w:rsidP="00D376F6">
      <w:pPr>
        <w:widowControl w:val="0"/>
        <w:spacing w:after="120"/>
        <w:rPr>
          <w:rFonts w:ascii="Times New Roman" w:hAnsi="Times New Roman"/>
          <w:szCs w:val="24"/>
          <w:lang w:val="en-IE"/>
        </w:rPr>
      </w:pPr>
      <w:r w:rsidRPr="7BF0A77A">
        <w:rPr>
          <w:rFonts w:ascii="Times New Roman" w:hAnsi="Times New Roman"/>
          <w:szCs w:val="24"/>
          <w:lang w:val="en-IE"/>
        </w:rPr>
        <w:t xml:space="preserve">The revised draft market definition Notice </w:t>
      </w:r>
      <w:r w:rsidRPr="7BF0A77A">
        <w:rPr>
          <w:rFonts w:ascii="Times New Roman" w:hAnsi="Times New Roman"/>
          <w:szCs w:val="24"/>
        </w:rPr>
        <w:t xml:space="preserve">states </w:t>
      </w:r>
      <w:r w:rsidRPr="7BF0A77A">
        <w:rPr>
          <w:rFonts w:ascii="Times New Roman" w:hAnsi="Times New Roman"/>
          <w:szCs w:val="24"/>
          <w:lang w:val="en-IE"/>
        </w:rPr>
        <w:t>that the Commission may consider expected future transitions in the structure of a market when defining the boundaries of the relevant market. The Commission and companies may rely on such expected short-term or medium-term structural market transitions where the case calls for a forward-looking assessment and where there would be strong indications of expected effective changes in the general dynamics of demand and supply within the period that is relevant for the assessment. Potential future competition in the sense of expected market entry is also duly</w:t>
      </w:r>
      <w:r w:rsidRPr="7BF0A77A">
        <w:rPr>
          <w:rFonts w:ascii="Times New Roman" w:hAnsi="Times New Roman"/>
          <w:szCs w:val="24"/>
        </w:rPr>
        <w:t xml:space="preserve"> considered</w:t>
      </w:r>
      <w:r w:rsidRPr="7BF0A77A">
        <w:rPr>
          <w:rFonts w:ascii="Times New Roman" w:hAnsi="Times New Roman"/>
          <w:szCs w:val="24"/>
          <w:lang w:val="en-IE"/>
        </w:rPr>
        <w:t xml:space="preserve"> in the context of the competitive assessment.</w:t>
      </w:r>
    </w:p>
    <w:p w14:paraId="30A30C8C" w14:textId="77777777" w:rsidR="00D376F6" w:rsidRDefault="00D376F6" w:rsidP="00D376F6">
      <w:pPr>
        <w:widowControl w:val="0"/>
        <w:spacing w:after="120"/>
        <w:rPr>
          <w:rFonts w:ascii="Times New Roman" w:hAnsi="Times New Roman"/>
          <w:szCs w:val="24"/>
          <w:lang w:val="en-IE"/>
        </w:rPr>
      </w:pPr>
      <w:r w:rsidRPr="7BF0A77A">
        <w:rPr>
          <w:rFonts w:ascii="Times New Roman" w:hAnsi="Times New Roman"/>
          <w:szCs w:val="24"/>
          <w:lang w:val="en-IE"/>
        </w:rPr>
        <w:t xml:space="preserve">The revised Notice explains how the Commission factors </w:t>
      </w:r>
      <w:r w:rsidRPr="7BF0A77A">
        <w:rPr>
          <w:rFonts w:ascii="Times New Roman" w:hAnsi="Times New Roman"/>
          <w:szCs w:val="24"/>
        </w:rPr>
        <w:t xml:space="preserve">in </w:t>
      </w:r>
      <w:r w:rsidRPr="7BF0A77A">
        <w:rPr>
          <w:rFonts w:ascii="Times New Roman" w:hAnsi="Times New Roman"/>
          <w:szCs w:val="24"/>
          <w:lang w:val="en-IE"/>
        </w:rPr>
        <w:t xml:space="preserve">actual or future imports in its assessment of the geographic boundaries of markets. Even where imports are not included in the relevant market, the (out-of-market) competitive pressure exerted by imports is fully accounted for </w:t>
      </w:r>
      <w:r w:rsidRPr="7BF0A77A">
        <w:rPr>
          <w:rFonts w:ascii="Times New Roman" w:hAnsi="Times New Roman"/>
          <w:szCs w:val="24"/>
        </w:rPr>
        <w:t xml:space="preserve">in </w:t>
      </w:r>
      <w:r w:rsidRPr="7BF0A77A">
        <w:rPr>
          <w:rFonts w:ascii="Times New Roman" w:hAnsi="Times New Roman"/>
          <w:szCs w:val="24"/>
          <w:lang w:val="en-IE"/>
        </w:rPr>
        <w:t>the competitive assessment.</w:t>
      </w:r>
    </w:p>
    <w:p w14:paraId="7A252E99" w14:textId="77777777" w:rsidR="00D376F6" w:rsidRPr="00B90D87" w:rsidRDefault="00D376F6" w:rsidP="00D376F6">
      <w:pPr>
        <w:widowControl w:val="0"/>
        <w:spacing w:after="120"/>
        <w:rPr>
          <w:rFonts w:ascii="Times New Roman" w:hAnsi="Times New Roman"/>
          <w:bCs/>
          <w:szCs w:val="24"/>
          <w:lang w:val="en-IE"/>
        </w:rPr>
      </w:pPr>
      <w:r w:rsidRPr="00D4544F">
        <w:rPr>
          <w:rFonts w:ascii="Times New Roman" w:hAnsi="Times New Roman"/>
          <w:bCs/>
          <w:szCs w:val="24"/>
          <w:lang w:val="en-IE"/>
        </w:rPr>
        <w:t>The revised Notice also clarifies that behavioural insights may be relevant in the definition of the relevant market, as customer choices may be subject to behavioural biases, such as a tendency to choose the default option provided.</w:t>
      </w:r>
    </w:p>
    <w:p w14:paraId="7F799851" w14:textId="77777777" w:rsidR="00D376F6" w:rsidRPr="00B90D87" w:rsidRDefault="00D376F6" w:rsidP="00D376F6">
      <w:pPr>
        <w:widowControl w:val="0"/>
        <w:spacing w:after="120"/>
        <w:rPr>
          <w:rFonts w:ascii="Times New Roman" w:hAnsi="Times New Roman"/>
          <w:bCs/>
          <w:szCs w:val="24"/>
          <w:lang w:val="en-IE"/>
        </w:rPr>
      </w:pPr>
      <w:r>
        <w:rPr>
          <w:rFonts w:ascii="Times New Roman" w:hAnsi="Times New Roman"/>
          <w:bCs/>
          <w:szCs w:val="24"/>
          <w:lang w:val="en-IE"/>
        </w:rPr>
        <w:t>When defining the relevant product market, t</w:t>
      </w:r>
      <w:r w:rsidRPr="00B90D87">
        <w:rPr>
          <w:rFonts w:ascii="Times New Roman" w:hAnsi="Times New Roman"/>
          <w:bCs/>
          <w:szCs w:val="24"/>
          <w:lang w:val="en-IE"/>
        </w:rPr>
        <w:t>he Commission</w:t>
      </w:r>
      <w:r>
        <w:rPr>
          <w:rFonts w:ascii="Times New Roman" w:hAnsi="Times New Roman"/>
          <w:bCs/>
          <w:szCs w:val="24"/>
        </w:rPr>
        <w:t xml:space="preserve"> considers</w:t>
      </w:r>
      <w:r w:rsidRPr="00B90D87">
        <w:rPr>
          <w:rFonts w:ascii="Times New Roman" w:hAnsi="Times New Roman"/>
          <w:bCs/>
          <w:szCs w:val="24"/>
          <w:lang w:val="en-IE"/>
        </w:rPr>
        <w:t xml:space="preserve"> the various parameters of competition that customers </w:t>
      </w:r>
      <w:r>
        <w:rPr>
          <w:rFonts w:ascii="Times New Roman" w:hAnsi="Times New Roman"/>
          <w:bCs/>
          <w:szCs w:val="24"/>
        </w:rPr>
        <w:t xml:space="preserve">think are </w:t>
      </w:r>
      <w:r w:rsidRPr="00B90D87">
        <w:rPr>
          <w:rFonts w:ascii="Times New Roman" w:hAnsi="Times New Roman"/>
          <w:bCs/>
          <w:szCs w:val="24"/>
          <w:lang w:val="en-IE"/>
        </w:rPr>
        <w:t>relevant in the area and period assessed. In addition to the price of the product, these parameters may include the product’s level of innovation as well as its quality</w:t>
      </w:r>
      <w:r>
        <w:rPr>
          <w:rFonts w:ascii="Times New Roman" w:hAnsi="Times New Roman"/>
          <w:bCs/>
          <w:szCs w:val="24"/>
          <w:lang w:val="en-IE"/>
        </w:rPr>
        <w:t xml:space="preserve"> in various aspects</w:t>
      </w:r>
      <w:r w:rsidRPr="00B90D87">
        <w:rPr>
          <w:rFonts w:ascii="Times New Roman" w:hAnsi="Times New Roman"/>
          <w:bCs/>
          <w:szCs w:val="24"/>
          <w:lang w:val="en-IE"/>
        </w:rPr>
        <w:t>.</w:t>
      </w:r>
    </w:p>
    <w:p w14:paraId="76D55BA0"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Commission notes the European Parliament’s view that a balanced reconciliation of the </w:t>
      </w:r>
      <w:r>
        <w:rPr>
          <w:rFonts w:ascii="Times New Roman" w:hAnsi="Times New Roman"/>
          <w:bCs/>
          <w:szCs w:val="24"/>
        </w:rPr>
        <w:t>EU</w:t>
      </w:r>
      <w:r w:rsidRPr="00B90D87">
        <w:rPr>
          <w:rFonts w:ascii="Times New Roman" w:hAnsi="Times New Roman"/>
          <w:bCs/>
          <w:szCs w:val="24"/>
          <w:lang w:val="en-IE"/>
        </w:rPr>
        <w:t xml:space="preserve"> competition rules with its industrial and international trade policies is essential for re-shoring value chain activities and bolstering global competitiveness (</w:t>
      </w:r>
      <w:r w:rsidRPr="00B90D87">
        <w:rPr>
          <w:rFonts w:ascii="Times New Roman" w:hAnsi="Times New Roman"/>
          <w:b/>
          <w:szCs w:val="24"/>
          <w:lang w:val="en-IE"/>
        </w:rPr>
        <w:t>paragraph 8</w:t>
      </w:r>
      <w:r w:rsidRPr="00B90D87">
        <w:rPr>
          <w:rFonts w:ascii="Times New Roman" w:hAnsi="Times New Roman"/>
          <w:bCs/>
          <w:szCs w:val="24"/>
          <w:lang w:val="en-IE"/>
        </w:rPr>
        <w:t>).</w:t>
      </w:r>
    </w:p>
    <w:p w14:paraId="7229013B" w14:textId="77777777" w:rsidR="00D376F6"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lastRenderedPageBreak/>
        <w:t>As set out in the Communication on the Review of Competition Policy of November 2021</w:t>
      </w:r>
      <w:r>
        <w:rPr>
          <w:rStyle w:val="FootnoteReference"/>
          <w:bCs/>
          <w:szCs w:val="24"/>
          <w:lang w:val="en-IE"/>
        </w:rPr>
        <w:footnoteReference w:id="7"/>
      </w:r>
      <w:r w:rsidRPr="00B90D87">
        <w:rPr>
          <w:rFonts w:ascii="Times New Roman" w:hAnsi="Times New Roman"/>
          <w:bCs/>
          <w:szCs w:val="24"/>
          <w:lang w:val="en-IE"/>
        </w:rPr>
        <w:t xml:space="preserve">, competition policy, trade policy and industrial policy are complementary. Competition policy sets the conditions for companies to invest, to be innovative, to diversify supply chains, to compete on </w:t>
      </w:r>
      <w:r>
        <w:rPr>
          <w:rFonts w:ascii="Times New Roman" w:hAnsi="Times New Roman"/>
          <w:bCs/>
          <w:szCs w:val="24"/>
        </w:rPr>
        <w:t xml:space="preserve">the </w:t>
      </w:r>
      <w:r w:rsidRPr="00B90D87">
        <w:rPr>
          <w:rFonts w:ascii="Times New Roman" w:hAnsi="Times New Roman"/>
          <w:bCs/>
          <w:szCs w:val="24"/>
          <w:lang w:val="en-IE"/>
        </w:rPr>
        <w:t>merit</w:t>
      </w:r>
      <w:r>
        <w:rPr>
          <w:rFonts w:ascii="Times New Roman" w:hAnsi="Times New Roman"/>
          <w:bCs/>
          <w:szCs w:val="24"/>
        </w:rPr>
        <w:t>s</w:t>
      </w:r>
      <w:r w:rsidRPr="00B90D87">
        <w:rPr>
          <w:rFonts w:ascii="Times New Roman" w:hAnsi="Times New Roman"/>
          <w:bCs/>
          <w:szCs w:val="24"/>
          <w:lang w:val="en-IE"/>
        </w:rPr>
        <w:t xml:space="preserve"> and ultimately build a resilient and competitive economy. The Commission is committed to ensuring the competitiveness and resilience of the EU economy by implementing the EU industrial strategy and other </w:t>
      </w:r>
      <w:r>
        <w:rPr>
          <w:rFonts w:ascii="Times New Roman" w:hAnsi="Times New Roman"/>
          <w:bCs/>
          <w:szCs w:val="24"/>
          <w:lang w:val="en-IE"/>
        </w:rPr>
        <w:t xml:space="preserve">EU </w:t>
      </w:r>
      <w:r w:rsidRPr="00B90D87">
        <w:rPr>
          <w:rFonts w:ascii="Times New Roman" w:hAnsi="Times New Roman"/>
          <w:bCs/>
          <w:szCs w:val="24"/>
          <w:lang w:val="en-IE"/>
        </w:rPr>
        <w:t>policies.</w:t>
      </w:r>
    </w:p>
    <w:p w14:paraId="2A213B3B" w14:textId="77777777" w:rsidR="00D376F6" w:rsidRPr="00CE0BE5" w:rsidRDefault="00D376F6" w:rsidP="00D376F6">
      <w:pPr>
        <w:widowControl w:val="0"/>
        <w:spacing w:after="120"/>
        <w:rPr>
          <w:rFonts w:ascii="Times New Roman" w:hAnsi="Times New Roman"/>
          <w:b/>
          <w:bCs/>
          <w:i/>
          <w:iCs/>
          <w:szCs w:val="24"/>
          <w:lang w:val="en-IE"/>
        </w:rPr>
      </w:pPr>
      <w:r w:rsidRPr="00CE0BE5">
        <w:rPr>
          <w:rFonts w:ascii="Times New Roman" w:hAnsi="Times New Roman"/>
          <w:b/>
          <w:bCs/>
          <w:i/>
          <w:iCs/>
          <w:szCs w:val="24"/>
          <w:lang w:val="en-IE"/>
        </w:rPr>
        <w:t>Policy response to the war in Ukraine</w:t>
      </w:r>
    </w:p>
    <w:p w14:paraId="57EA1794"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The Commission agrees with the European Parliament that any flexibility of State aid rules should be targeted, temporary and proportionate (</w:t>
      </w:r>
      <w:r w:rsidRPr="00B90D87">
        <w:rPr>
          <w:rFonts w:ascii="Times New Roman" w:hAnsi="Times New Roman"/>
          <w:b/>
          <w:szCs w:val="24"/>
          <w:lang w:val="en-IE"/>
        </w:rPr>
        <w:t>paragraph 11</w:t>
      </w:r>
      <w:r w:rsidRPr="00B90D87">
        <w:rPr>
          <w:rFonts w:ascii="Times New Roman" w:hAnsi="Times New Roman"/>
          <w:bCs/>
          <w:szCs w:val="24"/>
          <w:lang w:val="en-IE"/>
        </w:rPr>
        <w:t>).</w:t>
      </w:r>
    </w:p>
    <w:p w14:paraId="4A977E1A"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On 9 March 2023, the Commission adopted the </w:t>
      </w:r>
      <w:r>
        <w:rPr>
          <w:rFonts w:ascii="Times New Roman" w:hAnsi="Times New Roman"/>
          <w:bCs/>
          <w:szCs w:val="24"/>
          <w:lang w:val="en-IE"/>
        </w:rPr>
        <w:t>TCTF</w:t>
      </w:r>
      <w:r>
        <w:rPr>
          <w:rStyle w:val="FootnoteReference"/>
          <w:bCs/>
          <w:szCs w:val="24"/>
          <w:lang w:val="en-IE"/>
        </w:rPr>
        <w:footnoteReference w:id="8"/>
      </w:r>
      <w:r w:rsidRPr="00B90D87">
        <w:rPr>
          <w:rFonts w:ascii="Times New Roman" w:hAnsi="Times New Roman"/>
          <w:bCs/>
          <w:szCs w:val="24"/>
          <w:lang w:val="en-IE"/>
        </w:rPr>
        <w:t xml:space="preserve">. It replaced the previous Temporary Crisis Framework, which </w:t>
      </w:r>
      <w:r>
        <w:rPr>
          <w:rFonts w:ascii="Times New Roman" w:hAnsi="Times New Roman"/>
          <w:bCs/>
          <w:szCs w:val="24"/>
        </w:rPr>
        <w:t>was</w:t>
      </w:r>
      <w:r w:rsidRPr="00B90D87">
        <w:rPr>
          <w:rFonts w:ascii="Times New Roman" w:hAnsi="Times New Roman"/>
          <w:bCs/>
          <w:szCs w:val="24"/>
          <w:lang w:val="en-IE"/>
        </w:rPr>
        <w:t xml:space="preserve"> adopted on 23 March 2022 in response to the serious disturbance of the economy caused by Russia’s attack on Ukraine. Adjustments to State aid rules in response to ‘exceptional occurrences’ and ‘serious disturbances’ are only warranted as long as such occurrences and disturbances exist. This is why the COVID-19 Temporary Framework has been progressively phased out, with the last provisions set to expire on 31 December 2023.</w:t>
      </w:r>
    </w:p>
    <w:p w14:paraId="30CD9685"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w:t>
      </w:r>
      <w:r>
        <w:rPr>
          <w:rFonts w:ascii="Times New Roman" w:hAnsi="Times New Roman"/>
          <w:bCs/>
          <w:szCs w:val="24"/>
          <w:lang w:val="en-IE"/>
        </w:rPr>
        <w:t xml:space="preserve">TCTF </w:t>
      </w:r>
      <w:r w:rsidRPr="00B90D87">
        <w:rPr>
          <w:rFonts w:ascii="Times New Roman" w:hAnsi="Times New Roman"/>
          <w:bCs/>
          <w:szCs w:val="24"/>
          <w:lang w:val="en-IE"/>
        </w:rPr>
        <w:t>maintains the existing possibilities to address the consequences of the current crisis until 31 December 2023. After consultation with the Member States, the Commission decided to expand and further simplify the provisions for support to accelerate renewable energy deployment and industrial decarbonisation. These provisions have been prolonged until 31 December 2025</w:t>
      </w:r>
      <w:r>
        <w:rPr>
          <w:rFonts w:ascii="Times New Roman" w:hAnsi="Times New Roman"/>
          <w:bCs/>
          <w:szCs w:val="24"/>
          <w:lang w:val="en-IE"/>
        </w:rPr>
        <w:t>. T</w:t>
      </w:r>
      <w:r w:rsidRPr="00B90D87">
        <w:rPr>
          <w:rFonts w:ascii="Times New Roman" w:hAnsi="Times New Roman"/>
          <w:bCs/>
          <w:szCs w:val="24"/>
          <w:lang w:val="en-IE"/>
        </w:rPr>
        <w:t xml:space="preserve">he Commission </w:t>
      </w:r>
      <w:r>
        <w:rPr>
          <w:rFonts w:ascii="Times New Roman" w:hAnsi="Times New Roman"/>
          <w:bCs/>
          <w:szCs w:val="24"/>
          <w:lang w:val="en-IE"/>
        </w:rPr>
        <w:t xml:space="preserve">also </w:t>
      </w:r>
      <w:r w:rsidRPr="00B90D87">
        <w:rPr>
          <w:rFonts w:ascii="Times New Roman" w:hAnsi="Times New Roman"/>
          <w:bCs/>
          <w:szCs w:val="24"/>
          <w:lang w:val="en-IE"/>
        </w:rPr>
        <w:t xml:space="preserve">added a new section, applicable until 31 December 2025, </w:t>
      </w:r>
      <w:r>
        <w:rPr>
          <w:rFonts w:ascii="Times New Roman" w:hAnsi="Times New Roman"/>
          <w:bCs/>
          <w:szCs w:val="24"/>
          <w:lang w:val="en-IE"/>
        </w:rPr>
        <w:t>to</w:t>
      </w:r>
      <w:r w:rsidRPr="00B90D87">
        <w:rPr>
          <w:rFonts w:ascii="Times New Roman" w:hAnsi="Times New Roman"/>
          <w:bCs/>
          <w:szCs w:val="24"/>
          <w:lang w:val="en-IE"/>
        </w:rPr>
        <w:t xml:space="preserve"> further accelerat</w:t>
      </w:r>
      <w:r>
        <w:rPr>
          <w:rFonts w:ascii="Times New Roman" w:hAnsi="Times New Roman"/>
          <w:bCs/>
          <w:szCs w:val="24"/>
          <w:lang w:val="en-IE"/>
        </w:rPr>
        <w:t>e</w:t>
      </w:r>
      <w:r w:rsidRPr="00B90D87">
        <w:rPr>
          <w:rFonts w:ascii="Times New Roman" w:hAnsi="Times New Roman"/>
          <w:bCs/>
          <w:szCs w:val="24"/>
          <w:lang w:val="en-IE"/>
        </w:rPr>
        <w:t xml:space="preserve"> investments in key sectors for the transition towards a net-zero economy, enabling investment support for the manufacturing of strategic equipment </w:t>
      </w:r>
      <w:r w:rsidRPr="004C5B5E">
        <w:rPr>
          <w:rFonts w:ascii="Times New Roman" w:hAnsi="Times New Roman"/>
          <w:bCs/>
          <w:szCs w:val="24"/>
          <w:lang w:val="en-IE"/>
        </w:rPr>
        <w:t>as well as for production of key components and for production and recycling of related critical raw materials</w:t>
      </w:r>
      <w:r>
        <w:rPr>
          <w:rFonts w:ascii="Times New Roman" w:hAnsi="Times New Roman"/>
          <w:bCs/>
          <w:szCs w:val="24"/>
          <w:lang w:val="en-IE"/>
        </w:rPr>
        <w:t>.</w:t>
      </w:r>
    </w:p>
    <w:p w14:paraId="5A143572" w14:textId="77777777" w:rsidR="00D376F6" w:rsidRPr="00B90D87" w:rsidRDefault="00D376F6" w:rsidP="00D376F6">
      <w:pPr>
        <w:widowControl w:val="0"/>
        <w:spacing w:after="120"/>
        <w:rPr>
          <w:rFonts w:ascii="Times New Roman" w:hAnsi="Times New Roman"/>
          <w:b/>
          <w:szCs w:val="24"/>
          <w:lang w:val="en-IE"/>
        </w:rPr>
      </w:pPr>
      <w:r w:rsidRPr="00B90D87">
        <w:rPr>
          <w:rFonts w:ascii="Times New Roman" w:hAnsi="Times New Roman"/>
          <w:bCs/>
          <w:szCs w:val="24"/>
          <w:lang w:val="en-IE"/>
        </w:rPr>
        <w:t>The Commission shares the European Parliament’s concerns of rising prices in the food and energy sectors</w:t>
      </w:r>
      <w:r w:rsidRPr="00B90D87">
        <w:rPr>
          <w:rFonts w:ascii="Times New Roman" w:hAnsi="Times New Roman"/>
          <w:b/>
          <w:szCs w:val="24"/>
          <w:lang w:val="en-IE"/>
        </w:rPr>
        <w:t xml:space="preserve"> (paragraph 19)</w:t>
      </w:r>
      <w:r w:rsidRPr="00B90D87">
        <w:rPr>
          <w:rFonts w:ascii="Times New Roman" w:hAnsi="Times New Roman"/>
          <w:bCs/>
          <w:szCs w:val="24"/>
          <w:lang w:val="en-IE"/>
        </w:rPr>
        <w:t>.</w:t>
      </w:r>
    </w:p>
    <w:p w14:paraId="54533B0B"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The Commission is closely monitoring the developments relating to an increase in prices in a number of sectors, including the energy and food sectors</w:t>
      </w:r>
      <w:r>
        <w:rPr>
          <w:rFonts w:ascii="Times New Roman" w:hAnsi="Times New Roman"/>
          <w:bCs/>
          <w:szCs w:val="24"/>
          <w:lang w:val="en-IE"/>
        </w:rPr>
        <w:t>.</w:t>
      </w:r>
      <w:r w:rsidRPr="00B90D87">
        <w:rPr>
          <w:rFonts w:ascii="Times New Roman" w:hAnsi="Times New Roman"/>
          <w:bCs/>
          <w:szCs w:val="24"/>
          <w:lang w:val="en-IE"/>
        </w:rPr>
        <w:t xml:space="preserve"> </w:t>
      </w:r>
      <w:r>
        <w:rPr>
          <w:rFonts w:ascii="Times New Roman" w:hAnsi="Times New Roman"/>
          <w:bCs/>
          <w:szCs w:val="24"/>
        </w:rPr>
        <w:t>While</w:t>
      </w:r>
      <w:r w:rsidRPr="00B90D87">
        <w:rPr>
          <w:rFonts w:ascii="Times New Roman" w:hAnsi="Times New Roman"/>
          <w:bCs/>
          <w:szCs w:val="24"/>
          <w:lang w:val="en-IE"/>
        </w:rPr>
        <w:t xml:space="preserve"> competition enforcement is not as such an anti-inflation tool</w:t>
      </w:r>
      <w:r>
        <w:rPr>
          <w:rFonts w:ascii="Times New Roman" w:hAnsi="Times New Roman"/>
          <w:bCs/>
          <w:szCs w:val="24"/>
          <w:lang w:val="en-IE"/>
        </w:rPr>
        <w:t>, it</w:t>
      </w:r>
      <w:r w:rsidRPr="00B90D87">
        <w:rPr>
          <w:rFonts w:ascii="Times New Roman" w:hAnsi="Times New Roman"/>
          <w:bCs/>
          <w:szCs w:val="24"/>
          <w:lang w:val="en-IE"/>
        </w:rPr>
        <w:t>can ensure that companies do not gain excessive market power through mergers, engage in abusive practices, or participate in cartels or other anti</w:t>
      </w:r>
      <w:r>
        <w:rPr>
          <w:rFonts w:ascii="Times New Roman" w:hAnsi="Times New Roman"/>
          <w:bCs/>
          <w:szCs w:val="24"/>
          <w:lang w:val="en-IE"/>
        </w:rPr>
        <w:t>-</w:t>
      </w:r>
      <w:r w:rsidRPr="00B90D87">
        <w:rPr>
          <w:rFonts w:ascii="Times New Roman" w:hAnsi="Times New Roman"/>
          <w:bCs/>
          <w:szCs w:val="24"/>
          <w:lang w:val="en-IE"/>
        </w:rPr>
        <w:t>competitive agreements, all of which can contribute to higher prices. By fostering competitive and contestable markets, competition policy help</w:t>
      </w:r>
      <w:r>
        <w:rPr>
          <w:rFonts w:ascii="Times New Roman" w:hAnsi="Times New Roman"/>
          <w:bCs/>
          <w:szCs w:val="24"/>
        </w:rPr>
        <w:t>s</w:t>
      </w:r>
      <w:r w:rsidRPr="00B90D87">
        <w:rPr>
          <w:rFonts w:ascii="Times New Roman" w:hAnsi="Times New Roman"/>
          <w:bCs/>
          <w:szCs w:val="24"/>
          <w:lang w:val="en-IE"/>
        </w:rPr>
        <w:t xml:space="preserve"> prevent price increases or facilitate price decreases and quality increases. Competition policy can also ensure that global supply chains are not disrupted by anti</w:t>
      </w:r>
      <w:r>
        <w:rPr>
          <w:rFonts w:ascii="Times New Roman" w:hAnsi="Times New Roman"/>
          <w:bCs/>
          <w:szCs w:val="24"/>
          <w:lang w:val="en-IE"/>
        </w:rPr>
        <w:t>-</w:t>
      </w:r>
      <w:r w:rsidRPr="00B90D87">
        <w:rPr>
          <w:rFonts w:ascii="Times New Roman" w:hAnsi="Times New Roman"/>
          <w:bCs/>
          <w:szCs w:val="24"/>
          <w:lang w:val="en-IE"/>
        </w:rPr>
        <w:t>competitive conduct.</w:t>
      </w:r>
    </w:p>
    <w:p w14:paraId="180CECAA"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Commission notes the European </w:t>
      </w:r>
      <w:r>
        <w:rPr>
          <w:rFonts w:ascii="Times New Roman" w:hAnsi="Times New Roman"/>
          <w:bCs/>
          <w:szCs w:val="24"/>
          <w:lang w:val="en-IE"/>
        </w:rPr>
        <w:t>P</w:t>
      </w:r>
      <w:r w:rsidRPr="00B90D87">
        <w:rPr>
          <w:rFonts w:ascii="Times New Roman" w:hAnsi="Times New Roman"/>
          <w:bCs/>
          <w:szCs w:val="24"/>
          <w:lang w:val="en-IE"/>
        </w:rPr>
        <w:t>arliament’s calls for a permanent market investigation mechanism to be triggered automatically when certain conditions are met (</w:t>
      </w:r>
      <w:r w:rsidRPr="00B90D87">
        <w:rPr>
          <w:rFonts w:ascii="Times New Roman" w:hAnsi="Times New Roman"/>
          <w:b/>
          <w:szCs w:val="24"/>
          <w:lang w:val="en-IE"/>
        </w:rPr>
        <w:t>paragraph 20</w:t>
      </w:r>
      <w:r w:rsidRPr="00B90D87">
        <w:rPr>
          <w:rFonts w:ascii="Times New Roman" w:hAnsi="Times New Roman"/>
          <w:bCs/>
          <w:szCs w:val="24"/>
          <w:lang w:val="en-IE"/>
        </w:rPr>
        <w:t>).</w:t>
      </w:r>
    </w:p>
    <w:p w14:paraId="42DFFD2A"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The Commission considers that the current tools it has at its disposal as regards competition enforcement a</w:t>
      </w:r>
      <w:r>
        <w:rPr>
          <w:rFonts w:ascii="Times New Roman" w:hAnsi="Times New Roman"/>
          <w:bCs/>
          <w:szCs w:val="24"/>
          <w:lang w:val="en-IE"/>
        </w:rPr>
        <w:t xml:space="preserve">llow </w:t>
      </w:r>
      <w:r w:rsidRPr="00B90D87">
        <w:rPr>
          <w:rFonts w:ascii="Times New Roman" w:hAnsi="Times New Roman"/>
          <w:bCs/>
          <w:szCs w:val="24"/>
          <w:lang w:val="en-IE"/>
        </w:rPr>
        <w:t>to handle such cases.</w:t>
      </w:r>
      <w:r>
        <w:rPr>
          <w:rFonts w:ascii="Times New Roman" w:hAnsi="Times New Roman"/>
          <w:bCs/>
          <w:szCs w:val="24"/>
          <w:lang w:val="en-IE"/>
        </w:rPr>
        <w:t xml:space="preserve"> T</w:t>
      </w:r>
      <w:r w:rsidRPr="00B90D87">
        <w:rPr>
          <w:rFonts w:ascii="Times New Roman" w:hAnsi="Times New Roman"/>
          <w:bCs/>
          <w:szCs w:val="24"/>
          <w:lang w:val="en-IE"/>
        </w:rPr>
        <w:t>he Commission will not hesitate to protect consumers by investigating cases in which price increases might be caused by anti</w:t>
      </w:r>
      <w:r>
        <w:rPr>
          <w:rFonts w:ascii="Times New Roman" w:hAnsi="Times New Roman"/>
          <w:bCs/>
          <w:szCs w:val="24"/>
          <w:lang w:val="en-IE"/>
        </w:rPr>
        <w:t>-</w:t>
      </w:r>
      <w:r w:rsidRPr="00B90D87">
        <w:rPr>
          <w:rFonts w:ascii="Times New Roman" w:hAnsi="Times New Roman"/>
          <w:bCs/>
          <w:szCs w:val="24"/>
          <w:lang w:val="en-IE"/>
        </w:rPr>
        <w:t>competitive practices.</w:t>
      </w:r>
    </w:p>
    <w:p w14:paraId="26001212" w14:textId="77777777" w:rsidR="00D376F6" w:rsidRPr="00B90D87" w:rsidRDefault="00D376F6" w:rsidP="00D376F6">
      <w:pPr>
        <w:keepNext/>
        <w:keepLines/>
        <w:spacing w:after="120"/>
        <w:rPr>
          <w:rFonts w:ascii="Times New Roman" w:hAnsi="Times New Roman"/>
          <w:b/>
          <w:bCs/>
          <w:i/>
          <w:iCs/>
          <w:szCs w:val="24"/>
          <w:lang w:val="en-IE"/>
        </w:rPr>
      </w:pPr>
      <w:r w:rsidRPr="00B90D87">
        <w:rPr>
          <w:rFonts w:ascii="Times New Roman" w:hAnsi="Times New Roman"/>
          <w:b/>
          <w:bCs/>
          <w:i/>
          <w:iCs/>
          <w:szCs w:val="24"/>
          <w:lang w:val="en-IE"/>
        </w:rPr>
        <w:lastRenderedPageBreak/>
        <w:t>Merger control</w:t>
      </w:r>
    </w:p>
    <w:p w14:paraId="6BC1FFE6" w14:textId="77777777" w:rsidR="00D376F6" w:rsidRPr="00B90D87" w:rsidRDefault="00D376F6" w:rsidP="00D376F6">
      <w:pPr>
        <w:keepNext/>
        <w:keepLines/>
        <w:spacing w:after="120"/>
        <w:rPr>
          <w:rFonts w:ascii="Times New Roman" w:hAnsi="Times New Roman"/>
          <w:szCs w:val="24"/>
          <w:lang w:val="en-IE"/>
        </w:rPr>
      </w:pPr>
      <w:r w:rsidRPr="7BF0A77A">
        <w:rPr>
          <w:rFonts w:ascii="Times New Roman" w:hAnsi="Times New Roman"/>
          <w:szCs w:val="24"/>
          <w:lang w:val="en-IE"/>
        </w:rPr>
        <w:t xml:space="preserve">The Commission notes the European Parliament’s emphasis to take into account non-price considerations when assessing the impact of a transaction on competition, including privacy </w:t>
      </w:r>
      <w:r w:rsidRPr="7BF0A77A">
        <w:rPr>
          <w:rFonts w:ascii="Times New Roman" w:hAnsi="Times New Roman"/>
          <w:b/>
          <w:bCs/>
          <w:szCs w:val="24"/>
          <w:lang w:val="en-IE"/>
        </w:rPr>
        <w:t>(paragraph 21)</w:t>
      </w:r>
      <w:r w:rsidRPr="7BF0A77A">
        <w:rPr>
          <w:rFonts w:ascii="Times New Roman" w:hAnsi="Times New Roman"/>
          <w:szCs w:val="24"/>
          <w:lang w:val="en-IE"/>
        </w:rPr>
        <w:t>.</w:t>
      </w:r>
    </w:p>
    <w:p w14:paraId="0C82FFB6"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recalls that in cases where non-price parameters of competition, such as innovation and quality in different forms are relevant, these are </w:t>
      </w:r>
      <w:r>
        <w:rPr>
          <w:rFonts w:ascii="Times New Roman" w:hAnsi="Times New Roman"/>
          <w:szCs w:val="24"/>
        </w:rPr>
        <w:t>considered</w:t>
      </w:r>
      <w:r w:rsidRPr="00B90D87">
        <w:rPr>
          <w:rFonts w:ascii="Times New Roman" w:hAnsi="Times New Roman"/>
          <w:szCs w:val="24"/>
          <w:lang w:val="en-IE"/>
        </w:rPr>
        <w:t xml:space="preserve"> when assessing the </w:t>
      </w:r>
      <w:r>
        <w:rPr>
          <w:rFonts w:ascii="Times New Roman" w:hAnsi="Times New Roman"/>
          <w:szCs w:val="24"/>
          <w:lang w:val="en-IE"/>
        </w:rPr>
        <w:t xml:space="preserve">effects </w:t>
      </w:r>
      <w:r w:rsidRPr="00B90D87">
        <w:rPr>
          <w:rFonts w:ascii="Times New Roman" w:hAnsi="Times New Roman"/>
          <w:szCs w:val="24"/>
          <w:lang w:val="en-IE"/>
        </w:rPr>
        <w:t>of the merger. To the extent privacy is a parameter of competition, it becomes part of the Commission’s assessment on the effects of a transaction. Moreover, the Commission in the context of merger review also takes into account the applicable regulatory framework, including privacy laws, when assessing the likely market behaviour of the combined entity post-merger.</w:t>
      </w:r>
    </w:p>
    <w:p w14:paraId="1898A4FD"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The Commission notes that the European Parliament considers that current jurisdictional thresholds of the EU Merger Regulation</w:t>
      </w:r>
      <w:r>
        <w:rPr>
          <w:rStyle w:val="FootnoteReference"/>
          <w:szCs w:val="24"/>
          <w:lang w:val="en-IE"/>
        </w:rPr>
        <w:footnoteReference w:id="9"/>
      </w:r>
      <w:r w:rsidRPr="00B90D87">
        <w:rPr>
          <w:rFonts w:ascii="Times New Roman" w:hAnsi="Times New Roman"/>
          <w:szCs w:val="24"/>
          <w:lang w:val="en-IE"/>
        </w:rPr>
        <w:t xml:space="preserve"> are not fit for the digital economy </w:t>
      </w:r>
      <w:r w:rsidRPr="00B90D87">
        <w:rPr>
          <w:rFonts w:ascii="Times New Roman" w:hAnsi="Times New Roman"/>
          <w:b/>
          <w:bCs/>
          <w:szCs w:val="24"/>
          <w:lang w:val="en-IE"/>
        </w:rPr>
        <w:t>(paragraph 21)</w:t>
      </w:r>
      <w:r w:rsidRPr="00B90D87">
        <w:rPr>
          <w:rFonts w:ascii="Times New Roman" w:hAnsi="Times New Roman"/>
          <w:szCs w:val="24"/>
          <w:lang w:val="en-IE"/>
        </w:rPr>
        <w:t>.</w:t>
      </w:r>
    </w:p>
    <w:p w14:paraId="32FE3668"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The Commission considers that its recalibrated approach to Article 22 of the EU Merger Regulation is a targeted and proportionate tool to address any competition concerns raised by below-threshold transactions</w:t>
      </w:r>
      <w:r>
        <w:rPr>
          <w:rStyle w:val="FootnoteReference"/>
          <w:szCs w:val="24"/>
          <w:lang w:val="en-IE"/>
        </w:rPr>
        <w:footnoteReference w:id="10"/>
      </w:r>
      <w:r w:rsidRPr="00B90D87">
        <w:rPr>
          <w:rFonts w:ascii="Times New Roman" w:hAnsi="Times New Roman"/>
          <w:szCs w:val="24"/>
          <w:lang w:val="en-IE"/>
        </w:rPr>
        <w:t>.</w:t>
      </w:r>
      <w:r w:rsidRPr="00D242C3">
        <w:rPr>
          <w:rFonts w:ascii="Times New Roman" w:hAnsi="Times New Roman"/>
          <w:szCs w:val="24"/>
          <w:lang w:val="en-IE"/>
        </w:rPr>
        <w:t xml:space="preserve"> </w:t>
      </w:r>
      <w:r>
        <w:rPr>
          <w:rFonts w:ascii="Times New Roman" w:hAnsi="Times New Roman"/>
          <w:szCs w:val="24"/>
          <w:lang w:val="en-IE"/>
        </w:rPr>
        <w:t>Moreover</w:t>
      </w:r>
      <w:r w:rsidRPr="00B90D87">
        <w:rPr>
          <w:rFonts w:ascii="Times New Roman" w:hAnsi="Times New Roman"/>
          <w:szCs w:val="24"/>
          <w:lang w:val="en-IE"/>
        </w:rPr>
        <w:t>,</w:t>
      </w:r>
      <w:r>
        <w:rPr>
          <w:rFonts w:ascii="Times New Roman" w:hAnsi="Times New Roman"/>
          <w:szCs w:val="24"/>
          <w:lang w:val="en-IE"/>
        </w:rPr>
        <w:t xml:space="preserve"> it points out that</w:t>
      </w:r>
      <w:r w:rsidRPr="00B90D87">
        <w:rPr>
          <w:rFonts w:ascii="Times New Roman" w:hAnsi="Times New Roman"/>
          <w:szCs w:val="24"/>
          <w:lang w:val="en-IE"/>
        </w:rPr>
        <w:t xml:space="preserve"> the </w:t>
      </w:r>
      <w:r w:rsidRPr="00B90D87">
        <w:rPr>
          <w:rFonts w:ascii="Times New Roman" w:hAnsi="Times New Roman"/>
          <w:i/>
          <w:iCs/>
          <w:szCs w:val="24"/>
          <w:lang w:val="en-IE"/>
        </w:rPr>
        <w:t>Illumina/Grail</w:t>
      </w:r>
      <w:r w:rsidRPr="00B90D87">
        <w:rPr>
          <w:rFonts w:ascii="Times New Roman" w:hAnsi="Times New Roman"/>
          <w:szCs w:val="24"/>
          <w:lang w:val="en-IE"/>
        </w:rPr>
        <w:t xml:space="preserve"> transaction would not have been notifiable under the thresholds of any of the EU Member States, not even those with value-based thresholds, and yet it merited review.</w:t>
      </w:r>
    </w:p>
    <w:p w14:paraId="5D7A0BF8"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takes note of the European Parliament’s call </w:t>
      </w:r>
      <w:r>
        <w:rPr>
          <w:rFonts w:ascii="Times New Roman" w:hAnsi="Times New Roman"/>
          <w:szCs w:val="24"/>
          <w:lang w:val="en-IE"/>
        </w:rPr>
        <w:t>to</w:t>
      </w:r>
      <w:r w:rsidRPr="00B90D87">
        <w:rPr>
          <w:rFonts w:ascii="Times New Roman" w:hAnsi="Times New Roman"/>
          <w:szCs w:val="24"/>
          <w:lang w:val="en-IE"/>
        </w:rPr>
        <w:t xml:space="preserve"> introduc</w:t>
      </w:r>
      <w:r>
        <w:rPr>
          <w:rFonts w:ascii="Times New Roman" w:hAnsi="Times New Roman"/>
          <w:szCs w:val="24"/>
          <w:lang w:val="en-IE"/>
        </w:rPr>
        <w:t>e</w:t>
      </w:r>
      <w:r w:rsidRPr="00B90D87">
        <w:rPr>
          <w:rFonts w:ascii="Times New Roman" w:hAnsi="Times New Roman"/>
          <w:szCs w:val="24"/>
          <w:lang w:val="en-IE"/>
        </w:rPr>
        <w:t xml:space="preserve"> a rebuttable presumption concerning the competitive effects of concentrations in certain sectors or certain market players </w:t>
      </w:r>
      <w:r w:rsidRPr="00B90D87">
        <w:rPr>
          <w:rFonts w:ascii="Times New Roman" w:hAnsi="Times New Roman"/>
          <w:b/>
          <w:bCs/>
          <w:szCs w:val="24"/>
          <w:lang w:val="en-IE"/>
        </w:rPr>
        <w:t>(paragraph 22)</w:t>
      </w:r>
      <w:r w:rsidRPr="00B90D87">
        <w:rPr>
          <w:rFonts w:ascii="Times New Roman" w:hAnsi="Times New Roman"/>
          <w:szCs w:val="24"/>
          <w:lang w:val="en-IE"/>
        </w:rPr>
        <w:t>.</w:t>
      </w:r>
    </w:p>
    <w:p w14:paraId="2E2A2148"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w:t>
      </w:r>
      <w:r>
        <w:rPr>
          <w:rFonts w:ascii="Times New Roman" w:hAnsi="Times New Roman"/>
          <w:szCs w:val="24"/>
          <w:lang w:val="en-IE"/>
        </w:rPr>
        <w:t xml:space="preserve">recalls that </w:t>
      </w:r>
      <w:r w:rsidRPr="00B90D87">
        <w:rPr>
          <w:rFonts w:ascii="Times New Roman" w:hAnsi="Times New Roman"/>
          <w:szCs w:val="24"/>
          <w:lang w:val="en-IE"/>
        </w:rPr>
        <w:t>there are already certain presumptions in EU law that are relevant in the context of mergers, such as the presumption of dominance for market shares above 50%, which moreover apply across sectors and market participants in an indiscriminate and objective fashion.</w:t>
      </w:r>
    </w:p>
    <w:p w14:paraId="214B881F"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European Parliament also calls for the Commission to be given the possibility to intervene on ‘non-competitive grounds’ </w:t>
      </w:r>
      <w:r w:rsidRPr="00B90D87">
        <w:rPr>
          <w:rFonts w:ascii="Times New Roman" w:hAnsi="Times New Roman"/>
          <w:b/>
          <w:bCs/>
          <w:szCs w:val="24"/>
          <w:lang w:val="en-IE"/>
        </w:rPr>
        <w:t>(paragraph 22)</w:t>
      </w:r>
      <w:r w:rsidRPr="00B90D87">
        <w:rPr>
          <w:rFonts w:ascii="Times New Roman" w:hAnsi="Times New Roman"/>
          <w:szCs w:val="24"/>
          <w:lang w:val="en-IE"/>
        </w:rPr>
        <w:t>.</w:t>
      </w:r>
    </w:p>
    <w:p w14:paraId="69B1D33E" w14:textId="77777777" w:rsidR="00D376F6" w:rsidRPr="00B90D87" w:rsidRDefault="00D376F6" w:rsidP="00D376F6">
      <w:pPr>
        <w:spacing w:after="120"/>
        <w:rPr>
          <w:rFonts w:ascii="Times New Roman" w:hAnsi="Times New Roman"/>
          <w:szCs w:val="24"/>
          <w:lang w:val="en-IE"/>
        </w:rPr>
      </w:pPr>
      <w:r>
        <w:rPr>
          <w:rFonts w:ascii="Times New Roman" w:hAnsi="Times New Roman"/>
          <w:szCs w:val="24"/>
        </w:rPr>
        <w:t>In its investigations, t</w:t>
      </w:r>
      <w:r w:rsidRPr="002B621D">
        <w:rPr>
          <w:rFonts w:ascii="Times New Roman" w:hAnsi="Times New Roman"/>
          <w:szCs w:val="24"/>
          <w:lang w:val="en-IE"/>
        </w:rPr>
        <w:t xml:space="preserve">he Commission takes into account all </w:t>
      </w:r>
      <w:r>
        <w:rPr>
          <w:rFonts w:ascii="Times New Roman" w:hAnsi="Times New Roman"/>
          <w:szCs w:val="24"/>
        </w:rPr>
        <w:t xml:space="preserve">relevant </w:t>
      </w:r>
      <w:r w:rsidRPr="002B621D">
        <w:rPr>
          <w:rFonts w:ascii="Times New Roman" w:hAnsi="Times New Roman"/>
          <w:szCs w:val="24"/>
          <w:lang w:val="en-IE"/>
        </w:rPr>
        <w:t>parameters of competition</w:t>
      </w:r>
      <w:r>
        <w:rPr>
          <w:rFonts w:ascii="Times New Roman" w:hAnsi="Times New Roman"/>
          <w:szCs w:val="24"/>
        </w:rPr>
        <w:t>.</w:t>
      </w:r>
      <w:r w:rsidRPr="002B621D">
        <w:rPr>
          <w:rFonts w:ascii="Times New Roman" w:hAnsi="Times New Roman"/>
          <w:szCs w:val="24"/>
          <w:lang w:val="en-IE"/>
        </w:rPr>
        <w:t xml:space="preserve"> In addition, considerations such as sustainability</w:t>
      </w:r>
      <w:r w:rsidRPr="00B90D87">
        <w:rPr>
          <w:rFonts w:ascii="Times New Roman" w:hAnsi="Times New Roman"/>
          <w:szCs w:val="24"/>
          <w:lang w:val="en-IE"/>
        </w:rPr>
        <w:t xml:space="preserve"> are being factored in in other ways </w:t>
      </w:r>
      <w:r>
        <w:rPr>
          <w:rFonts w:ascii="Times New Roman" w:hAnsi="Times New Roman"/>
          <w:szCs w:val="24"/>
        </w:rPr>
        <w:t xml:space="preserve">depending on </w:t>
      </w:r>
      <w:r w:rsidRPr="00B90D87">
        <w:rPr>
          <w:rFonts w:ascii="Times New Roman" w:hAnsi="Times New Roman"/>
          <w:szCs w:val="24"/>
          <w:lang w:val="en-IE"/>
        </w:rPr>
        <w:t xml:space="preserve">market </w:t>
      </w:r>
      <w:r>
        <w:rPr>
          <w:rFonts w:ascii="Times New Roman" w:hAnsi="Times New Roman"/>
          <w:szCs w:val="24"/>
        </w:rPr>
        <w:t>conditions</w:t>
      </w:r>
      <w:r w:rsidRPr="00B90D87">
        <w:rPr>
          <w:rFonts w:ascii="Times New Roman" w:hAnsi="Times New Roman"/>
          <w:szCs w:val="24"/>
          <w:lang w:val="en-IE"/>
        </w:rPr>
        <w:t xml:space="preserve">, evolutions and trends, </w:t>
      </w:r>
      <w:r>
        <w:rPr>
          <w:rFonts w:ascii="Times New Roman" w:hAnsi="Times New Roman"/>
          <w:szCs w:val="24"/>
        </w:rPr>
        <w:t xml:space="preserve">for example </w:t>
      </w:r>
      <w:r w:rsidRPr="00B90D87">
        <w:rPr>
          <w:rFonts w:ascii="Times New Roman" w:hAnsi="Times New Roman"/>
          <w:szCs w:val="24"/>
          <w:lang w:val="en-IE"/>
        </w:rPr>
        <w:t xml:space="preserve">consumer preferences </w:t>
      </w:r>
      <w:r>
        <w:rPr>
          <w:rFonts w:ascii="Times New Roman" w:hAnsi="Times New Roman"/>
          <w:szCs w:val="24"/>
        </w:rPr>
        <w:t xml:space="preserve">when defining the relevant market </w:t>
      </w:r>
      <w:r w:rsidRPr="00B90D87">
        <w:rPr>
          <w:rFonts w:ascii="Times New Roman" w:hAnsi="Times New Roman"/>
          <w:szCs w:val="24"/>
          <w:lang w:val="en-IE"/>
        </w:rPr>
        <w:t>or in the assessment of remedies.</w:t>
      </w:r>
    </w:p>
    <w:p w14:paraId="6601E463"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notes the European Parliament’s call to revise the merger guidelines to adopt a more comprehensive assessment of efficiencies in merger control </w:t>
      </w:r>
      <w:r w:rsidRPr="00B90D87">
        <w:rPr>
          <w:rFonts w:ascii="Times New Roman" w:hAnsi="Times New Roman"/>
          <w:b/>
          <w:bCs/>
          <w:szCs w:val="24"/>
          <w:lang w:val="en-IE"/>
        </w:rPr>
        <w:t>(paragraph 22)</w:t>
      </w:r>
      <w:r w:rsidRPr="00B90D87">
        <w:rPr>
          <w:rFonts w:ascii="Times New Roman" w:hAnsi="Times New Roman"/>
          <w:szCs w:val="24"/>
          <w:lang w:val="en-IE"/>
        </w:rPr>
        <w:t>.</w:t>
      </w:r>
    </w:p>
    <w:p w14:paraId="71A39542"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The Commission recalls that the assessment of efficiencies has been an integral part of the analysis in merger control cases since the adoption of the EU Merger Regulation 2004. The Commission’s Horizontal and Non-Horizontal Merger Guidelines</w:t>
      </w:r>
      <w:r>
        <w:rPr>
          <w:rStyle w:val="FootnoteReference"/>
          <w:szCs w:val="24"/>
          <w:lang w:val="en-IE"/>
        </w:rPr>
        <w:footnoteReference w:id="11"/>
      </w:r>
      <w:r w:rsidRPr="00B90D87">
        <w:rPr>
          <w:rFonts w:ascii="Times New Roman" w:hAnsi="Times New Roman"/>
          <w:szCs w:val="24"/>
          <w:lang w:val="en-IE"/>
        </w:rPr>
        <w:t xml:space="preserve"> adopted in 2004 and 2008 explain that the Commission may clear an otherwise anti-</w:t>
      </w:r>
      <w:r w:rsidRPr="00B7387A">
        <w:rPr>
          <w:rFonts w:ascii="Times New Roman" w:hAnsi="Times New Roman"/>
          <w:szCs w:val="24"/>
          <w:lang w:val="en-IE"/>
        </w:rPr>
        <w:t xml:space="preserve">competitive merger, if the efficiencies </w:t>
      </w:r>
      <w:r w:rsidRPr="00B7387A">
        <w:rPr>
          <w:rFonts w:ascii="Times New Roman" w:hAnsi="Times New Roman"/>
          <w:szCs w:val="24"/>
          <w:lang w:val="en-IE"/>
        </w:rPr>
        <w:lastRenderedPageBreak/>
        <w:t>achieved are larger than the harm resulting from the merger. Since the Commission’s</w:t>
      </w:r>
      <w:r w:rsidRPr="00B90D87">
        <w:rPr>
          <w:rFonts w:ascii="Times New Roman" w:hAnsi="Times New Roman"/>
          <w:szCs w:val="24"/>
          <w:lang w:val="en-IE"/>
        </w:rPr>
        <w:t xml:space="preserve"> standards have been explicitly validated by the Courts of the European Union, the Commission currently sees no need to revise the merger guidelines with respect to efficiencies.</w:t>
      </w:r>
    </w:p>
    <w:p w14:paraId="2BA20960"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notes the European Parliament’s call to include review clauses in its merger decisions approving a concentration </w:t>
      </w:r>
      <w:r w:rsidRPr="00B90D87">
        <w:rPr>
          <w:rFonts w:ascii="Times New Roman" w:hAnsi="Times New Roman"/>
          <w:b/>
          <w:bCs/>
          <w:szCs w:val="24"/>
          <w:lang w:val="en-IE"/>
        </w:rPr>
        <w:t>(paragraph 22)</w:t>
      </w:r>
      <w:r w:rsidRPr="00B90D87">
        <w:rPr>
          <w:rFonts w:ascii="Times New Roman" w:hAnsi="Times New Roman"/>
          <w:szCs w:val="24"/>
          <w:lang w:val="en-IE"/>
        </w:rPr>
        <w:t>.</w:t>
      </w:r>
    </w:p>
    <w:p w14:paraId="024E8038"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Unlike in some other jurisdictions, the Commission is required to produce a published reasoned decision, which is contestable in court, irrespective of whether the Commission decided to approve or prohibit a transaction. Introducing review clauses into approval decisions could </w:t>
      </w:r>
      <w:r>
        <w:rPr>
          <w:rFonts w:ascii="Times New Roman" w:hAnsi="Times New Roman"/>
          <w:szCs w:val="24"/>
          <w:lang w:val="en-IE"/>
        </w:rPr>
        <w:t>therefore</w:t>
      </w:r>
      <w:r w:rsidRPr="00B90D87">
        <w:rPr>
          <w:rFonts w:ascii="Times New Roman" w:hAnsi="Times New Roman"/>
          <w:szCs w:val="24"/>
          <w:lang w:val="en-IE"/>
        </w:rPr>
        <w:t xml:space="preserve"> raise legitimate concerns of legal certainty and predictability for merging parties.</w:t>
      </w:r>
    </w:p>
    <w:p w14:paraId="18999DBE"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notes the European Parliament’s call to make full use of digitalisation to shorten the time needed for examining a concentration </w:t>
      </w:r>
      <w:r w:rsidRPr="00B90D87">
        <w:rPr>
          <w:rFonts w:ascii="Times New Roman" w:hAnsi="Times New Roman"/>
          <w:b/>
          <w:bCs/>
          <w:szCs w:val="24"/>
          <w:lang w:val="en-IE"/>
        </w:rPr>
        <w:t>(paragraph 24)</w:t>
      </w:r>
      <w:r w:rsidRPr="00B90D87">
        <w:rPr>
          <w:rFonts w:ascii="Times New Roman" w:hAnsi="Times New Roman"/>
          <w:szCs w:val="24"/>
          <w:lang w:val="en-IE"/>
        </w:rPr>
        <w:t>.</w:t>
      </w:r>
    </w:p>
    <w:p w14:paraId="58453ABF"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In this context, the Commission would like to recall that on 20 April 2023, it adopted a package to further simplify its merger control procedures with the new rules taking effect as of 1</w:t>
      </w:r>
      <w:r>
        <w:rPr>
          <w:rFonts w:ascii="Times New Roman" w:hAnsi="Times New Roman"/>
          <w:szCs w:val="24"/>
          <w:lang w:val="en-IE"/>
        </w:rPr>
        <w:t> </w:t>
      </w:r>
      <w:r w:rsidRPr="00B90D87">
        <w:rPr>
          <w:rFonts w:ascii="Times New Roman" w:hAnsi="Times New Roman"/>
          <w:szCs w:val="24"/>
          <w:lang w:val="en-IE"/>
        </w:rPr>
        <w:t xml:space="preserve">September 2023. The Merger Simplification Package will streamline the review procedure for simplified cases, fully digitalise merger notifications and reduce administrative burden on both businesses and the Commission alike in cases that are unlikely to raise competition concerns. </w:t>
      </w:r>
      <w:r>
        <w:rPr>
          <w:rFonts w:ascii="Times New Roman" w:hAnsi="Times New Roman"/>
          <w:szCs w:val="24"/>
          <w:lang w:val="en-IE"/>
        </w:rPr>
        <w:t xml:space="preserve">Furthermore, </w:t>
      </w:r>
      <w:r w:rsidRPr="00B90D87">
        <w:rPr>
          <w:rFonts w:ascii="Times New Roman" w:hAnsi="Times New Roman"/>
          <w:szCs w:val="24"/>
          <w:lang w:val="en-IE"/>
        </w:rPr>
        <w:t xml:space="preserve">the Commission </w:t>
      </w:r>
      <w:r>
        <w:rPr>
          <w:rFonts w:ascii="Times New Roman" w:hAnsi="Times New Roman"/>
          <w:szCs w:val="24"/>
          <w:lang w:val="en-IE"/>
        </w:rPr>
        <w:t>also</w:t>
      </w:r>
      <w:r w:rsidRPr="00B90D87">
        <w:rPr>
          <w:rFonts w:ascii="Times New Roman" w:hAnsi="Times New Roman"/>
          <w:szCs w:val="24"/>
          <w:lang w:val="en-IE"/>
        </w:rPr>
        <w:t xml:space="preserve"> recall</w:t>
      </w:r>
      <w:r>
        <w:rPr>
          <w:rFonts w:ascii="Times New Roman" w:hAnsi="Times New Roman"/>
          <w:szCs w:val="24"/>
          <w:lang w:val="en-IE"/>
        </w:rPr>
        <w:t>s</w:t>
      </w:r>
      <w:r w:rsidRPr="00B90D87">
        <w:rPr>
          <w:rFonts w:ascii="Times New Roman" w:hAnsi="Times New Roman"/>
          <w:szCs w:val="24"/>
          <w:lang w:val="en-IE"/>
        </w:rPr>
        <w:t xml:space="preserve"> that it can </w:t>
      </w:r>
      <w:r>
        <w:rPr>
          <w:rFonts w:ascii="Times New Roman" w:hAnsi="Times New Roman"/>
          <w:szCs w:val="24"/>
          <w:lang w:val="en-IE"/>
        </w:rPr>
        <w:t xml:space="preserve">already </w:t>
      </w:r>
      <w:r w:rsidRPr="00B90D87">
        <w:rPr>
          <w:rFonts w:ascii="Times New Roman" w:hAnsi="Times New Roman"/>
          <w:szCs w:val="24"/>
          <w:lang w:val="en-IE"/>
        </w:rPr>
        <w:t xml:space="preserve">be very challenging to complete reviews within </w:t>
      </w:r>
      <w:r>
        <w:rPr>
          <w:rFonts w:ascii="Times New Roman" w:hAnsi="Times New Roman"/>
          <w:szCs w:val="24"/>
          <w:lang w:val="en-IE"/>
        </w:rPr>
        <w:t>these</w:t>
      </w:r>
      <w:r w:rsidRPr="00B90D87">
        <w:rPr>
          <w:rFonts w:ascii="Times New Roman" w:hAnsi="Times New Roman"/>
          <w:szCs w:val="24"/>
          <w:lang w:val="en-IE"/>
        </w:rPr>
        <w:t xml:space="preserve"> strict legal deadlines and that further shortening these timelines </w:t>
      </w:r>
      <w:r>
        <w:rPr>
          <w:rFonts w:ascii="Times New Roman" w:hAnsi="Times New Roman"/>
          <w:szCs w:val="24"/>
          <w:lang w:val="en-IE"/>
        </w:rPr>
        <w:t>might put at risk the quality of investigations to the ultimate detriment of EU citizens and businesses</w:t>
      </w:r>
      <w:r w:rsidRPr="00B90D87">
        <w:rPr>
          <w:rFonts w:ascii="Times New Roman" w:hAnsi="Times New Roman"/>
          <w:szCs w:val="24"/>
          <w:lang w:val="en-IE"/>
        </w:rPr>
        <w:t>.</w:t>
      </w:r>
    </w:p>
    <w:p w14:paraId="72EB8F1F"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The Commission notes the European Parliament’s call to assess how EU competition principles have affected the supply of services of general economic interest (SGEI) in view of the forthcoming expir</w:t>
      </w:r>
      <w:r>
        <w:rPr>
          <w:rFonts w:ascii="Times New Roman" w:hAnsi="Times New Roman"/>
          <w:szCs w:val="24"/>
          <w:lang w:val="en-IE"/>
        </w:rPr>
        <w:t>y</w:t>
      </w:r>
      <w:r w:rsidRPr="00B90D87">
        <w:rPr>
          <w:rFonts w:ascii="Times New Roman" w:hAnsi="Times New Roman"/>
          <w:szCs w:val="24"/>
          <w:lang w:val="en-IE"/>
        </w:rPr>
        <w:t xml:space="preserve"> of the current SGEI </w:t>
      </w:r>
      <w:r w:rsidRPr="00B90D87">
        <w:rPr>
          <w:rFonts w:ascii="Times New Roman" w:hAnsi="Times New Roman"/>
          <w:i/>
          <w:iCs/>
          <w:szCs w:val="24"/>
          <w:lang w:val="en-IE"/>
        </w:rPr>
        <w:t>de minimis</w:t>
      </w:r>
      <w:r w:rsidRPr="00B90D87">
        <w:rPr>
          <w:rFonts w:ascii="Times New Roman" w:hAnsi="Times New Roman"/>
          <w:szCs w:val="24"/>
          <w:lang w:val="en-IE"/>
        </w:rPr>
        <w:t xml:space="preserve"> Regulation at the end of 2023 </w:t>
      </w:r>
      <w:r w:rsidRPr="00B90D87">
        <w:rPr>
          <w:rFonts w:ascii="Times New Roman" w:hAnsi="Times New Roman"/>
          <w:b/>
          <w:bCs/>
          <w:szCs w:val="24"/>
          <w:lang w:val="en-IE"/>
        </w:rPr>
        <w:t>(paragraph 25)</w:t>
      </w:r>
      <w:r w:rsidRPr="00B90D87">
        <w:rPr>
          <w:rFonts w:ascii="Times New Roman" w:hAnsi="Times New Roman"/>
          <w:szCs w:val="24"/>
          <w:lang w:val="en-IE"/>
        </w:rPr>
        <w:t>.</w:t>
      </w:r>
    </w:p>
    <w:p w14:paraId="51DE7B04"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recognizes the special nature and importance </w:t>
      </w:r>
      <w:r>
        <w:rPr>
          <w:rFonts w:ascii="Times New Roman" w:hAnsi="Times New Roman"/>
          <w:szCs w:val="24"/>
          <w:lang w:val="en-IE"/>
        </w:rPr>
        <w:t>o</w:t>
      </w:r>
      <w:r w:rsidRPr="00B90D87">
        <w:rPr>
          <w:rFonts w:ascii="Times New Roman" w:hAnsi="Times New Roman"/>
          <w:szCs w:val="24"/>
          <w:lang w:val="en-IE"/>
        </w:rPr>
        <w:t xml:space="preserve">f SGEI for citizens and society. </w:t>
      </w:r>
      <w:r>
        <w:rPr>
          <w:rFonts w:ascii="Times New Roman" w:hAnsi="Times New Roman"/>
          <w:szCs w:val="24"/>
          <w:lang w:val="en-IE"/>
        </w:rPr>
        <w:t>F</w:t>
      </w:r>
      <w:r w:rsidRPr="00B90D87">
        <w:rPr>
          <w:rFonts w:ascii="Times New Roman" w:hAnsi="Times New Roman"/>
          <w:szCs w:val="24"/>
          <w:lang w:val="en-IE"/>
        </w:rPr>
        <w:t xml:space="preserve">or </w:t>
      </w:r>
      <w:r w:rsidRPr="00CC0A11">
        <w:rPr>
          <w:rFonts w:ascii="Times New Roman" w:hAnsi="Times New Roman"/>
          <w:szCs w:val="24"/>
          <w:lang w:val="en-IE"/>
        </w:rPr>
        <w:t>this reason</w:t>
      </w:r>
      <w:r>
        <w:rPr>
          <w:rFonts w:ascii="Times New Roman" w:hAnsi="Times New Roman"/>
          <w:szCs w:val="24"/>
          <w:lang w:val="en-IE"/>
        </w:rPr>
        <w:t>,</w:t>
      </w:r>
      <w:r w:rsidRPr="00CC0A11">
        <w:rPr>
          <w:rFonts w:ascii="Times New Roman" w:hAnsi="Times New Roman"/>
          <w:szCs w:val="24"/>
          <w:lang w:val="en-IE"/>
        </w:rPr>
        <w:t xml:space="preserve"> specific</w:t>
      </w:r>
      <w:r w:rsidRPr="00B90D87">
        <w:rPr>
          <w:rFonts w:ascii="Times New Roman" w:hAnsi="Times New Roman"/>
          <w:szCs w:val="24"/>
          <w:lang w:val="en-IE"/>
        </w:rPr>
        <w:t xml:space="preserve"> State aid rules apply to SGEI. The review of the rules applicable </w:t>
      </w:r>
      <w:r>
        <w:rPr>
          <w:rFonts w:ascii="Times New Roman" w:hAnsi="Times New Roman"/>
          <w:szCs w:val="24"/>
          <w:lang w:val="en-IE"/>
        </w:rPr>
        <w:t>to</w:t>
      </w:r>
      <w:r w:rsidRPr="00B90D87">
        <w:rPr>
          <w:rFonts w:ascii="Times New Roman" w:hAnsi="Times New Roman"/>
          <w:szCs w:val="24"/>
          <w:lang w:val="en-IE"/>
        </w:rPr>
        <w:t xml:space="preserve"> SGEI in the field of health and social services established that the</w:t>
      </w:r>
      <w:r>
        <w:rPr>
          <w:rFonts w:ascii="Times New Roman" w:hAnsi="Times New Roman"/>
          <w:szCs w:val="24"/>
          <w:lang w:val="en-IE"/>
        </w:rPr>
        <w:t>y</w:t>
      </w:r>
      <w:r w:rsidRPr="00B90D87">
        <w:rPr>
          <w:rFonts w:ascii="Times New Roman" w:hAnsi="Times New Roman"/>
          <w:szCs w:val="24"/>
          <w:lang w:val="en-IE"/>
        </w:rPr>
        <w:t xml:space="preserve"> remain in general fit for purpose, but that further clarification of certain concepts m</w:t>
      </w:r>
      <w:r>
        <w:rPr>
          <w:rFonts w:ascii="Times New Roman" w:hAnsi="Times New Roman"/>
          <w:szCs w:val="24"/>
        </w:rPr>
        <w:t>ay</w:t>
      </w:r>
      <w:r w:rsidRPr="00B90D87">
        <w:rPr>
          <w:rFonts w:ascii="Times New Roman" w:hAnsi="Times New Roman"/>
          <w:szCs w:val="24"/>
          <w:lang w:val="en-IE"/>
        </w:rPr>
        <w:t xml:space="preserve"> be necessary, as well as an increase of the ceiling of the SGEI </w:t>
      </w:r>
      <w:r w:rsidRPr="00B90D87">
        <w:rPr>
          <w:rFonts w:ascii="Times New Roman" w:hAnsi="Times New Roman"/>
          <w:i/>
          <w:iCs/>
          <w:szCs w:val="24"/>
          <w:lang w:val="en-IE"/>
        </w:rPr>
        <w:t>de minimis</w:t>
      </w:r>
      <w:r w:rsidRPr="00B90D87">
        <w:rPr>
          <w:rFonts w:ascii="Times New Roman" w:hAnsi="Times New Roman"/>
          <w:szCs w:val="24"/>
          <w:lang w:val="en-IE"/>
        </w:rPr>
        <w:t xml:space="preserve"> Regulation. </w:t>
      </w:r>
      <w:r>
        <w:rPr>
          <w:rFonts w:ascii="Times New Roman" w:hAnsi="Times New Roman"/>
          <w:szCs w:val="24"/>
          <w:lang w:val="en-IE"/>
        </w:rPr>
        <w:t>The Commission</w:t>
      </w:r>
      <w:r w:rsidRPr="00B90D87">
        <w:rPr>
          <w:rFonts w:ascii="Times New Roman" w:hAnsi="Times New Roman"/>
          <w:szCs w:val="24"/>
          <w:lang w:val="en-IE"/>
        </w:rPr>
        <w:t xml:space="preserve"> </w:t>
      </w:r>
      <w:r>
        <w:rPr>
          <w:rFonts w:ascii="Times New Roman" w:hAnsi="Times New Roman"/>
          <w:szCs w:val="24"/>
          <w:lang w:val="en-IE"/>
        </w:rPr>
        <w:t xml:space="preserve">is currently revising the SGEI </w:t>
      </w:r>
      <w:r w:rsidRPr="00EC7DB4">
        <w:rPr>
          <w:rFonts w:ascii="Times New Roman" w:hAnsi="Times New Roman"/>
          <w:i/>
          <w:iCs/>
          <w:szCs w:val="24"/>
          <w:lang w:val="en-IE"/>
        </w:rPr>
        <w:t>de minimis</w:t>
      </w:r>
      <w:r>
        <w:rPr>
          <w:rFonts w:ascii="Times New Roman" w:hAnsi="Times New Roman"/>
          <w:szCs w:val="24"/>
          <w:lang w:val="en-IE"/>
        </w:rPr>
        <w:t xml:space="preserve"> Regulation, so that the revised rules can enter into force before the expiry of the current regulation at the end of 2023. In this context, the Commission also </w:t>
      </w:r>
      <w:r w:rsidRPr="00B90D87">
        <w:rPr>
          <w:rFonts w:ascii="Times New Roman" w:hAnsi="Times New Roman"/>
          <w:szCs w:val="24"/>
          <w:lang w:val="en-IE"/>
        </w:rPr>
        <w:t xml:space="preserve">launched a public consultation </w:t>
      </w:r>
      <w:r>
        <w:rPr>
          <w:rFonts w:ascii="Times New Roman" w:hAnsi="Times New Roman"/>
          <w:szCs w:val="24"/>
          <w:lang w:val="en-IE"/>
        </w:rPr>
        <w:t xml:space="preserve">of stakeholders </w:t>
      </w:r>
      <w:r w:rsidRPr="00B90D87">
        <w:rPr>
          <w:rFonts w:ascii="Times New Roman" w:hAnsi="Times New Roman"/>
          <w:szCs w:val="24"/>
          <w:lang w:val="en-IE"/>
        </w:rPr>
        <w:t xml:space="preserve">on the draft modified SGEI </w:t>
      </w:r>
      <w:r w:rsidRPr="00B90D87">
        <w:rPr>
          <w:rFonts w:ascii="Times New Roman" w:hAnsi="Times New Roman"/>
          <w:i/>
          <w:iCs/>
          <w:szCs w:val="24"/>
          <w:lang w:val="en-IE"/>
        </w:rPr>
        <w:t>de minimis</w:t>
      </w:r>
      <w:r w:rsidRPr="00B90D87">
        <w:rPr>
          <w:rFonts w:ascii="Times New Roman" w:hAnsi="Times New Roman"/>
          <w:szCs w:val="24"/>
          <w:lang w:val="en-IE"/>
        </w:rPr>
        <w:t xml:space="preserve"> Regulation on 19 April 2023</w:t>
      </w:r>
      <w:r>
        <w:rPr>
          <w:rStyle w:val="FootnoteReference"/>
          <w:szCs w:val="24"/>
          <w:lang w:val="en-IE"/>
        </w:rPr>
        <w:footnoteReference w:id="12"/>
      </w:r>
      <w:r w:rsidRPr="00B90D87">
        <w:rPr>
          <w:rFonts w:ascii="Times New Roman" w:hAnsi="Times New Roman"/>
          <w:szCs w:val="24"/>
          <w:lang w:val="en-IE"/>
        </w:rPr>
        <w:t>.</w:t>
      </w:r>
    </w:p>
    <w:p w14:paraId="5F2231E0" w14:textId="77777777" w:rsidR="00D376F6" w:rsidRPr="00B90D87" w:rsidRDefault="00D376F6" w:rsidP="00D376F6">
      <w:pPr>
        <w:spacing w:after="120"/>
        <w:rPr>
          <w:rFonts w:ascii="Times New Roman" w:hAnsi="Times New Roman"/>
          <w:b/>
          <w:bCs/>
          <w:i/>
          <w:iCs/>
          <w:szCs w:val="24"/>
          <w:lang w:val="en-IE"/>
        </w:rPr>
      </w:pPr>
      <w:r w:rsidRPr="00B90D87">
        <w:rPr>
          <w:rFonts w:ascii="Times New Roman" w:hAnsi="Times New Roman"/>
          <w:b/>
          <w:bCs/>
          <w:i/>
          <w:iCs/>
          <w:szCs w:val="24"/>
          <w:lang w:val="en-IE"/>
        </w:rPr>
        <w:t>Antitrust</w:t>
      </w:r>
    </w:p>
    <w:p w14:paraId="3DE04E05"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The Commission welcomes the European Parliament’s support for the Commission’s efforts to actively take into account under Article 101 TFEU specific labour market issues such as wage fixing an</w:t>
      </w:r>
      <w:r>
        <w:rPr>
          <w:rFonts w:ascii="Times New Roman" w:hAnsi="Times New Roman"/>
          <w:szCs w:val="24"/>
          <w:lang w:val="en-IE"/>
        </w:rPr>
        <w:t>d</w:t>
      </w:r>
      <w:r w:rsidRPr="00B90D87">
        <w:rPr>
          <w:rFonts w:ascii="Times New Roman" w:hAnsi="Times New Roman"/>
          <w:szCs w:val="24"/>
          <w:lang w:val="en-IE"/>
        </w:rPr>
        <w:t xml:space="preserve"> ‘no-poach’ agreements </w:t>
      </w:r>
      <w:r w:rsidRPr="00B90D87">
        <w:rPr>
          <w:rFonts w:ascii="Times New Roman" w:hAnsi="Times New Roman"/>
          <w:b/>
          <w:bCs/>
          <w:szCs w:val="24"/>
          <w:lang w:val="en-IE"/>
        </w:rPr>
        <w:t>(paragraph 26)</w:t>
      </w:r>
      <w:r w:rsidRPr="00B90D87">
        <w:rPr>
          <w:rFonts w:ascii="Times New Roman" w:hAnsi="Times New Roman"/>
          <w:szCs w:val="24"/>
          <w:lang w:val="en-IE"/>
        </w:rPr>
        <w:t>.</w:t>
      </w:r>
    </w:p>
    <w:p w14:paraId="611DE204"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welcomes the support of the Parliament for the Commission’s guidelines on the application of EU competition law to collective agreements, clarifying that it does not prevent solo self-employed workers from engaging in collective bargaining </w:t>
      </w:r>
      <w:r w:rsidRPr="00B90D87">
        <w:rPr>
          <w:rFonts w:ascii="Times New Roman" w:hAnsi="Times New Roman"/>
          <w:b/>
          <w:bCs/>
          <w:szCs w:val="24"/>
          <w:lang w:val="en-IE"/>
        </w:rPr>
        <w:t>(paragraph</w:t>
      </w:r>
      <w:r>
        <w:rPr>
          <w:rFonts w:ascii="Times New Roman" w:hAnsi="Times New Roman"/>
          <w:b/>
          <w:bCs/>
          <w:szCs w:val="24"/>
          <w:lang w:val="en-IE"/>
        </w:rPr>
        <w:t xml:space="preserve"> </w:t>
      </w:r>
      <w:r w:rsidRPr="00B90D87">
        <w:rPr>
          <w:rFonts w:ascii="Times New Roman" w:hAnsi="Times New Roman"/>
          <w:b/>
          <w:bCs/>
          <w:szCs w:val="24"/>
          <w:lang w:val="en-IE"/>
        </w:rPr>
        <w:t>27)</w:t>
      </w:r>
      <w:r w:rsidRPr="00B90D87">
        <w:rPr>
          <w:rFonts w:ascii="Times New Roman" w:hAnsi="Times New Roman"/>
          <w:szCs w:val="24"/>
          <w:lang w:val="en-IE"/>
        </w:rPr>
        <w:t>.</w:t>
      </w:r>
    </w:p>
    <w:p w14:paraId="5274A93D"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lastRenderedPageBreak/>
        <w:t xml:space="preserve">The Commission welcomes the support of the European Parliament regarding the launch of an evaluation of Regulation (EC) No. 1/2003 and Regulation (EC) No. 773/2004 in March 2022 </w:t>
      </w:r>
      <w:r w:rsidRPr="00B90D87">
        <w:rPr>
          <w:rFonts w:ascii="Times New Roman" w:hAnsi="Times New Roman"/>
          <w:b/>
          <w:bCs/>
          <w:szCs w:val="24"/>
          <w:lang w:val="en-IE"/>
        </w:rPr>
        <w:t>(paragraph 28)</w:t>
      </w:r>
      <w:r w:rsidRPr="00B90D87">
        <w:rPr>
          <w:rFonts w:ascii="Times New Roman" w:hAnsi="Times New Roman"/>
          <w:szCs w:val="24"/>
          <w:lang w:val="en-IE"/>
        </w:rPr>
        <w:t>.</w:t>
      </w:r>
    </w:p>
    <w:p w14:paraId="608D77AD"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welcomes the </w:t>
      </w:r>
      <w:r>
        <w:rPr>
          <w:rFonts w:ascii="Times New Roman" w:hAnsi="Times New Roman"/>
          <w:szCs w:val="24"/>
          <w:lang w:val="en-IE"/>
        </w:rPr>
        <w:t>position</w:t>
      </w:r>
      <w:r w:rsidRPr="00B90D87">
        <w:rPr>
          <w:rFonts w:ascii="Times New Roman" w:hAnsi="Times New Roman"/>
          <w:szCs w:val="24"/>
          <w:lang w:val="en-IE"/>
        </w:rPr>
        <w:t xml:space="preserve"> of the European Parliament concerning the existence of a legal basis for structural separation </w:t>
      </w:r>
      <w:r w:rsidRPr="00B90D87">
        <w:rPr>
          <w:rFonts w:ascii="Times New Roman" w:hAnsi="Times New Roman"/>
          <w:b/>
          <w:bCs/>
          <w:szCs w:val="24"/>
          <w:lang w:val="en-IE"/>
        </w:rPr>
        <w:t>(paragraph 29)</w:t>
      </w:r>
      <w:r w:rsidRPr="00B90D87">
        <w:rPr>
          <w:rFonts w:ascii="Times New Roman" w:hAnsi="Times New Roman"/>
          <w:szCs w:val="24"/>
          <w:lang w:val="en-IE"/>
        </w:rPr>
        <w:t>.</w:t>
      </w:r>
    </w:p>
    <w:p w14:paraId="2E3524FB"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considers that the power to impose remedies under Articles 101 and 102 TFEU is essential for the effective application of EU competition law and agrees that structural remedies should be imposed when </w:t>
      </w:r>
      <w:r>
        <w:rPr>
          <w:rFonts w:ascii="Times New Roman" w:hAnsi="Times New Roman"/>
          <w:szCs w:val="24"/>
        </w:rPr>
        <w:t xml:space="preserve">justified by </w:t>
      </w:r>
      <w:r w:rsidRPr="00B90D87">
        <w:rPr>
          <w:rFonts w:ascii="Times New Roman" w:hAnsi="Times New Roman"/>
          <w:szCs w:val="24"/>
          <w:lang w:val="en-IE"/>
        </w:rPr>
        <w:t xml:space="preserve">the specific circumstances </w:t>
      </w:r>
      <w:r>
        <w:rPr>
          <w:rFonts w:ascii="Times New Roman" w:hAnsi="Times New Roman"/>
          <w:szCs w:val="24"/>
        </w:rPr>
        <w:t xml:space="preserve">in </w:t>
      </w:r>
      <w:r w:rsidRPr="00B90D87">
        <w:rPr>
          <w:rFonts w:ascii="Times New Roman" w:hAnsi="Times New Roman"/>
          <w:szCs w:val="24"/>
          <w:lang w:val="en-IE"/>
        </w:rPr>
        <w:t xml:space="preserve">a case </w:t>
      </w:r>
      <w:r>
        <w:rPr>
          <w:rFonts w:ascii="Times New Roman" w:hAnsi="Times New Roman"/>
          <w:szCs w:val="24"/>
        </w:rPr>
        <w:t xml:space="preserve">and </w:t>
      </w:r>
      <w:r w:rsidRPr="00B90D87">
        <w:rPr>
          <w:rFonts w:ascii="Times New Roman" w:hAnsi="Times New Roman"/>
          <w:szCs w:val="24"/>
          <w:lang w:val="en-IE"/>
        </w:rPr>
        <w:t>while comply</w:t>
      </w:r>
      <w:r>
        <w:rPr>
          <w:rFonts w:ascii="Times New Roman" w:hAnsi="Times New Roman"/>
          <w:szCs w:val="24"/>
          <w:lang w:val="en-IE"/>
        </w:rPr>
        <w:t>ing</w:t>
      </w:r>
      <w:r w:rsidRPr="00B90D87">
        <w:rPr>
          <w:rFonts w:ascii="Times New Roman" w:hAnsi="Times New Roman"/>
          <w:szCs w:val="24"/>
          <w:lang w:val="en-IE"/>
        </w:rPr>
        <w:t xml:space="preserve"> with the principle of proportionality.</w:t>
      </w:r>
    </w:p>
    <w:p w14:paraId="47D871B2"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notes the call of the European Parliament to analyse the merits of the legal base for the unbundling of undertakings as a structural remedy </w:t>
      </w:r>
      <w:r w:rsidRPr="00FE378B">
        <w:rPr>
          <w:rFonts w:ascii="Times New Roman" w:hAnsi="Times New Roman"/>
          <w:szCs w:val="24"/>
          <w:lang w:val="en-IE"/>
        </w:rPr>
        <w:t xml:space="preserve">of last resort for antitrust violations </w:t>
      </w:r>
      <w:r w:rsidRPr="00B90D87">
        <w:rPr>
          <w:rFonts w:ascii="Times New Roman" w:hAnsi="Times New Roman"/>
          <w:b/>
          <w:bCs/>
          <w:szCs w:val="24"/>
          <w:lang w:val="en-IE"/>
        </w:rPr>
        <w:t>(paragraph 29)</w:t>
      </w:r>
      <w:r w:rsidRPr="00B90D87">
        <w:rPr>
          <w:rFonts w:ascii="Times New Roman" w:hAnsi="Times New Roman"/>
          <w:szCs w:val="24"/>
          <w:lang w:val="en-IE"/>
        </w:rPr>
        <w:t>.</w:t>
      </w:r>
    </w:p>
    <w:p w14:paraId="558EA290"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w:t>
      </w:r>
      <w:r>
        <w:rPr>
          <w:rFonts w:ascii="Times New Roman" w:hAnsi="Times New Roman"/>
          <w:szCs w:val="24"/>
          <w:lang w:val="en-IE"/>
        </w:rPr>
        <w:t xml:space="preserve">has indeed </w:t>
      </w:r>
      <w:r w:rsidRPr="00B90D87">
        <w:rPr>
          <w:rFonts w:ascii="Times New Roman" w:hAnsi="Times New Roman"/>
          <w:szCs w:val="24"/>
          <w:lang w:val="en-IE"/>
        </w:rPr>
        <w:t xml:space="preserve">already the power to impose structural remedies </w:t>
      </w:r>
      <w:r>
        <w:rPr>
          <w:rFonts w:ascii="Times New Roman" w:hAnsi="Times New Roman"/>
          <w:szCs w:val="24"/>
          <w:lang w:val="en-IE"/>
        </w:rPr>
        <w:t>for</w:t>
      </w:r>
      <w:r w:rsidRPr="00B90D87">
        <w:rPr>
          <w:rFonts w:ascii="Times New Roman" w:hAnsi="Times New Roman"/>
          <w:szCs w:val="24"/>
          <w:lang w:val="en-IE"/>
        </w:rPr>
        <w:t xml:space="preserve"> antitrust violations, such as the unbundling of undertakings, according to Article 7 of Regulation 1/2003, subject to the principle of proportionality. </w:t>
      </w:r>
      <w:r>
        <w:rPr>
          <w:rFonts w:ascii="Times New Roman" w:hAnsi="Times New Roman"/>
          <w:szCs w:val="24"/>
          <w:lang w:val="en-IE"/>
        </w:rPr>
        <w:t>T</w:t>
      </w:r>
      <w:r w:rsidRPr="00B90D87">
        <w:rPr>
          <w:rFonts w:ascii="Times New Roman" w:hAnsi="Times New Roman"/>
          <w:szCs w:val="24"/>
          <w:lang w:val="en-IE"/>
        </w:rPr>
        <w:t xml:space="preserve">he Commission </w:t>
      </w:r>
      <w:r>
        <w:rPr>
          <w:rFonts w:ascii="Times New Roman" w:hAnsi="Times New Roman"/>
          <w:szCs w:val="24"/>
          <w:lang w:val="en-IE"/>
        </w:rPr>
        <w:t xml:space="preserve">is </w:t>
      </w:r>
      <w:r w:rsidRPr="00166126">
        <w:rPr>
          <w:rFonts w:ascii="Times New Roman" w:hAnsi="Times New Roman"/>
          <w:i/>
          <w:iCs/>
          <w:szCs w:val="24"/>
          <w:lang w:val="en-IE"/>
        </w:rPr>
        <w:t>inter alia</w:t>
      </w:r>
      <w:r>
        <w:rPr>
          <w:rFonts w:ascii="Times New Roman" w:hAnsi="Times New Roman"/>
          <w:szCs w:val="24"/>
          <w:lang w:val="en-IE"/>
        </w:rPr>
        <w:t xml:space="preserve"> assessing this power </w:t>
      </w:r>
      <w:r w:rsidRPr="00B90D87">
        <w:rPr>
          <w:rFonts w:ascii="Times New Roman" w:hAnsi="Times New Roman"/>
          <w:szCs w:val="24"/>
          <w:lang w:val="en-IE"/>
        </w:rPr>
        <w:t>in the ongoing evaluation process of Regulation (EC) No. 1/2003</w:t>
      </w:r>
      <w:r>
        <w:rPr>
          <w:rFonts w:ascii="Times New Roman" w:hAnsi="Times New Roman"/>
          <w:szCs w:val="24"/>
          <w:lang w:val="en-IE"/>
        </w:rPr>
        <w:t>.</w:t>
      </w:r>
    </w:p>
    <w:p w14:paraId="5BFF538A"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takes note of the European Parliament’s call to establish a publicly accessible database of all European and national competition law cases, including summaries in English </w:t>
      </w:r>
      <w:r w:rsidRPr="00B90D87">
        <w:rPr>
          <w:rFonts w:ascii="Times New Roman" w:hAnsi="Times New Roman"/>
          <w:b/>
          <w:bCs/>
          <w:szCs w:val="24"/>
          <w:lang w:val="en-IE"/>
        </w:rPr>
        <w:t>(paragraph 32)</w:t>
      </w:r>
      <w:r w:rsidRPr="00B90D87">
        <w:rPr>
          <w:rFonts w:ascii="Times New Roman" w:hAnsi="Times New Roman"/>
          <w:szCs w:val="24"/>
          <w:lang w:val="en-IE"/>
        </w:rPr>
        <w:t>.</w:t>
      </w:r>
    </w:p>
    <w:p w14:paraId="6D34BE2E" w14:textId="77777777" w:rsidR="00D376F6" w:rsidRPr="00B90D87"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w:t>
      </w:r>
      <w:r>
        <w:rPr>
          <w:rFonts w:ascii="Times New Roman" w:hAnsi="Times New Roman"/>
          <w:szCs w:val="24"/>
          <w:lang w:val="en-IE"/>
        </w:rPr>
        <w:t xml:space="preserve">recently launched </w:t>
      </w:r>
      <w:r w:rsidRPr="00B90D87">
        <w:rPr>
          <w:rFonts w:ascii="Times New Roman" w:hAnsi="Times New Roman"/>
          <w:szCs w:val="24"/>
          <w:lang w:val="en-IE"/>
        </w:rPr>
        <w:t>a new public case search engine (named COMP Cases) which replaces the previous case search engine and which offers a better user experience by providing a fresh, modern, and intuitive graphical user interface.</w:t>
      </w:r>
    </w:p>
    <w:p w14:paraId="1B70DDE1"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agrees with the Parliament’s position on the importance of damages for infringements of competition law </w:t>
      </w:r>
      <w:r>
        <w:rPr>
          <w:rFonts w:ascii="Times New Roman" w:hAnsi="Times New Roman"/>
          <w:szCs w:val="24"/>
          <w:lang w:val="en-IE"/>
        </w:rPr>
        <w:t xml:space="preserve">and takes note of the call to introduce an obligation to state the extent of the damages in enforcement decisions or a presumption of a minimum amount of damages </w:t>
      </w:r>
      <w:r w:rsidRPr="00B90D87">
        <w:rPr>
          <w:rFonts w:ascii="Times New Roman" w:hAnsi="Times New Roman"/>
          <w:b/>
          <w:bCs/>
          <w:szCs w:val="24"/>
          <w:lang w:val="en-IE"/>
        </w:rPr>
        <w:t>(paragraph 33)</w:t>
      </w:r>
      <w:r w:rsidRPr="00B90D87">
        <w:rPr>
          <w:rFonts w:ascii="Times New Roman" w:hAnsi="Times New Roman"/>
          <w:szCs w:val="24"/>
          <w:lang w:val="en-IE"/>
        </w:rPr>
        <w:t>.</w:t>
      </w:r>
    </w:p>
    <w:p w14:paraId="53FCBB42" w14:textId="77777777" w:rsidR="00D376F6" w:rsidRPr="00B6143F" w:rsidRDefault="00D376F6" w:rsidP="00D376F6">
      <w:pPr>
        <w:spacing w:after="120"/>
        <w:rPr>
          <w:rFonts w:ascii="Times New Roman" w:hAnsi="Times New Roman"/>
          <w:szCs w:val="24"/>
        </w:rPr>
      </w:pPr>
      <w:r w:rsidRPr="00B90D87">
        <w:rPr>
          <w:rFonts w:ascii="Times New Roman" w:hAnsi="Times New Roman"/>
          <w:szCs w:val="24"/>
          <w:lang w:val="en-IE"/>
        </w:rPr>
        <w:t>Damages are an important and integral part of the enforcement system for EU competition law and a key objective of the Damages Directive (2014/104/EU)</w:t>
      </w:r>
      <w:r>
        <w:rPr>
          <w:rStyle w:val="FootnoteReference"/>
          <w:szCs w:val="24"/>
          <w:lang w:val="en-IE"/>
        </w:rPr>
        <w:footnoteReference w:id="13"/>
      </w:r>
      <w:r w:rsidRPr="00B90D87">
        <w:rPr>
          <w:rFonts w:ascii="Times New Roman" w:hAnsi="Times New Roman"/>
          <w:szCs w:val="24"/>
          <w:lang w:val="en-IE"/>
        </w:rPr>
        <w:t xml:space="preserve"> is to </w:t>
      </w:r>
      <w:r>
        <w:rPr>
          <w:rFonts w:ascii="Times New Roman" w:hAnsi="Times New Roman"/>
          <w:szCs w:val="24"/>
          <w:lang w:val="en-IE"/>
        </w:rPr>
        <w:t>make</w:t>
      </w:r>
      <w:r w:rsidRPr="00B90D87">
        <w:rPr>
          <w:rFonts w:ascii="Times New Roman" w:hAnsi="Times New Roman"/>
          <w:szCs w:val="24"/>
          <w:lang w:val="en-IE"/>
        </w:rPr>
        <w:t xml:space="preserve"> it easier for victims of competition law infringements to claim compensation. The EU legislator consider</w:t>
      </w:r>
      <w:r>
        <w:rPr>
          <w:rFonts w:ascii="Times New Roman" w:hAnsi="Times New Roman"/>
          <w:szCs w:val="24"/>
        </w:rPr>
        <w:t>ed</w:t>
      </w:r>
      <w:r w:rsidRPr="00B90D87">
        <w:rPr>
          <w:rFonts w:ascii="Times New Roman" w:hAnsi="Times New Roman"/>
          <w:szCs w:val="24"/>
          <w:lang w:val="en-IE"/>
        </w:rPr>
        <w:t xml:space="preserve"> and rejected the inclusion in the Damages Directive of a presumption that would cover the specific amount of harm in </w:t>
      </w:r>
      <w:r>
        <w:rPr>
          <w:rFonts w:ascii="Times New Roman" w:hAnsi="Times New Roman"/>
          <w:szCs w:val="24"/>
        </w:rPr>
        <w:t>each case</w:t>
      </w:r>
      <w:r w:rsidRPr="00B90D87">
        <w:rPr>
          <w:rFonts w:ascii="Times New Roman" w:hAnsi="Times New Roman"/>
          <w:szCs w:val="24"/>
          <w:lang w:val="en-IE"/>
        </w:rPr>
        <w:t xml:space="preserve">. The proposal that public enforcement decisions should state the extent of harm would </w:t>
      </w:r>
      <w:r>
        <w:rPr>
          <w:rFonts w:ascii="Times New Roman" w:hAnsi="Times New Roman"/>
          <w:szCs w:val="24"/>
          <w:lang w:val="en-IE"/>
        </w:rPr>
        <w:t>go beyond the remit of</w:t>
      </w:r>
      <w:r w:rsidRPr="00B90D87">
        <w:rPr>
          <w:rFonts w:ascii="Times New Roman" w:hAnsi="Times New Roman"/>
          <w:szCs w:val="24"/>
          <w:lang w:val="en-IE"/>
        </w:rPr>
        <w:t xml:space="preserve"> competition authorities </w:t>
      </w:r>
      <w:r>
        <w:rPr>
          <w:rFonts w:ascii="Times New Roman" w:hAnsi="Times New Roman"/>
          <w:szCs w:val="24"/>
          <w:lang w:val="en-IE"/>
        </w:rPr>
        <w:t>when</w:t>
      </w:r>
      <w:r w:rsidRPr="00B90D87">
        <w:rPr>
          <w:rFonts w:ascii="Times New Roman" w:hAnsi="Times New Roman"/>
          <w:szCs w:val="24"/>
          <w:lang w:val="en-IE"/>
        </w:rPr>
        <w:t xml:space="preserve"> investigat</w:t>
      </w:r>
      <w:r>
        <w:rPr>
          <w:rFonts w:ascii="Times New Roman" w:hAnsi="Times New Roman"/>
          <w:szCs w:val="24"/>
          <w:lang w:val="en-IE"/>
        </w:rPr>
        <w:t xml:space="preserve">ing and establishing </w:t>
      </w:r>
      <w:r w:rsidRPr="00B90D87">
        <w:rPr>
          <w:rFonts w:ascii="Times New Roman" w:hAnsi="Times New Roman"/>
          <w:szCs w:val="24"/>
          <w:lang w:val="en-IE"/>
        </w:rPr>
        <w:t>competition infringements.</w:t>
      </w:r>
    </w:p>
    <w:p w14:paraId="21A8A77F"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
          <w:i/>
          <w:iCs/>
          <w:szCs w:val="24"/>
          <w:lang w:val="en-IE"/>
        </w:rPr>
        <w:t>Competition policy in the digital age</w:t>
      </w:r>
    </w:p>
    <w:p w14:paraId="5E2E88C7"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Commission welcomes the Parliament’s call for additional </w:t>
      </w:r>
      <w:r>
        <w:rPr>
          <w:rFonts w:ascii="Times New Roman" w:hAnsi="Times New Roman"/>
          <w:bCs/>
          <w:szCs w:val="24"/>
          <w:lang w:val="en-IE"/>
        </w:rPr>
        <w:t xml:space="preserve">financial </w:t>
      </w:r>
      <w:r w:rsidRPr="00B90D87">
        <w:rPr>
          <w:rFonts w:ascii="Times New Roman" w:hAnsi="Times New Roman"/>
          <w:bCs/>
          <w:szCs w:val="24"/>
          <w:lang w:val="en-IE"/>
        </w:rPr>
        <w:t>resources to be allocated for the enforcement of the DMA, including the hiring of specialist staff (</w:t>
      </w:r>
      <w:r w:rsidRPr="00B90D87">
        <w:rPr>
          <w:rFonts w:ascii="Times New Roman" w:hAnsi="Times New Roman"/>
          <w:b/>
          <w:szCs w:val="24"/>
          <w:lang w:val="en-IE"/>
        </w:rPr>
        <w:t>paragraph</w:t>
      </w:r>
      <w:r>
        <w:rPr>
          <w:rFonts w:ascii="Times New Roman" w:hAnsi="Times New Roman"/>
          <w:b/>
          <w:szCs w:val="24"/>
          <w:lang w:val="en-IE"/>
        </w:rPr>
        <w:t> </w:t>
      </w:r>
      <w:r w:rsidRPr="00B90D87">
        <w:rPr>
          <w:rFonts w:ascii="Times New Roman" w:hAnsi="Times New Roman"/>
          <w:b/>
          <w:szCs w:val="24"/>
          <w:lang w:val="en-IE"/>
        </w:rPr>
        <w:t>35</w:t>
      </w:r>
      <w:r w:rsidRPr="00B90D87">
        <w:rPr>
          <w:rFonts w:ascii="Times New Roman" w:hAnsi="Times New Roman"/>
          <w:bCs/>
          <w:szCs w:val="24"/>
          <w:lang w:val="en-IE"/>
        </w:rPr>
        <w:t>).</w:t>
      </w:r>
    </w:p>
    <w:p w14:paraId="3A422BBC" w14:textId="77777777" w:rsidR="00D376F6" w:rsidRPr="00B90D87" w:rsidRDefault="00D376F6" w:rsidP="00D376F6">
      <w:pPr>
        <w:widowControl w:val="0"/>
        <w:spacing w:after="120"/>
        <w:rPr>
          <w:rFonts w:ascii="Times New Roman" w:hAnsi="Times New Roman"/>
          <w:szCs w:val="24"/>
          <w:lang w:val="en-IE"/>
        </w:rPr>
      </w:pPr>
      <w:r w:rsidRPr="7BF0A77A">
        <w:rPr>
          <w:rFonts w:ascii="Times New Roman" w:hAnsi="Times New Roman"/>
          <w:szCs w:val="24"/>
          <w:lang w:val="en-IE"/>
        </w:rPr>
        <w:lastRenderedPageBreak/>
        <w:t>The DMA Task force in the Commission is a joint endeavour of D</w:t>
      </w:r>
      <w:r>
        <w:rPr>
          <w:rFonts w:ascii="Times New Roman" w:hAnsi="Times New Roman"/>
          <w:szCs w:val="24"/>
          <w:lang w:val="en-IE"/>
        </w:rPr>
        <w:t>irectorate-</w:t>
      </w:r>
      <w:r w:rsidRPr="7BF0A77A">
        <w:rPr>
          <w:rFonts w:ascii="Times New Roman" w:hAnsi="Times New Roman"/>
          <w:szCs w:val="24"/>
          <w:lang w:val="en-IE"/>
        </w:rPr>
        <w:t>G</w:t>
      </w:r>
      <w:r>
        <w:rPr>
          <w:rFonts w:ascii="Times New Roman" w:hAnsi="Times New Roman"/>
          <w:szCs w:val="24"/>
          <w:lang w:val="en-IE"/>
        </w:rPr>
        <w:t>eneral</w:t>
      </w:r>
      <w:r w:rsidRPr="7BF0A77A">
        <w:rPr>
          <w:rFonts w:ascii="Times New Roman" w:hAnsi="Times New Roman"/>
          <w:szCs w:val="24"/>
          <w:lang w:val="en-IE"/>
        </w:rPr>
        <w:t xml:space="preserve"> Competition and D</w:t>
      </w:r>
      <w:r>
        <w:rPr>
          <w:rFonts w:ascii="Times New Roman" w:hAnsi="Times New Roman"/>
          <w:szCs w:val="24"/>
          <w:lang w:val="en-IE"/>
        </w:rPr>
        <w:t>irectorate-</w:t>
      </w:r>
      <w:r w:rsidRPr="7BF0A77A">
        <w:rPr>
          <w:rFonts w:ascii="Times New Roman" w:hAnsi="Times New Roman"/>
          <w:szCs w:val="24"/>
          <w:lang w:val="en-IE"/>
        </w:rPr>
        <w:t>G</w:t>
      </w:r>
      <w:r>
        <w:rPr>
          <w:rFonts w:ascii="Times New Roman" w:hAnsi="Times New Roman"/>
          <w:szCs w:val="24"/>
          <w:lang w:val="en-IE"/>
        </w:rPr>
        <w:t>eneral</w:t>
      </w:r>
      <w:r w:rsidRPr="7BF0A77A">
        <w:rPr>
          <w:rFonts w:ascii="Times New Roman" w:hAnsi="Times New Roman"/>
          <w:szCs w:val="24"/>
          <w:lang w:val="en-IE"/>
        </w:rPr>
        <w:t xml:space="preserve"> Communications Networks, Content and Technology (CNECT). </w:t>
      </w:r>
      <w:r>
        <w:rPr>
          <w:rFonts w:ascii="Times New Roman" w:hAnsi="Times New Roman"/>
          <w:szCs w:val="24"/>
          <w:lang w:val="en-IE"/>
        </w:rPr>
        <w:t>The respective</w:t>
      </w:r>
      <w:r w:rsidRPr="7BF0A77A">
        <w:rPr>
          <w:rFonts w:ascii="Times New Roman" w:hAnsi="Times New Roman"/>
          <w:szCs w:val="24"/>
          <w:lang w:val="en-IE"/>
        </w:rPr>
        <w:t xml:space="preserve"> D</w:t>
      </w:r>
      <w:r>
        <w:rPr>
          <w:rFonts w:ascii="Times New Roman" w:hAnsi="Times New Roman"/>
          <w:szCs w:val="24"/>
          <w:lang w:val="en-IE"/>
        </w:rPr>
        <w:t>irectorates-General</w:t>
      </w:r>
      <w:r w:rsidRPr="7BF0A77A">
        <w:rPr>
          <w:rFonts w:ascii="Times New Roman" w:hAnsi="Times New Roman"/>
          <w:szCs w:val="24"/>
          <w:lang w:val="en-IE"/>
        </w:rPr>
        <w:t xml:space="preserve"> have each dedicated a directorate responsible for enforcing the DMA with currently around 40 staff each. If the Commission’s overall resources allow the DMA team in the Commission will be strengthened further. </w:t>
      </w:r>
      <w:r w:rsidRPr="7BF0A77A">
        <w:rPr>
          <w:rFonts w:ascii="Times New Roman" w:hAnsi="Times New Roman"/>
          <w:szCs w:val="24"/>
        </w:rPr>
        <w:t>In this context</w:t>
      </w:r>
      <w:r>
        <w:rPr>
          <w:rFonts w:ascii="Times New Roman" w:hAnsi="Times New Roman"/>
          <w:szCs w:val="24"/>
        </w:rPr>
        <w:t>,</w:t>
      </w:r>
      <w:r w:rsidRPr="7BF0A77A">
        <w:rPr>
          <w:rFonts w:ascii="Times New Roman" w:hAnsi="Times New Roman"/>
          <w:szCs w:val="24"/>
        </w:rPr>
        <w:t xml:space="preserve"> it has </w:t>
      </w:r>
      <w:r>
        <w:rPr>
          <w:rFonts w:ascii="Times New Roman" w:hAnsi="Times New Roman"/>
          <w:szCs w:val="24"/>
        </w:rPr>
        <w:t xml:space="preserve">to </w:t>
      </w:r>
      <w:r w:rsidRPr="7BF0A77A">
        <w:rPr>
          <w:rFonts w:ascii="Times New Roman" w:hAnsi="Times New Roman"/>
          <w:szCs w:val="24"/>
        </w:rPr>
        <w:t xml:space="preserve">be recalled that the Commission, respecting the principles underpinning the current </w:t>
      </w:r>
      <w:r>
        <w:rPr>
          <w:rFonts w:ascii="Times New Roman" w:hAnsi="Times New Roman"/>
          <w:szCs w:val="24"/>
        </w:rPr>
        <w:t>Multiannual Financial Framework (</w:t>
      </w:r>
      <w:r w:rsidRPr="7BF0A77A">
        <w:rPr>
          <w:rFonts w:ascii="Times New Roman" w:hAnsi="Times New Roman"/>
          <w:szCs w:val="24"/>
        </w:rPr>
        <w:t>MFF</w:t>
      </w:r>
      <w:r>
        <w:rPr>
          <w:rFonts w:ascii="Times New Roman" w:hAnsi="Times New Roman"/>
          <w:szCs w:val="24"/>
        </w:rPr>
        <w:t>)</w:t>
      </w:r>
      <w:r w:rsidRPr="7BF0A77A">
        <w:rPr>
          <w:rFonts w:ascii="Times New Roman" w:hAnsi="Times New Roman"/>
          <w:szCs w:val="24"/>
        </w:rPr>
        <w:t>, currently operates under a stable staffing principle. Any increases of the workload will need to be addressed by potential reallocation and redeployment within the services of the Commission.</w:t>
      </w:r>
      <w:r w:rsidRPr="7BF0A77A">
        <w:rPr>
          <w:rFonts w:ascii="Times New Roman" w:hAnsi="Times New Roman"/>
          <w:szCs w:val="24"/>
          <w:lang w:val="hu-HU"/>
        </w:rPr>
        <w:t xml:space="preserve"> </w:t>
      </w:r>
      <w:r w:rsidRPr="7BF0A77A">
        <w:rPr>
          <w:rFonts w:ascii="Times New Roman" w:hAnsi="Times New Roman"/>
          <w:szCs w:val="24"/>
        </w:rPr>
        <w:t>The Commission has requested additional staff in the context of the midterm revision of the MFF.</w:t>
      </w:r>
    </w:p>
    <w:p w14:paraId="1794A54A"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The Commission agrees with the European Parliament that close cooperation between the Commission and the national competition authorities when enforcing the DMA is important (</w:t>
      </w:r>
      <w:r w:rsidRPr="00B90D87">
        <w:rPr>
          <w:rFonts w:ascii="Times New Roman" w:hAnsi="Times New Roman"/>
          <w:b/>
          <w:szCs w:val="24"/>
          <w:lang w:val="en-IE"/>
        </w:rPr>
        <w:t>paragraph 35</w:t>
      </w:r>
      <w:r w:rsidRPr="00B90D87">
        <w:rPr>
          <w:rFonts w:ascii="Times New Roman" w:hAnsi="Times New Roman"/>
          <w:bCs/>
          <w:szCs w:val="24"/>
          <w:lang w:val="en-IE"/>
        </w:rPr>
        <w:t>).</w:t>
      </w:r>
    </w:p>
    <w:p w14:paraId="3C95C121"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Article 38 of the DMA </w:t>
      </w:r>
      <w:r w:rsidRPr="006E6B75">
        <w:rPr>
          <w:rFonts w:ascii="Times New Roman" w:hAnsi="Times New Roman"/>
          <w:bCs/>
          <w:szCs w:val="24"/>
          <w:lang w:val="en-IE"/>
        </w:rPr>
        <w:t>establishes the rules for cooperation and coordination between the Commission and</w:t>
      </w:r>
      <w:r w:rsidRPr="00B90D87">
        <w:rPr>
          <w:rFonts w:ascii="Times New Roman" w:hAnsi="Times New Roman"/>
          <w:bCs/>
          <w:szCs w:val="24"/>
          <w:lang w:val="en-IE"/>
        </w:rPr>
        <w:t xml:space="preserve"> the </w:t>
      </w:r>
      <w:r w:rsidRPr="006E6B75">
        <w:rPr>
          <w:rFonts w:ascii="Times New Roman" w:hAnsi="Times New Roman"/>
          <w:bCs/>
          <w:szCs w:val="24"/>
          <w:lang w:val="en-IE"/>
        </w:rPr>
        <w:t>competent national authorities enforcing the competition rules</w:t>
      </w:r>
      <w:r w:rsidRPr="00B90D87">
        <w:rPr>
          <w:rFonts w:ascii="Times New Roman" w:hAnsi="Times New Roman"/>
          <w:bCs/>
          <w:szCs w:val="24"/>
          <w:lang w:val="en-IE"/>
        </w:rPr>
        <w:t xml:space="preserve">. Under the DMA, the Commission and </w:t>
      </w:r>
      <w:r>
        <w:rPr>
          <w:rFonts w:ascii="Times New Roman" w:hAnsi="Times New Roman"/>
          <w:bCs/>
          <w:szCs w:val="24"/>
          <w:lang w:val="en-IE"/>
        </w:rPr>
        <w:t xml:space="preserve">those authorities </w:t>
      </w:r>
      <w:r w:rsidRPr="00B90D87">
        <w:rPr>
          <w:rFonts w:ascii="Times New Roman" w:hAnsi="Times New Roman"/>
          <w:bCs/>
          <w:szCs w:val="24"/>
          <w:lang w:val="en-IE"/>
        </w:rPr>
        <w:t xml:space="preserve">will cooperate with each other and inform each other about their respective enforcement actions through the European Competition Network (ECN). They will be able </w:t>
      </w:r>
      <w:r>
        <w:rPr>
          <w:rFonts w:ascii="Times New Roman" w:hAnsi="Times New Roman"/>
          <w:bCs/>
          <w:szCs w:val="24"/>
          <w:lang w:val="en-IE"/>
        </w:rPr>
        <w:t xml:space="preserve">to </w:t>
      </w:r>
      <w:r w:rsidRPr="00B90D87">
        <w:rPr>
          <w:rFonts w:ascii="Times New Roman" w:hAnsi="Times New Roman"/>
          <w:bCs/>
          <w:szCs w:val="24"/>
          <w:lang w:val="en-IE"/>
        </w:rPr>
        <w:t>exchange information with each other, including confidential information</w:t>
      </w:r>
      <w:r w:rsidRPr="006E6B75">
        <w:rPr>
          <w:rFonts w:ascii="Times New Roman" w:hAnsi="Times New Roman"/>
          <w:bCs/>
          <w:szCs w:val="24"/>
          <w:lang w:val="en-IE"/>
        </w:rPr>
        <w:t>, and inform each other of their respective investigations</w:t>
      </w:r>
      <w:r w:rsidRPr="00B90D87">
        <w:rPr>
          <w:rFonts w:ascii="Times New Roman" w:hAnsi="Times New Roman"/>
          <w:bCs/>
          <w:szCs w:val="24"/>
          <w:lang w:val="en-IE"/>
        </w:rPr>
        <w:t xml:space="preserve">. The Commission may ask the </w:t>
      </w:r>
      <w:r>
        <w:rPr>
          <w:rFonts w:ascii="Times New Roman" w:hAnsi="Times New Roman"/>
          <w:bCs/>
          <w:szCs w:val="24"/>
          <w:lang w:val="en-IE"/>
        </w:rPr>
        <w:t>authorities</w:t>
      </w:r>
      <w:r w:rsidRPr="00B90D87">
        <w:rPr>
          <w:rFonts w:ascii="Times New Roman" w:hAnsi="Times New Roman"/>
          <w:bCs/>
          <w:szCs w:val="24"/>
          <w:lang w:val="en-IE"/>
        </w:rPr>
        <w:t xml:space="preserve"> to support its market investigations under the DMA. </w:t>
      </w:r>
      <w:r>
        <w:rPr>
          <w:rFonts w:ascii="Times New Roman" w:hAnsi="Times New Roman"/>
          <w:bCs/>
          <w:szCs w:val="24"/>
          <w:lang w:val="en-IE"/>
        </w:rPr>
        <w:t>National authorities</w:t>
      </w:r>
      <w:r w:rsidRPr="00B90D87">
        <w:rPr>
          <w:rFonts w:ascii="Times New Roman" w:hAnsi="Times New Roman"/>
          <w:bCs/>
          <w:szCs w:val="24"/>
          <w:lang w:val="en-IE"/>
        </w:rPr>
        <w:t xml:space="preserve"> may on their own initiative investigate possible non-compliance </w:t>
      </w:r>
      <w:r w:rsidRPr="001229AA">
        <w:rPr>
          <w:rFonts w:ascii="Times New Roman" w:hAnsi="Times New Roman"/>
          <w:bCs/>
          <w:szCs w:val="24"/>
          <w:lang w:val="en-IE"/>
        </w:rPr>
        <w:t xml:space="preserve">with the obligations of the DMA </w:t>
      </w:r>
      <w:r w:rsidRPr="00B90D87">
        <w:rPr>
          <w:rFonts w:ascii="Times New Roman" w:hAnsi="Times New Roman"/>
          <w:bCs/>
          <w:szCs w:val="24"/>
          <w:lang w:val="en-IE"/>
        </w:rPr>
        <w:t xml:space="preserve">by designated gatekeepers within their territories. The practical terms for the cooperation </w:t>
      </w:r>
      <w:r>
        <w:rPr>
          <w:rFonts w:ascii="Times New Roman" w:hAnsi="Times New Roman"/>
          <w:bCs/>
          <w:szCs w:val="24"/>
          <w:lang w:val="en-IE"/>
        </w:rPr>
        <w:t xml:space="preserve">and coordination </w:t>
      </w:r>
      <w:r w:rsidRPr="00B90D87">
        <w:rPr>
          <w:rFonts w:ascii="Times New Roman" w:hAnsi="Times New Roman"/>
          <w:bCs/>
          <w:szCs w:val="24"/>
          <w:lang w:val="en-IE"/>
        </w:rPr>
        <w:t>under Article 38 of the DMA are currently being determined.</w:t>
      </w:r>
    </w:p>
    <w:p w14:paraId="581EE022"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The Commission agrees with the European Parliament that competition law remains relevant to digital markets despite the entry into force of the DMA, including possible antitrust proceedings against </w:t>
      </w:r>
      <w:r>
        <w:rPr>
          <w:rFonts w:ascii="Times New Roman" w:hAnsi="Times New Roman"/>
          <w:bCs/>
          <w:szCs w:val="24"/>
          <w:lang w:val="en-IE"/>
        </w:rPr>
        <w:t>undertakings providing core platform services within the meaning of Article 2(2) of the DMA</w:t>
      </w:r>
      <w:r w:rsidRPr="00B90D87">
        <w:rPr>
          <w:rFonts w:ascii="Times New Roman" w:hAnsi="Times New Roman"/>
          <w:bCs/>
          <w:szCs w:val="24"/>
          <w:lang w:val="en-IE"/>
        </w:rPr>
        <w:t xml:space="preserve"> that have been designated as gatekeepers </w:t>
      </w:r>
      <w:r>
        <w:rPr>
          <w:rFonts w:ascii="Times New Roman" w:hAnsi="Times New Roman"/>
          <w:bCs/>
          <w:szCs w:val="24"/>
          <w:lang w:val="en-IE"/>
        </w:rPr>
        <w:t xml:space="preserve">under this regulation </w:t>
      </w:r>
      <w:r w:rsidRPr="00B90D87">
        <w:rPr>
          <w:rFonts w:ascii="Times New Roman" w:hAnsi="Times New Roman"/>
          <w:bCs/>
          <w:szCs w:val="24"/>
          <w:lang w:val="en-IE"/>
        </w:rPr>
        <w:t>(</w:t>
      </w:r>
      <w:r w:rsidRPr="00B90D87">
        <w:rPr>
          <w:rFonts w:ascii="Times New Roman" w:hAnsi="Times New Roman"/>
          <w:b/>
          <w:szCs w:val="24"/>
          <w:lang w:val="en-IE"/>
        </w:rPr>
        <w:t>paragraph 37</w:t>
      </w:r>
      <w:r w:rsidRPr="00B90D87">
        <w:rPr>
          <w:rFonts w:ascii="Times New Roman" w:hAnsi="Times New Roman"/>
          <w:bCs/>
          <w:szCs w:val="24"/>
          <w:lang w:val="en-IE"/>
        </w:rPr>
        <w:t>).</w:t>
      </w:r>
    </w:p>
    <w:p w14:paraId="33896DB1" w14:textId="77777777" w:rsidR="00D376F6" w:rsidRPr="00B90D87" w:rsidRDefault="00D376F6" w:rsidP="00D376F6">
      <w:pPr>
        <w:widowControl w:val="0"/>
        <w:spacing w:after="120"/>
        <w:rPr>
          <w:rFonts w:ascii="Times New Roman" w:hAnsi="Times New Roman"/>
          <w:bCs/>
          <w:szCs w:val="24"/>
          <w:lang w:val="en-IE"/>
        </w:rPr>
      </w:pPr>
      <w:r w:rsidRPr="00B90D87">
        <w:rPr>
          <w:rFonts w:ascii="Times New Roman" w:hAnsi="Times New Roman"/>
          <w:bCs/>
          <w:szCs w:val="24"/>
          <w:lang w:val="en-IE"/>
        </w:rPr>
        <w:t xml:space="preserve">Competition law can be successfully applied in digital markets. The Commission’s case practice shows that the competition rules are flexible enough to deal with the specific features of digital markets, for example strong network effects, data, zero-pricing </w:t>
      </w:r>
      <w:r>
        <w:rPr>
          <w:rFonts w:ascii="Times New Roman" w:hAnsi="Times New Roman"/>
          <w:bCs/>
          <w:szCs w:val="24"/>
          <w:lang w:val="en-IE"/>
        </w:rPr>
        <w:t>or</w:t>
      </w:r>
      <w:r w:rsidRPr="00B90D87">
        <w:rPr>
          <w:rFonts w:ascii="Times New Roman" w:hAnsi="Times New Roman"/>
          <w:bCs/>
          <w:szCs w:val="24"/>
          <w:lang w:val="en-IE"/>
        </w:rPr>
        <w:t xml:space="preserve"> market tipping. However, it may be more appropriate </w:t>
      </w:r>
      <w:r>
        <w:rPr>
          <w:rFonts w:ascii="Times New Roman" w:hAnsi="Times New Roman"/>
          <w:bCs/>
          <w:szCs w:val="24"/>
          <w:lang w:val="en-IE"/>
        </w:rPr>
        <w:t xml:space="preserve">and effective </w:t>
      </w:r>
      <w:r w:rsidRPr="00B90D87">
        <w:rPr>
          <w:rFonts w:ascii="Times New Roman" w:hAnsi="Times New Roman"/>
          <w:bCs/>
          <w:szCs w:val="24"/>
          <w:lang w:val="en-IE"/>
        </w:rPr>
        <w:t>to tackle certain dysfunctions in digital markets with other legal tools</w:t>
      </w:r>
      <w:r>
        <w:rPr>
          <w:rFonts w:ascii="Times New Roman" w:hAnsi="Times New Roman"/>
          <w:bCs/>
          <w:szCs w:val="24"/>
          <w:lang w:val="en-IE"/>
        </w:rPr>
        <w:t xml:space="preserve"> such as </w:t>
      </w:r>
      <w:r w:rsidRPr="00B90D87">
        <w:rPr>
          <w:rFonts w:ascii="Times New Roman" w:hAnsi="Times New Roman"/>
          <w:bCs/>
          <w:szCs w:val="24"/>
          <w:lang w:val="en-IE"/>
        </w:rPr>
        <w:t xml:space="preserve">the </w:t>
      </w:r>
      <w:r w:rsidRPr="00B90D87">
        <w:rPr>
          <w:rFonts w:ascii="Times New Roman" w:hAnsi="Times New Roman"/>
          <w:szCs w:val="24"/>
          <w:lang w:val="en-IE"/>
        </w:rPr>
        <w:t>DMA and other</w:t>
      </w:r>
      <w:r w:rsidRPr="00B90D87">
        <w:rPr>
          <w:rFonts w:ascii="Times New Roman" w:hAnsi="Times New Roman"/>
          <w:bCs/>
          <w:szCs w:val="24"/>
          <w:lang w:val="en-IE"/>
        </w:rPr>
        <w:t xml:space="preserve"> regulations covering the digital field. The role of competition law in digital markets, like in other sectors, </w:t>
      </w:r>
      <w:r w:rsidRPr="00B90D87">
        <w:rPr>
          <w:rFonts w:ascii="Times New Roman" w:hAnsi="Times New Roman"/>
          <w:szCs w:val="24"/>
          <w:lang w:val="en-IE"/>
        </w:rPr>
        <w:t>is complementary to</w:t>
      </w:r>
      <w:r>
        <w:rPr>
          <w:rFonts w:ascii="Times New Roman" w:hAnsi="Times New Roman"/>
          <w:szCs w:val="24"/>
          <w:lang w:val="en-IE"/>
        </w:rPr>
        <w:t xml:space="preserve"> sectoral</w:t>
      </w:r>
      <w:r w:rsidRPr="00B90D87">
        <w:rPr>
          <w:rFonts w:ascii="Times New Roman" w:hAnsi="Times New Roman"/>
          <w:szCs w:val="24"/>
          <w:lang w:val="en-IE"/>
        </w:rPr>
        <w:t xml:space="preserve"> regulation. Data</w:t>
      </w:r>
      <w:r w:rsidRPr="00B90D87">
        <w:rPr>
          <w:rFonts w:ascii="Times New Roman" w:hAnsi="Times New Roman"/>
          <w:bCs/>
          <w:szCs w:val="24"/>
          <w:lang w:val="en-IE"/>
        </w:rPr>
        <w:t xml:space="preserve"> privacy is an</w:t>
      </w:r>
      <w:r>
        <w:rPr>
          <w:rFonts w:ascii="Times New Roman" w:hAnsi="Times New Roman"/>
          <w:bCs/>
          <w:szCs w:val="24"/>
          <w:lang w:val="en-IE"/>
        </w:rPr>
        <w:t>other</w:t>
      </w:r>
      <w:r w:rsidRPr="00B90D87">
        <w:rPr>
          <w:rFonts w:ascii="Times New Roman" w:hAnsi="Times New Roman"/>
          <w:bCs/>
          <w:szCs w:val="24"/>
          <w:lang w:val="en-IE"/>
        </w:rPr>
        <w:t xml:space="preserve"> example where competition law and data protection should be used in a complementary manner to avoid inconsistent or conflicting outcomes.</w:t>
      </w:r>
    </w:p>
    <w:p w14:paraId="3A41E403" w14:textId="77777777" w:rsidR="00D376F6" w:rsidRPr="00B6143F" w:rsidRDefault="00D376F6" w:rsidP="00D376F6">
      <w:pPr>
        <w:widowControl w:val="0"/>
        <w:spacing w:after="120"/>
        <w:rPr>
          <w:rFonts w:ascii="Times New Roman" w:hAnsi="Times New Roman"/>
          <w:b/>
          <w:i/>
          <w:iCs/>
          <w:szCs w:val="24"/>
          <w:lang w:val="en-IE"/>
        </w:rPr>
      </w:pPr>
      <w:r w:rsidRPr="00B6143F">
        <w:rPr>
          <w:rFonts w:ascii="Times New Roman" w:hAnsi="Times New Roman"/>
          <w:b/>
          <w:i/>
          <w:iCs/>
          <w:szCs w:val="24"/>
          <w:lang w:val="en-IE"/>
        </w:rPr>
        <w:t>Sectoral policies</w:t>
      </w:r>
    </w:p>
    <w:p w14:paraId="0CD51039" w14:textId="77777777" w:rsidR="00D376F6" w:rsidRDefault="00D376F6" w:rsidP="00D376F6">
      <w:pPr>
        <w:widowControl w:val="0"/>
        <w:spacing w:after="120"/>
        <w:rPr>
          <w:rFonts w:ascii="Times New Roman" w:hAnsi="Times New Roman"/>
          <w:bCs/>
          <w:szCs w:val="24"/>
          <w:lang w:val="en-IE"/>
        </w:rPr>
      </w:pPr>
      <w:r w:rsidRPr="004F0A15">
        <w:rPr>
          <w:rFonts w:ascii="Times New Roman" w:hAnsi="Times New Roman"/>
          <w:bCs/>
          <w:szCs w:val="24"/>
          <w:lang w:val="en-IE"/>
        </w:rPr>
        <w:t>The Commission takes note of the European Parliament’s call to revise the 2013 Banking Communication (</w:t>
      </w:r>
      <w:r w:rsidRPr="00B6143F">
        <w:rPr>
          <w:rFonts w:ascii="Times New Roman" w:hAnsi="Times New Roman"/>
          <w:b/>
          <w:szCs w:val="24"/>
          <w:lang w:val="en-IE"/>
        </w:rPr>
        <w:t>paragraph 43</w:t>
      </w:r>
      <w:r w:rsidRPr="004F0A15">
        <w:rPr>
          <w:rFonts w:ascii="Times New Roman" w:hAnsi="Times New Roman"/>
          <w:bCs/>
          <w:szCs w:val="24"/>
          <w:lang w:val="en-IE"/>
        </w:rPr>
        <w:t>) and points out that the evaluation process concerning the State aid rules for banks in difficulty is ongoing.</w:t>
      </w:r>
    </w:p>
    <w:p w14:paraId="64DC18F8" w14:textId="77777777" w:rsidR="00D376F6" w:rsidRPr="00B90D87" w:rsidRDefault="00D376F6" w:rsidP="00D376F6">
      <w:pPr>
        <w:spacing w:after="120"/>
        <w:rPr>
          <w:rFonts w:ascii="Times New Roman" w:hAnsi="Times New Roman"/>
          <w:b/>
          <w:bCs/>
          <w:i/>
          <w:iCs/>
          <w:szCs w:val="24"/>
          <w:lang w:val="en-IE"/>
        </w:rPr>
      </w:pPr>
      <w:r w:rsidRPr="00B90D87">
        <w:rPr>
          <w:rFonts w:ascii="Times New Roman" w:hAnsi="Times New Roman"/>
          <w:b/>
          <w:bCs/>
          <w:i/>
          <w:iCs/>
          <w:szCs w:val="24"/>
          <w:lang w:val="en-IE"/>
        </w:rPr>
        <w:t>State aid fit for purpose</w:t>
      </w:r>
    </w:p>
    <w:p w14:paraId="6AB6E01F" w14:textId="77777777" w:rsidR="00D376F6" w:rsidRDefault="00D376F6" w:rsidP="00D376F6">
      <w:pPr>
        <w:spacing w:after="120"/>
        <w:rPr>
          <w:rFonts w:ascii="Times New Roman" w:hAnsi="Times New Roman"/>
          <w:szCs w:val="24"/>
          <w:lang w:val="en-IE"/>
        </w:rPr>
      </w:pPr>
      <w:r w:rsidRPr="00B90D87">
        <w:rPr>
          <w:rFonts w:ascii="Times New Roman" w:hAnsi="Times New Roman"/>
          <w:szCs w:val="24"/>
          <w:lang w:val="en-IE"/>
        </w:rPr>
        <w:t xml:space="preserve">The Commission takes note of the European Parliament’s call to bar companies engaging in aggressive tax planning from receiving State aid </w:t>
      </w:r>
      <w:r w:rsidRPr="00B90D87">
        <w:rPr>
          <w:rFonts w:ascii="Times New Roman" w:hAnsi="Times New Roman"/>
          <w:b/>
          <w:bCs/>
          <w:szCs w:val="24"/>
          <w:lang w:val="en-IE"/>
        </w:rPr>
        <w:t>(paragraph 46)</w:t>
      </w:r>
      <w:r w:rsidRPr="00B90D87">
        <w:rPr>
          <w:rFonts w:ascii="Times New Roman" w:hAnsi="Times New Roman"/>
          <w:szCs w:val="24"/>
          <w:lang w:val="en-IE"/>
        </w:rPr>
        <w:t>.</w:t>
      </w:r>
    </w:p>
    <w:p w14:paraId="04C0F309" w14:textId="77777777" w:rsidR="00D376F6" w:rsidRPr="00003434" w:rsidRDefault="00D376F6" w:rsidP="00D376F6">
      <w:pPr>
        <w:spacing w:after="120"/>
        <w:rPr>
          <w:rFonts w:ascii="Times New Roman" w:hAnsi="Times New Roman"/>
          <w:szCs w:val="24"/>
          <w:lang w:val="en-IE"/>
        </w:rPr>
      </w:pPr>
      <w:r w:rsidRPr="00003434">
        <w:rPr>
          <w:rFonts w:ascii="Times New Roman" w:hAnsi="Times New Roman"/>
          <w:szCs w:val="24"/>
          <w:lang w:val="en-IE"/>
        </w:rPr>
        <w:lastRenderedPageBreak/>
        <w:t xml:space="preserve">In that regard, </w:t>
      </w:r>
      <w:r>
        <w:rPr>
          <w:rFonts w:ascii="Times New Roman" w:hAnsi="Times New Roman"/>
          <w:szCs w:val="24"/>
          <w:lang w:val="en-IE"/>
        </w:rPr>
        <w:t>the Commission</w:t>
      </w:r>
      <w:r w:rsidRPr="00003434">
        <w:rPr>
          <w:rFonts w:ascii="Times New Roman" w:hAnsi="Times New Roman"/>
          <w:szCs w:val="24"/>
          <w:lang w:val="en-IE"/>
        </w:rPr>
        <w:t xml:space="preserve"> would like to stress that ensuring fair and effective taxation in the internal market and tackling tax avoidance and evasion remain high </w:t>
      </w:r>
      <w:r>
        <w:rPr>
          <w:rFonts w:ascii="Times New Roman" w:hAnsi="Times New Roman"/>
          <w:szCs w:val="24"/>
          <w:lang w:val="en-IE"/>
        </w:rPr>
        <w:t xml:space="preserve">in its </w:t>
      </w:r>
      <w:r w:rsidRPr="00003434">
        <w:rPr>
          <w:rFonts w:ascii="Times New Roman" w:hAnsi="Times New Roman"/>
          <w:szCs w:val="24"/>
          <w:lang w:val="en-IE"/>
        </w:rPr>
        <w:t>political priorities.</w:t>
      </w:r>
    </w:p>
    <w:p w14:paraId="793857B7" w14:textId="77777777" w:rsidR="00D376F6" w:rsidRPr="00003434" w:rsidRDefault="00D376F6" w:rsidP="00D376F6">
      <w:pPr>
        <w:spacing w:after="120"/>
        <w:rPr>
          <w:rFonts w:ascii="Times New Roman" w:hAnsi="Times New Roman"/>
          <w:szCs w:val="24"/>
          <w:lang w:val="en-IE"/>
        </w:rPr>
      </w:pPr>
      <w:r>
        <w:rPr>
          <w:rFonts w:ascii="Times New Roman" w:hAnsi="Times New Roman"/>
          <w:szCs w:val="24"/>
        </w:rPr>
        <w:t xml:space="preserve">The Commission </w:t>
      </w:r>
      <w:r w:rsidRPr="00003434">
        <w:rPr>
          <w:rFonts w:ascii="Times New Roman" w:hAnsi="Times New Roman"/>
          <w:szCs w:val="24"/>
          <w:lang w:val="en-IE"/>
        </w:rPr>
        <w:t xml:space="preserve">would like to refer to the Commission Recommendation of 14 July 2020 (COM(2020)4885 final). </w:t>
      </w:r>
      <w:r>
        <w:rPr>
          <w:rFonts w:ascii="Times New Roman" w:hAnsi="Times New Roman"/>
          <w:szCs w:val="24"/>
        </w:rPr>
        <w:t>In it</w:t>
      </w:r>
      <w:r w:rsidRPr="00003434">
        <w:rPr>
          <w:rFonts w:ascii="Times New Roman" w:hAnsi="Times New Roman"/>
          <w:szCs w:val="24"/>
          <w:lang w:val="en-IE"/>
        </w:rPr>
        <w:t>, the Commission called for a coordinated approach to making the granting of financial support by Member States conditional on the absence of links between the recipient undertaking and jurisdictions which feature on the EU list of non-cooperative jurisdictions. Although that Recommendation was made in the context of the COVID-19 outbreak and the significant volume of financial support granted by Member States during the pandemic to support Member States’ economies, its scope covers any form of financial support granted to eligible undertakings.</w:t>
      </w:r>
    </w:p>
    <w:p w14:paraId="0189F135" w14:textId="77777777" w:rsidR="00D376F6" w:rsidRDefault="00D376F6" w:rsidP="00D376F6">
      <w:pPr>
        <w:spacing w:after="120"/>
        <w:rPr>
          <w:rFonts w:ascii="Times New Roman" w:hAnsi="Times New Roman"/>
          <w:szCs w:val="24"/>
          <w:lang w:val="en-IE"/>
        </w:rPr>
      </w:pPr>
      <w:r w:rsidRPr="00003434">
        <w:rPr>
          <w:rFonts w:ascii="Times New Roman" w:hAnsi="Times New Roman"/>
          <w:szCs w:val="24"/>
          <w:lang w:val="en-IE"/>
        </w:rPr>
        <w:t>Furthermore, the Commission is committed to continue using all the tools at its disposal to ensure that fair competition is not distorted through the grant of illegal tax breaks to multinational companies. Accordingly, the Commission will continue its State aid inquiry into tax ruling practices and other aggressive tax planning schemes, in the light of the most recent case law on fiscal State aid</w:t>
      </w:r>
      <w:r>
        <w:rPr>
          <w:rFonts w:ascii="Times New Roman" w:hAnsi="Times New Roman"/>
          <w:szCs w:val="24"/>
          <w:lang w:val="en-IE"/>
        </w:rPr>
        <w:t>.</w:t>
      </w:r>
    </w:p>
    <w:p w14:paraId="23F73D1F" w14:textId="77777777" w:rsidR="00D376F6" w:rsidRPr="00D376F6" w:rsidRDefault="00D376F6" w:rsidP="00D376F6">
      <w:pPr>
        <w:spacing w:after="120"/>
        <w:rPr>
          <w:rFonts w:ascii="Times New Roman" w:hAnsi="Times New Roman"/>
          <w:szCs w:val="24"/>
          <w:lang w:val="en-IE"/>
        </w:rPr>
      </w:pPr>
      <w:r w:rsidRPr="00D376F6">
        <w:rPr>
          <w:rFonts w:ascii="Times New Roman" w:hAnsi="Times New Roman"/>
        </w:rPr>
        <w:t>Lastly, the Commission is putting forward a proposal for a Directive on Transfer Pricing. Such Directive will help preserving the level playing field by closing loopholes that arise from divergent applications of transfer pricing rules within the EU, complementing the efforts done on the State aid control front.</w:t>
      </w:r>
    </w:p>
    <w:sectPr w:rsidR="00D376F6" w:rsidRPr="00D376F6">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4DD5" w14:textId="77777777" w:rsidR="005710CE" w:rsidRDefault="005710CE" w:rsidP="000F03A0">
      <w:pPr>
        <w:spacing w:after="0"/>
      </w:pPr>
      <w:r>
        <w:separator/>
      </w:r>
    </w:p>
  </w:endnote>
  <w:endnote w:type="continuationSeparator" w:id="0">
    <w:p w14:paraId="383E8BCB" w14:textId="77777777" w:rsidR="005710CE" w:rsidRDefault="005710CE" w:rsidP="000F03A0">
      <w:pPr>
        <w:spacing w:after="0"/>
      </w:pPr>
      <w:r>
        <w:continuationSeparator/>
      </w:r>
    </w:p>
  </w:endnote>
  <w:endnote w:type="continuationNotice" w:id="1">
    <w:p w14:paraId="715D79F4" w14:textId="77777777" w:rsidR="005710CE" w:rsidRDefault="00571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23075"/>
      <w:docPartObj>
        <w:docPartGallery w:val="Page Numbers (Bottom of Page)"/>
        <w:docPartUnique/>
      </w:docPartObj>
    </w:sdtPr>
    <w:sdtEndPr>
      <w:rPr>
        <w:noProof/>
      </w:rPr>
    </w:sdtEndPr>
    <w:sdtContent>
      <w:p w14:paraId="2D7AB08B" w14:textId="39D058EB" w:rsidR="00E46E17" w:rsidRDefault="00E46E17">
        <w:pPr>
          <w:pStyle w:val="Footer"/>
          <w:jc w:val="center"/>
        </w:pPr>
        <w:r w:rsidRPr="00E46E17">
          <w:rPr>
            <w:rFonts w:ascii="Times New Roman" w:hAnsi="Times New Roman"/>
            <w:sz w:val="20"/>
          </w:rPr>
          <w:fldChar w:fldCharType="begin"/>
        </w:r>
        <w:r w:rsidRPr="00E46E17">
          <w:rPr>
            <w:rFonts w:ascii="Times New Roman" w:hAnsi="Times New Roman"/>
            <w:sz w:val="20"/>
          </w:rPr>
          <w:instrText xml:space="preserve"> PAGE   \* MERGEFORMAT </w:instrText>
        </w:r>
        <w:r w:rsidRPr="00E46E17">
          <w:rPr>
            <w:rFonts w:ascii="Times New Roman" w:hAnsi="Times New Roman"/>
            <w:sz w:val="20"/>
          </w:rPr>
          <w:fldChar w:fldCharType="separate"/>
        </w:r>
        <w:r w:rsidRPr="00E46E17">
          <w:rPr>
            <w:rFonts w:ascii="Times New Roman" w:hAnsi="Times New Roman"/>
            <w:noProof/>
            <w:sz w:val="20"/>
          </w:rPr>
          <w:t>2</w:t>
        </w:r>
        <w:r w:rsidRPr="00E46E17">
          <w:rPr>
            <w:rFonts w:ascii="Times New Roman" w:hAnsi="Times New Roman"/>
            <w:noProof/>
            <w:sz w:val="20"/>
          </w:rPr>
          <w:fldChar w:fldCharType="end"/>
        </w:r>
      </w:p>
    </w:sdtContent>
  </w:sdt>
  <w:p w14:paraId="1ED2CC4C" w14:textId="77777777" w:rsidR="000F03A0" w:rsidRDefault="000F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2759" w14:textId="77777777" w:rsidR="005710CE" w:rsidRDefault="005710CE" w:rsidP="000F03A0">
      <w:pPr>
        <w:spacing w:after="0"/>
      </w:pPr>
      <w:r>
        <w:separator/>
      </w:r>
    </w:p>
  </w:footnote>
  <w:footnote w:type="continuationSeparator" w:id="0">
    <w:p w14:paraId="457D6513" w14:textId="77777777" w:rsidR="005710CE" w:rsidRDefault="005710CE" w:rsidP="000F03A0">
      <w:pPr>
        <w:spacing w:after="0"/>
      </w:pPr>
      <w:r>
        <w:continuationSeparator/>
      </w:r>
    </w:p>
  </w:footnote>
  <w:footnote w:type="continuationNotice" w:id="1">
    <w:p w14:paraId="41684C0B" w14:textId="77777777" w:rsidR="005710CE" w:rsidRDefault="005710CE">
      <w:pPr>
        <w:spacing w:after="0"/>
      </w:pPr>
    </w:p>
  </w:footnote>
  <w:footnote w:id="2">
    <w:p w14:paraId="5EF090F3" w14:textId="77777777" w:rsidR="00D376F6" w:rsidRPr="007607A4" w:rsidRDefault="00D376F6" w:rsidP="00D376F6">
      <w:pPr>
        <w:pStyle w:val="FootnoteText"/>
        <w:jc w:val="both"/>
        <w:rPr>
          <w:rFonts w:ascii="Times New Roman" w:hAnsi="Times New Roman"/>
        </w:rPr>
      </w:pPr>
      <w:r>
        <w:rPr>
          <w:rStyle w:val="FootnoteReference"/>
        </w:rPr>
        <w:footnoteRef/>
      </w:r>
      <w:r w:rsidRPr="00311F21">
        <w:rPr>
          <w:rStyle w:val="FootnoteReference"/>
          <w:rFonts w:ascii="Times New Roman" w:hAnsi="Times New Roman"/>
        </w:rPr>
        <w:footnoteRef/>
      </w:r>
      <w:r w:rsidRPr="00311F21">
        <w:rPr>
          <w:rFonts w:ascii="Times New Roman" w:hAnsi="Times New Roman"/>
        </w:rPr>
        <w:t xml:space="preserve"> </w:t>
      </w:r>
      <w:r>
        <w:rPr>
          <w:rFonts w:ascii="Times New Roman" w:hAnsi="Times New Roman"/>
        </w:rPr>
        <w:tab/>
      </w:r>
      <w:r w:rsidRPr="007607A4">
        <w:rPr>
          <w:rFonts w:ascii="Times New Roman" w:hAnsi="Times New Roman"/>
        </w:rPr>
        <w:t>Regulation (EU) 2022/1925 of the European Parliament and of the Council of 14 September 2022 on contestable and fair markets in the digital sector and amending Directives (EU) 2019/1937 and (EU) 2020/1828 (Digital Markets Act), OJ L 265, 12.10.2022, p. 1–66</w:t>
      </w:r>
    </w:p>
  </w:footnote>
  <w:footnote w:id="3">
    <w:p w14:paraId="4DF59294" w14:textId="77777777" w:rsidR="00D376F6" w:rsidRPr="007607A4" w:rsidRDefault="00D376F6" w:rsidP="00D376F6">
      <w:pPr>
        <w:pStyle w:val="FootnoteText"/>
        <w:jc w:val="both"/>
        <w:rPr>
          <w:rFonts w:ascii="Times New Roman" w:hAnsi="Times New Roman"/>
        </w:rPr>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t xml:space="preserve">See </w:t>
      </w:r>
      <w:hyperlink r:id="rId1" w:history="1">
        <w:r w:rsidRPr="007607A4">
          <w:rPr>
            <w:rStyle w:val="Hyperlink"/>
            <w:rFonts w:ascii="Times New Roman" w:hAnsi="Times New Roman"/>
          </w:rPr>
          <w:t>https://competition-policy.ec.europa.eu/antitrust/legislation/regulation-12003_en</w:t>
        </w:r>
      </w:hyperlink>
      <w:r w:rsidRPr="007607A4">
        <w:rPr>
          <w:rFonts w:ascii="Times New Roman" w:hAnsi="Times New Roman"/>
        </w:rPr>
        <w:t xml:space="preserve"> </w:t>
      </w:r>
    </w:p>
  </w:footnote>
  <w:footnote w:id="4">
    <w:p w14:paraId="61052742" w14:textId="77777777" w:rsidR="00D376F6" w:rsidRPr="007607A4" w:rsidRDefault="00D376F6" w:rsidP="00D376F6">
      <w:pPr>
        <w:pStyle w:val="FootnoteText"/>
        <w:jc w:val="both"/>
        <w:rPr>
          <w:rFonts w:ascii="Times New Roman" w:hAnsi="Times New Roman"/>
          <w:lang w:val="en-IE"/>
        </w:rPr>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t>Council Regulation (EC) No 1/2003 of 16 December 2002 on the implementation of the rules on competition laid down in Articles 81 and 82 of the Treaty, OJ L 1, 4.1.2003, p. 1–25</w:t>
      </w:r>
    </w:p>
  </w:footnote>
  <w:footnote w:id="5">
    <w:p w14:paraId="1DBFF39C" w14:textId="77777777" w:rsidR="00D376F6" w:rsidRPr="007607A4" w:rsidRDefault="00D376F6" w:rsidP="00D376F6">
      <w:pPr>
        <w:pStyle w:val="FootnoteText"/>
        <w:jc w:val="both"/>
        <w:rPr>
          <w:lang w:val="en-IE"/>
        </w:rPr>
      </w:pPr>
      <w:r w:rsidRPr="00311F21">
        <w:rPr>
          <w:rStyle w:val="FootnoteReference"/>
          <w:rFonts w:ascii="Times New Roman" w:hAnsi="Times New Roman"/>
        </w:rPr>
        <w:footnoteRef/>
      </w:r>
      <w:r w:rsidRPr="00311F21">
        <w:rPr>
          <w:rFonts w:ascii="Times New Roman" w:hAnsi="Times New Roman"/>
        </w:rPr>
        <w:t xml:space="preserve"> </w:t>
      </w:r>
      <w:r>
        <w:rPr>
          <w:rFonts w:ascii="Times New Roman" w:hAnsi="Times New Roman"/>
        </w:rPr>
        <w:tab/>
      </w:r>
      <w:r w:rsidRPr="007607A4">
        <w:rPr>
          <w:rFonts w:ascii="Times New Roman" w:hAnsi="Times New Roman"/>
        </w:rPr>
        <w:t>Commission Regulation (EC) No 773/2004 of 7 April 2004 relating to the conduct of proceedings by the Commission pursuant to Articles 81 and 82 of the EC Treaty, OJ L 123, 27/04/2004, p. 18-24</w:t>
      </w:r>
    </w:p>
  </w:footnote>
  <w:footnote w:id="6">
    <w:p w14:paraId="67F158F9" w14:textId="77777777" w:rsidR="00D376F6" w:rsidRPr="007607A4" w:rsidRDefault="00D376F6" w:rsidP="00D376F6">
      <w:pPr>
        <w:pStyle w:val="FootnoteText"/>
        <w:jc w:val="both"/>
        <w:rPr>
          <w:rFonts w:ascii="Times New Roman" w:hAnsi="Times New Roman"/>
        </w:rPr>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t>Communication from the Commission on the application, from 1 August 2013, of State aid rules to support measures in favour of banks in the context of the financial crisis (‘Banking Communication’), OJ C 216, 30.7.2013, p. 1–15</w:t>
      </w:r>
    </w:p>
  </w:footnote>
  <w:footnote w:id="7">
    <w:p w14:paraId="30EF363A" w14:textId="77777777" w:rsidR="00D376F6" w:rsidRPr="007607A4" w:rsidRDefault="00D376F6" w:rsidP="00D376F6">
      <w:pPr>
        <w:pStyle w:val="FootnoteText"/>
        <w:rPr>
          <w:rFonts w:ascii="Times New Roman" w:hAnsi="Times New Roman"/>
        </w:rPr>
      </w:pPr>
      <w:r w:rsidRPr="00311F21">
        <w:rPr>
          <w:rStyle w:val="FootnoteReference"/>
          <w:rFonts w:ascii="Times New Roman" w:hAnsi="Times New Roman"/>
        </w:rPr>
        <w:footnoteRef/>
      </w:r>
      <w:r w:rsidRPr="00311F21">
        <w:rPr>
          <w:rFonts w:ascii="Times New Roman" w:hAnsi="Times New Roman"/>
        </w:rPr>
        <w:t xml:space="preserve"> </w:t>
      </w:r>
      <w:r>
        <w:rPr>
          <w:rFonts w:ascii="Times New Roman" w:hAnsi="Times New Roman"/>
        </w:rPr>
        <w:tab/>
      </w:r>
      <w:hyperlink r:id="rId2" w:history="1">
        <w:r w:rsidRPr="007607A4">
          <w:rPr>
            <w:rStyle w:val="Hyperlink"/>
            <w:rFonts w:ascii="Times New Roman" w:hAnsi="Times New Roman"/>
          </w:rPr>
          <w:t>https://competition-policy.ec.europa.eu/about/competition-policy-fit-new-challenges_en</w:t>
        </w:r>
      </w:hyperlink>
    </w:p>
  </w:footnote>
  <w:footnote w:id="8">
    <w:p w14:paraId="64002CE1" w14:textId="77777777" w:rsidR="00D376F6" w:rsidRPr="001A4EF0" w:rsidRDefault="00D376F6" w:rsidP="00D376F6">
      <w:pPr>
        <w:pStyle w:val="FootnoteText"/>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r>
      <w:hyperlink r:id="rId3" w:history="1">
        <w:r w:rsidRPr="007607A4">
          <w:rPr>
            <w:rStyle w:val="Hyperlink"/>
            <w:rFonts w:ascii="Times New Roman" w:hAnsi="Times New Roman"/>
          </w:rPr>
          <w:t>https://competition-policy.ec.europa.eu/state-aid/ukraine_en</w:t>
        </w:r>
      </w:hyperlink>
    </w:p>
  </w:footnote>
  <w:footnote w:id="9">
    <w:p w14:paraId="75C69D76" w14:textId="77777777" w:rsidR="00D376F6" w:rsidRPr="007607A4" w:rsidRDefault="00D376F6" w:rsidP="00D376F6">
      <w:pPr>
        <w:pStyle w:val="FootnoteText"/>
        <w:jc w:val="both"/>
        <w:rPr>
          <w:rFonts w:ascii="Times New Roman" w:hAnsi="Times New Roman"/>
        </w:rPr>
      </w:pPr>
      <w:r w:rsidRPr="00311F21">
        <w:rPr>
          <w:rStyle w:val="FootnoteReference"/>
          <w:rFonts w:ascii="Times New Roman" w:hAnsi="Times New Roman"/>
        </w:rPr>
        <w:footnoteRef/>
      </w:r>
      <w:r w:rsidRPr="00311F21">
        <w:rPr>
          <w:rFonts w:ascii="Times New Roman" w:hAnsi="Times New Roman"/>
        </w:rPr>
        <w:t xml:space="preserve"> </w:t>
      </w:r>
      <w:r>
        <w:rPr>
          <w:rFonts w:ascii="Times New Roman" w:hAnsi="Times New Roman"/>
        </w:rPr>
        <w:tab/>
      </w:r>
      <w:r w:rsidRPr="007607A4">
        <w:rPr>
          <w:rFonts w:ascii="Times New Roman" w:hAnsi="Times New Roman"/>
        </w:rPr>
        <w:t>Council Regulation (EC) No 139/2004 of 20 January 2004 on the control of concentrations between undertakings (the EC Merger Regulation), OJ L 24, 29.1.2004, p. 1–22</w:t>
      </w:r>
    </w:p>
  </w:footnote>
  <w:footnote w:id="10">
    <w:p w14:paraId="5F939D05" w14:textId="77777777" w:rsidR="00D376F6" w:rsidRPr="007607A4" w:rsidRDefault="00D376F6" w:rsidP="00D376F6">
      <w:pPr>
        <w:pStyle w:val="FootnoteText"/>
        <w:jc w:val="both"/>
        <w:rPr>
          <w:rFonts w:ascii="Times New Roman" w:hAnsi="Times New Roman"/>
        </w:rPr>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t>Communication from the Commission Guidance on the application of the referral mechanism set out in Article 22 of the Merger Regulation to certain categories of cases 2021/C 113/01, C/2021/1959, OJ C 113, 31.3.2021, p. 1–6</w:t>
      </w:r>
    </w:p>
  </w:footnote>
  <w:footnote w:id="11">
    <w:p w14:paraId="3CFBAB0C" w14:textId="77777777" w:rsidR="00D376F6" w:rsidRPr="007607A4" w:rsidRDefault="00D376F6" w:rsidP="00D376F6">
      <w:pPr>
        <w:pStyle w:val="FootnoteText"/>
        <w:jc w:val="both"/>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t>Guidelines on the assessment of horizontal mergers under the Council Regulation on the control of concentrations between undertakings, OJ C 31, 5.2.2004, p. 5–18</w:t>
      </w:r>
    </w:p>
  </w:footnote>
  <w:footnote w:id="12">
    <w:p w14:paraId="1DDDCA39" w14:textId="77777777" w:rsidR="00D376F6" w:rsidRPr="00311F21" w:rsidRDefault="00D376F6" w:rsidP="00D376F6">
      <w:pPr>
        <w:pStyle w:val="FootnoteText"/>
        <w:rPr>
          <w:rFonts w:ascii="Times New Roman" w:hAnsi="Times New Roman"/>
        </w:rPr>
      </w:pPr>
      <w:r w:rsidRPr="007607A4">
        <w:rPr>
          <w:rStyle w:val="FootnoteReference"/>
          <w:rFonts w:ascii="Times New Roman" w:hAnsi="Times New Roman"/>
        </w:rPr>
        <w:footnoteRef/>
      </w:r>
      <w:r w:rsidRPr="007607A4">
        <w:rPr>
          <w:rFonts w:ascii="Times New Roman" w:hAnsi="Times New Roman"/>
        </w:rPr>
        <w:t xml:space="preserve"> </w:t>
      </w:r>
      <w:r w:rsidRPr="007607A4">
        <w:rPr>
          <w:rFonts w:ascii="Times New Roman" w:hAnsi="Times New Roman"/>
        </w:rPr>
        <w:tab/>
      </w:r>
      <w:hyperlink r:id="rId4" w:history="1">
        <w:r w:rsidRPr="007607A4">
          <w:rPr>
            <w:rStyle w:val="Hyperlink"/>
            <w:rFonts w:ascii="Times New Roman" w:hAnsi="Times New Roman"/>
          </w:rPr>
          <w:t>https://competition-policy.ec.europa.eu/public-consultations/2023-sgei_en</w:t>
        </w:r>
      </w:hyperlink>
    </w:p>
  </w:footnote>
  <w:footnote w:id="13">
    <w:p w14:paraId="60A39E88" w14:textId="77777777" w:rsidR="00D376F6" w:rsidRPr="007607A4" w:rsidRDefault="00D376F6" w:rsidP="00D376F6">
      <w:pPr>
        <w:pStyle w:val="FootnoteText"/>
        <w:jc w:val="both"/>
        <w:rPr>
          <w:rFonts w:ascii="Times New Roman" w:hAnsi="Times New Roman"/>
        </w:rPr>
      </w:pPr>
      <w:r w:rsidRPr="00311F21">
        <w:rPr>
          <w:rStyle w:val="FootnoteReference"/>
          <w:rFonts w:ascii="Times New Roman" w:hAnsi="Times New Roman"/>
        </w:rPr>
        <w:footnoteRef/>
      </w:r>
      <w:r w:rsidRPr="00311F21">
        <w:rPr>
          <w:rFonts w:ascii="Times New Roman" w:hAnsi="Times New Roman"/>
        </w:rPr>
        <w:t xml:space="preserve"> </w:t>
      </w:r>
      <w:r>
        <w:rPr>
          <w:rFonts w:ascii="Times New Roman" w:hAnsi="Times New Roman"/>
        </w:rPr>
        <w:tab/>
      </w:r>
      <w:r w:rsidRPr="007607A4">
        <w:rPr>
          <w:rFonts w:ascii="Times New Roman" w:hAnsi="Times New Roman"/>
        </w:rPr>
        <w:t>Directive 2014/104/EU of the European Parliament and of the Council of 26 November 2014 on certain rules governing actions for damages under national law for infringements of the competition law provisions of the Member States and of the European Union, OJ L 349, 5.12.2014, p.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9B4"/>
    <w:multiLevelType w:val="hybridMultilevel"/>
    <w:tmpl w:val="968A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B6970"/>
    <w:multiLevelType w:val="hybridMultilevel"/>
    <w:tmpl w:val="DFD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F2F86"/>
    <w:multiLevelType w:val="hybridMultilevel"/>
    <w:tmpl w:val="D1A2B6C0"/>
    <w:lvl w:ilvl="0" w:tplc="29923364">
      <w:start w:val="1"/>
      <w:numFmt w:val="decimal"/>
      <w:lvlText w:val="%1."/>
      <w:lvlJc w:val="left"/>
      <w:pPr>
        <w:ind w:left="720" w:hanging="72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355E0"/>
    <w:multiLevelType w:val="hybridMultilevel"/>
    <w:tmpl w:val="FD987B26"/>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4" w15:restartNumberingAfterBreak="0">
    <w:nsid w:val="576B6F2E"/>
    <w:multiLevelType w:val="hybridMultilevel"/>
    <w:tmpl w:val="C81C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671972">
    <w:abstractNumId w:val="3"/>
  </w:num>
  <w:num w:numId="2" w16cid:durableId="1636791226">
    <w:abstractNumId w:val="2"/>
  </w:num>
  <w:num w:numId="3" w16cid:durableId="2146042807">
    <w:abstractNumId w:val="1"/>
  </w:num>
  <w:num w:numId="4" w16cid:durableId="1087575198">
    <w:abstractNumId w:val="0"/>
  </w:num>
  <w:num w:numId="5" w16cid:durableId="206945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C0BAB"/>
    <w:rsid w:val="00003434"/>
    <w:rsid w:val="00011E82"/>
    <w:rsid w:val="0002494B"/>
    <w:rsid w:val="00025C13"/>
    <w:rsid w:val="000505A3"/>
    <w:rsid w:val="0005691F"/>
    <w:rsid w:val="000674F3"/>
    <w:rsid w:val="000826EF"/>
    <w:rsid w:val="000A1578"/>
    <w:rsid w:val="000B70B9"/>
    <w:rsid w:val="000C65D7"/>
    <w:rsid w:val="000E3279"/>
    <w:rsid w:val="000E3804"/>
    <w:rsid w:val="000E7073"/>
    <w:rsid w:val="000F03A0"/>
    <w:rsid w:val="000F4A0D"/>
    <w:rsid w:val="000F5D07"/>
    <w:rsid w:val="001006DF"/>
    <w:rsid w:val="00107425"/>
    <w:rsid w:val="001207F1"/>
    <w:rsid w:val="001229AA"/>
    <w:rsid w:val="00140441"/>
    <w:rsid w:val="00141B8C"/>
    <w:rsid w:val="00166126"/>
    <w:rsid w:val="00166F51"/>
    <w:rsid w:val="0017329E"/>
    <w:rsid w:val="0018217D"/>
    <w:rsid w:val="00183900"/>
    <w:rsid w:val="00186AC1"/>
    <w:rsid w:val="00194B06"/>
    <w:rsid w:val="001963A5"/>
    <w:rsid w:val="00196777"/>
    <w:rsid w:val="001A385A"/>
    <w:rsid w:val="001A4AA4"/>
    <w:rsid w:val="001A4EF0"/>
    <w:rsid w:val="001A570F"/>
    <w:rsid w:val="001B3866"/>
    <w:rsid w:val="001C298D"/>
    <w:rsid w:val="001D3023"/>
    <w:rsid w:val="001D450E"/>
    <w:rsid w:val="001D62F3"/>
    <w:rsid w:val="001D63AC"/>
    <w:rsid w:val="001F2DEE"/>
    <w:rsid w:val="001F452C"/>
    <w:rsid w:val="001F4DE2"/>
    <w:rsid w:val="002000DA"/>
    <w:rsid w:val="00211BF0"/>
    <w:rsid w:val="002254D4"/>
    <w:rsid w:val="00226113"/>
    <w:rsid w:val="00255979"/>
    <w:rsid w:val="00260BD1"/>
    <w:rsid w:val="00261A23"/>
    <w:rsid w:val="00262248"/>
    <w:rsid w:val="00262DD9"/>
    <w:rsid w:val="00272113"/>
    <w:rsid w:val="00284E09"/>
    <w:rsid w:val="002908B8"/>
    <w:rsid w:val="00291923"/>
    <w:rsid w:val="002A0AD5"/>
    <w:rsid w:val="002A4F1A"/>
    <w:rsid w:val="002A6E17"/>
    <w:rsid w:val="002A7B33"/>
    <w:rsid w:val="002B621D"/>
    <w:rsid w:val="002C03BC"/>
    <w:rsid w:val="002C03E3"/>
    <w:rsid w:val="002C10E3"/>
    <w:rsid w:val="002D06BD"/>
    <w:rsid w:val="002D0F9D"/>
    <w:rsid w:val="002D39A2"/>
    <w:rsid w:val="002D4C61"/>
    <w:rsid w:val="002E192C"/>
    <w:rsid w:val="002E303B"/>
    <w:rsid w:val="002F3DDB"/>
    <w:rsid w:val="002F6FCF"/>
    <w:rsid w:val="00307387"/>
    <w:rsid w:val="00311F21"/>
    <w:rsid w:val="00314599"/>
    <w:rsid w:val="0032322A"/>
    <w:rsid w:val="00325DA7"/>
    <w:rsid w:val="00343D6B"/>
    <w:rsid w:val="0035146D"/>
    <w:rsid w:val="003539FD"/>
    <w:rsid w:val="00354370"/>
    <w:rsid w:val="0035488A"/>
    <w:rsid w:val="00362F05"/>
    <w:rsid w:val="00370279"/>
    <w:rsid w:val="00370B2C"/>
    <w:rsid w:val="0038033D"/>
    <w:rsid w:val="00390843"/>
    <w:rsid w:val="00391C46"/>
    <w:rsid w:val="003A072C"/>
    <w:rsid w:val="003A61B0"/>
    <w:rsid w:val="003A6D79"/>
    <w:rsid w:val="003A6FB7"/>
    <w:rsid w:val="003C62E9"/>
    <w:rsid w:val="003D0F6E"/>
    <w:rsid w:val="003D49EA"/>
    <w:rsid w:val="003E2465"/>
    <w:rsid w:val="003E6D96"/>
    <w:rsid w:val="003F338E"/>
    <w:rsid w:val="003F3511"/>
    <w:rsid w:val="003F52FE"/>
    <w:rsid w:val="00411B47"/>
    <w:rsid w:val="00414ED7"/>
    <w:rsid w:val="00437A4E"/>
    <w:rsid w:val="00440836"/>
    <w:rsid w:val="00445D9D"/>
    <w:rsid w:val="00446E00"/>
    <w:rsid w:val="00453E0C"/>
    <w:rsid w:val="00466357"/>
    <w:rsid w:val="004672FD"/>
    <w:rsid w:val="00467A80"/>
    <w:rsid w:val="00472CE1"/>
    <w:rsid w:val="004852CF"/>
    <w:rsid w:val="0049705C"/>
    <w:rsid w:val="004A03C0"/>
    <w:rsid w:val="004B30DA"/>
    <w:rsid w:val="004C0BAB"/>
    <w:rsid w:val="004C5B5E"/>
    <w:rsid w:val="004C6C0F"/>
    <w:rsid w:val="004F0A15"/>
    <w:rsid w:val="004F4655"/>
    <w:rsid w:val="00521155"/>
    <w:rsid w:val="00535A08"/>
    <w:rsid w:val="00535C69"/>
    <w:rsid w:val="00536713"/>
    <w:rsid w:val="00547555"/>
    <w:rsid w:val="00557825"/>
    <w:rsid w:val="00563503"/>
    <w:rsid w:val="00565A79"/>
    <w:rsid w:val="0057084D"/>
    <w:rsid w:val="00570ADB"/>
    <w:rsid w:val="005710CE"/>
    <w:rsid w:val="005723C2"/>
    <w:rsid w:val="005763C8"/>
    <w:rsid w:val="005815BA"/>
    <w:rsid w:val="00584C2D"/>
    <w:rsid w:val="00595657"/>
    <w:rsid w:val="00596FBF"/>
    <w:rsid w:val="00597CA0"/>
    <w:rsid w:val="005B1534"/>
    <w:rsid w:val="005B16BA"/>
    <w:rsid w:val="005B30D9"/>
    <w:rsid w:val="005B3F57"/>
    <w:rsid w:val="005B518C"/>
    <w:rsid w:val="005C0977"/>
    <w:rsid w:val="005C4CBB"/>
    <w:rsid w:val="005C599F"/>
    <w:rsid w:val="005C78F2"/>
    <w:rsid w:val="005D4034"/>
    <w:rsid w:val="005D50CA"/>
    <w:rsid w:val="005E6BBB"/>
    <w:rsid w:val="005F2E4B"/>
    <w:rsid w:val="00614C4C"/>
    <w:rsid w:val="00620C5D"/>
    <w:rsid w:val="00620CC8"/>
    <w:rsid w:val="00625115"/>
    <w:rsid w:val="0062553D"/>
    <w:rsid w:val="00635AF6"/>
    <w:rsid w:val="00636970"/>
    <w:rsid w:val="0064376E"/>
    <w:rsid w:val="00646EE1"/>
    <w:rsid w:val="00660304"/>
    <w:rsid w:val="006706A9"/>
    <w:rsid w:val="00670CFF"/>
    <w:rsid w:val="00675C3B"/>
    <w:rsid w:val="00677B02"/>
    <w:rsid w:val="006824A1"/>
    <w:rsid w:val="006844F3"/>
    <w:rsid w:val="00693324"/>
    <w:rsid w:val="0069723A"/>
    <w:rsid w:val="006A4D71"/>
    <w:rsid w:val="006B195D"/>
    <w:rsid w:val="006B6C6C"/>
    <w:rsid w:val="006C52E2"/>
    <w:rsid w:val="006D1952"/>
    <w:rsid w:val="006D44A3"/>
    <w:rsid w:val="006D7E27"/>
    <w:rsid w:val="006E6B75"/>
    <w:rsid w:val="006E6EE0"/>
    <w:rsid w:val="006F0452"/>
    <w:rsid w:val="006F23DC"/>
    <w:rsid w:val="006F4988"/>
    <w:rsid w:val="006F5075"/>
    <w:rsid w:val="00703731"/>
    <w:rsid w:val="00714209"/>
    <w:rsid w:val="00715128"/>
    <w:rsid w:val="00720B02"/>
    <w:rsid w:val="00734820"/>
    <w:rsid w:val="00737633"/>
    <w:rsid w:val="00743DC1"/>
    <w:rsid w:val="00756F98"/>
    <w:rsid w:val="00760580"/>
    <w:rsid w:val="007607A4"/>
    <w:rsid w:val="00770EEE"/>
    <w:rsid w:val="0077122F"/>
    <w:rsid w:val="00774099"/>
    <w:rsid w:val="007748A7"/>
    <w:rsid w:val="00781A46"/>
    <w:rsid w:val="007849D8"/>
    <w:rsid w:val="00791A02"/>
    <w:rsid w:val="00792742"/>
    <w:rsid w:val="007B2C35"/>
    <w:rsid w:val="007B38FA"/>
    <w:rsid w:val="007B5AB3"/>
    <w:rsid w:val="007C0058"/>
    <w:rsid w:val="007C3984"/>
    <w:rsid w:val="007C496F"/>
    <w:rsid w:val="007D3C7B"/>
    <w:rsid w:val="007E1AE1"/>
    <w:rsid w:val="007E72AF"/>
    <w:rsid w:val="007F12B9"/>
    <w:rsid w:val="008029F6"/>
    <w:rsid w:val="00806A9E"/>
    <w:rsid w:val="00807AAF"/>
    <w:rsid w:val="00811011"/>
    <w:rsid w:val="00812EB3"/>
    <w:rsid w:val="00826F9C"/>
    <w:rsid w:val="008575A3"/>
    <w:rsid w:val="00861022"/>
    <w:rsid w:val="00863CB3"/>
    <w:rsid w:val="00866838"/>
    <w:rsid w:val="00866C6C"/>
    <w:rsid w:val="008813C8"/>
    <w:rsid w:val="00882347"/>
    <w:rsid w:val="00893250"/>
    <w:rsid w:val="008934D6"/>
    <w:rsid w:val="008938C5"/>
    <w:rsid w:val="008959F1"/>
    <w:rsid w:val="008A2A12"/>
    <w:rsid w:val="008B1D4B"/>
    <w:rsid w:val="008B589D"/>
    <w:rsid w:val="008C18B6"/>
    <w:rsid w:val="008C3A95"/>
    <w:rsid w:val="008D054A"/>
    <w:rsid w:val="008E3CAC"/>
    <w:rsid w:val="008E5D4C"/>
    <w:rsid w:val="008F4E1E"/>
    <w:rsid w:val="008F6560"/>
    <w:rsid w:val="0090383B"/>
    <w:rsid w:val="00915C10"/>
    <w:rsid w:val="009177F4"/>
    <w:rsid w:val="00937A4F"/>
    <w:rsid w:val="0094556A"/>
    <w:rsid w:val="00954AA0"/>
    <w:rsid w:val="00957CC3"/>
    <w:rsid w:val="009857B6"/>
    <w:rsid w:val="0099021D"/>
    <w:rsid w:val="0099280E"/>
    <w:rsid w:val="00993EC6"/>
    <w:rsid w:val="0099573E"/>
    <w:rsid w:val="009A394F"/>
    <w:rsid w:val="009C1E83"/>
    <w:rsid w:val="009D20C1"/>
    <w:rsid w:val="009E0E82"/>
    <w:rsid w:val="009F2554"/>
    <w:rsid w:val="009F7801"/>
    <w:rsid w:val="00A053E2"/>
    <w:rsid w:val="00A07B3F"/>
    <w:rsid w:val="00A12150"/>
    <w:rsid w:val="00A127AA"/>
    <w:rsid w:val="00A2501F"/>
    <w:rsid w:val="00A3508C"/>
    <w:rsid w:val="00A5617F"/>
    <w:rsid w:val="00A71666"/>
    <w:rsid w:val="00A94055"/>
    <w:rsid w:val="00A96619"/>
    <w:rsid w:val="00AA458D"/>
    <w:rsid w:val="00AA4DC4"/>
    <w:rsid w:val="00AB2927"/>
    <w:rsid w:val="00AB4BA6"/>
    <w:rsid w:val="00AB5443"/>
    <w:rsid w:val="00AD0287"/>
    <w:rsid w:val="00AD32C6"/>
    <w:rsid w:val="00AD6F14"/>
    <w:rsid w:val="00AE6D97"/>
    <w:rsid w:val="00AF1988"/>
    <w:rsid w:val="00B0394B"/>
    <w:rsid w:val="00B12647"/>
    <w:rsid w:val="00B242D6"/>
    <w:rsid w:val="00B33E66"/>
    <w:rsid w:val="00B40985"/>
    <w:rsid w:val="00B41FCD"/>
    <w:rsid w:val="00B5207F"/>
    <w:rsid w:val="00B55153"/>
    <w:rsid w:val="00B55B62"/>
    <w:rsid w:val="00B6143F"/>
    <w:rsid w:val="00B7387A"/>
    <w:rsid w:val="00B90D87"/>
    <w:rsid w:val="00B91DE8"/>
    <w:rsid w:val="00B962B6"/>
    <w:rsid w:val="00BA59ED"/>
    <w:rsid w:val="00BB3400"/>
    <w:rsid w:val="00BC0879"/>
    <w:rsid w:val="00BC14D7"/>
    <w:rsid w:val="00BC41ED"/>
    <w:rsid w:val="00BC4BB3"/>
    <w:rsid w:val="00BE138D"/>
    <w:rsid w:val="00BE29F6"/>
    <w:rsid w:val="00BE5881"/>
    <w:rsid w:val="00BF6B9F"/>
    <w:rsid w:val="00BF7A63"/>
    <w:rsid w:val="00C05F6D"/>
    <w:rsid w:val="00C140C7"/>
    <w:rsid w:val="00C252DF"/>
    <w:rsid w:val="00C26068"/>
    <w:rsid w:val="00C32D5B"/>
    <w:rsid w:val="00C34C83"/>
    <w:rsid w:val="00C45006"/>
    <w:rsid w:val="00C47002"/>
    <w:rsid w:val="00C47D1C"/>
    <w:rsid w:val="00C53083"/>
    <w:rsid w:val="00C56DDF"/>
    <w:rsid w:val="00C64463"/>
    <w:rsid w:val="00C81267"/>
    <w:rsid w:val="00C8776C"/>
    <w:rsid w:val="00C964A5"/>
    <w:rsid w:val="00C97892"/>
    <w:rsid w:val="00CA6B3C"/>
    <w:rsid w:val="00CB1232"/>
    <w:rsid w:val="00CC3E64"/>
    <w:rsid w:val="00CC451D"/>
    <w:rsid w:val="00CC5A7D"/>
    <w:rsid w:val="00CD06A4"/>
    <w:rsid w:val="00CD3F21"/>
    <w:rsid w:val="00CE0B5C"/>
    <w:rsid w:val="00CE0BE5"/>
    <w:rsid w:val="00CE7A45"/>
    <w:rsid w:val="00CF083C"/>
    <w:rsid w:val="00CF32A1"/>
    <w:rsid w:val="00CF49C5"/>
    <w:rsid w:val="00D11806"/>
    <w:rsid w:val="00D12C11"/>
    <w:rsid w:val="00D13416"/>
    <w:rsid w:val="00D13519"/>
    <w:rsid w:val="00D15334"/>
    <w:rsid w:val="00D242C3"/>
    <w:rsid w:val="00D36689"/>
    <w:rsid w:val="00D376F6"/>
    <w:rsid w:val="00D37C44"/>
    <w:rsid w:val="00D4544F"/>
    <w:rsid w:val="00D467DF"/>
    <w:rsid w:val="00D47A8B"/>
    <w:rsid w:val="00D53515"/>
    <w:rsid w:val="00D54322"/>
    <w:rsid w:val="00D720B1"/>
    <w:rsid w:val="00D724B5"/>
    <w:rsid w:val="00D746AD"/>
    <w:rsid w:val="00D82498"/>
    <w:rsid w:val="00D82EE0"/>
    <w:rsid w:val="00DA20DE"/>
    <w:rsid w:val="00DA2187"/>
    <w:rsid w:val="00DA7405"/>
    <w:rsid w:val="00DC313D"/>
    <w:rsid w:val="00DD3F89"/>
    <w:rsid w:val="00DD6EEF"/>
    <w:rsid w:val="00DE0B0C"/>
    <w:rsid w:val="00DE1440"/>
    <w:rsid w:val="00DF3932"/>
    <w:rsid w:val="00DF5504"/>
    <w:rsid w:val="00DF69CD"/>
    <w:rsid w:val="00DF6FF7"/>
    <w:rsid w:val="00E024C2"/>
    <w:rsid w:val="00E0326E"/>
    <w:rsid w:val="00E1070C"/>
    <w:rsid w:val="00E175FB"/>
    <w:rsid w:val="00E238C4"/>
    <w:rsid w:val="00E23DDC"/>
    <w:rsid w:val="00E36074"/>
    <w:rsid w:val="00E46E17"/>
    <w:rsid w:val="00E52F50"/>
    <w:rsid w:val="00E60CA6"/>
    <w:rsid w:val="00E60FEA"/>
    <w:rsid w:val="00E7586E"/>
    <w:rsid w:val="00E812A9"/>
    <w:rsid w:val="00E95DE3"/>
    <w:rsid w:val="00EA6AC2"/>
    <w:rsid w:val="00EB3AFB"/>
    <w:rsid w:val="00EC7D08"/>
    <w:rsid w:val="00EC7DB4"/>
    <w:rsid w:val="00ED5F19"/>
    <w:rsid w:val="00EE0E64"/>
    <w:rsid w:val="00EE189B"/>
    <w:rsid w:val="00EE2A0E"/>
    <w:rsid w:val="00EE6CD7"/>
    <w:rsid w:val="00EF2CC5"/>
    <w:rsid w:val="00F00E39"/>
    <w:rsid w:val="00F05B2C"/>
    <w:rsid w:val="00F24AA4"/>
    <w:rsid w:val="00F27625"/>
    <w:rsid w:val="00F32CF0"/>
    <w:rsid w:val="00F429F8"/>
    <w:rsid w:val="00F50BB3"/>
    <w:rsid w:val="00F512A4"/>
    <w:rsid w:val="00F660FB"/>
    <w:rsid w:val="00F673D1"/>
    <w:rsid w:val="00F8704A"/>
    <w:rsid w:val="00F90603"/>
    <w:rsid w:val="00F93B03"/>
    <w:rsid w:val="00F978E8"/>
    <w:rsid w:val="00FA1831"/>
    <w:rsid w:val="00FB68A1"/>
    <w:rsid w:val="00FC5E8E"/>
    <w:rsid w:val="00FD6E32"/>
    <w:rsid w:val="00FD7922"/>
    <w:rsid w:val="00FE378B"/>
    <w:rsid w:val="00FF08B6"/>
    <w:rsid w:val="00FF38CA"/>
    <w:rsid w:val="00FF471F"/>
    <w:rsid w:val="00FF5AAD"/>
    <w:rsid w:val="0BFD97DF"/>
    <w:rsid w:val="0E970531"/>
    <w:rsid w:val="141D500A"/>
    <w:rsid w:val="14EDE800"/>
    <w:rsid w:val="2C9F0B06"/>
    <w:rsid w:val="2FE2FA85"/>
    <w:rsid w:val="5CC68A16"/>
    <w:rsid w:val="698BE4C1"/>
    <w:rsid w:val="7BF0A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1B42"/>
  <w15:chartTrackingRefBased/>
  <w15:docId w15:val="{7692D804-DAA8-435C-A525-C051A43B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10"/>
    <w:pPr>
      <w:spacing w:after="240" w:line="240" w:lineRule="auto"/>
      <w:jc w:val="both"/>
    </w:pPr>
    <w:rPr>
      <w:rFonts w:ascii="Courier New" w:eastAsia="Times New Roman" w:hAnsi="Courier New"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
    <w:basedOn w:val="Normal"/>
    <w:link w:val="ListParagraphChar"/>
    <w:uiPriority w:val="34"/>
    <w:qFormat/>
    <w:rsid w:val="00D12C11"/>
    <w:pPr>
      <w:spacing w:after="200" w:line="276" w:lineRule="auto"/>
      <w:ind w:left="720"/>
      <w:contextualSpacing/>
    </w:pPr>
    <w:rPr>
      <w:rFonts w:ascii="Calibri" w:eastAsia="Calibri" w:hAnsi="Calibri"/>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D12C11"/>
    <w:rPr>
      <w:rFonts w:ascii="Calibri" w:eastAsia="Calibri" w:hAnsi="Calibri" w:cs="Times New Roman"/>
    </w:rPr>
  </w:style>
  <w:style w:type="character" w:styleId="CommentReference">
    <w:name w:val="annotation reference"/>
    <w:basedOn w:val="DefaultParagraphFont"/>
    <w:uiPriority w:val="99"/>
    <w:semiHidden/>
    <w:unhideWhenUsed/>
    <w:rsid w:val="00262DD9"/>
    <w:rPr>
      <w:sz w:val="16"/>
      <w:szCs w:val="16"/>
    </w:rPr>
  </w:style>
  <w:style w:type="paragraph" w:styleId="CommentText">
    <w:name w:val="annotation text"/>
    <w:basedOn w:val="Normal"/>
    <w:link w:val="CommentTextChar"/>
    <w:uiPriority w:val="99"/>
    <w:unhideWhenUsed/>
    <w:rsid w:val="00262DD9"/>
    <w:rPr>
      <w:sz w:val="20"/>
    </w:rPr>
  </w:style>
  <w:style w:type="character" w:customStyle="1" w:styleId="CommentTextChar">
    <w:name w:val="Comment Text Char"/>
    <w:basedOn w:val="DefaultParagraphFont"/>
    <w:link w:val="CommentText"/>
    <w:uiPriority w:val="99"/>
    <w:rsid w:val="00262DD9"/>
    <w:rPr>
      <w:sz w:val="20"/>
      <w:szCs w:val="20"/>
    </w:rPr>
  </w:style>
  <w:style w:type="paragraph" w:styleId="CommentSubject">
    <w:name w:val="annotation subject"/>
    <w:basedOn w:val="CommentText"/>
    <w:next w:val="CommentText"/>
    <w:link w:val="CommentSubjectChar"/>
    <w:uiPriority w:val="99"/>
    <w:semiHidden/>
    <w:unhideWhenUsed/>
    <w:rsid w:val="00262DD9"/>
    <w:rPr>
      <w:b/>
      <w:bCs/>
    </w:rPr>
  </w:style>
  <w:style w:type="character" w:customStyle="1" w:styleId="CommentSubjectChar">
    <w:name w:val="Comment Subject Char"/>
    <w:basedOn w:val="CommentTextChar"/>
    <w:link w:val="CommentSubject"/>
    <w:uiPriority w:val="99"/>
    <w:semiHidden/>
    <w:rsid w:val="00262DD9"/>
    <w:rPr>
      <w:b/>
      <w:bCs/>
      <w:sz w:val="20"/>
      <w:szCs w:val="20"/>
    </w:rPr>
  </w:style>
  <w:style w:type="paragraph" w:styleId="BalloonText">
    <w:name w:val="Balloon Text"/>
    <w:basedOn w:val="Normal"/>
    <w:link w:val="BalloonTextChar"/>
    <w:uiPriority w:val="99"/>
    <w:semiHidden/>
    <w:unhideWhenUsed/>
    <w:rsid w:val="00262D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9"/>
    <w:rPr>
      <w:rFonts w:ascii="Segoe UI" w:hAnsi="Segoe UI" w:cs="Segoe UI"/>
      <w:sz w:val="18"/>
      <w:szCs w:val="18"/>
    </w:rPr>
  </w:style>
  <w:style w:type="paragraph" w:styleId="Revision">
    <w:name w:val="Revision"/>
    <w:hidden/>
    <w:uiPriority w:val="99"/>
    <w:semiHidden/>
    <w:rsid w:val="007B38FA"/>
    <w:pPr>
      <w:spacing w:after="0" w:line="240" w:lineRule="auto"/>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F03A0"/>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link w:val="FootnoteTextChar"/>
    <w:uiPriority w:val="99"/>
    <w:qFormat/>
    <w:rsid w:val="000F03A0"/>
    <w:pPr>
      <w:tabs>
        <w:tab w:val="left" w:pos="284"/>
      </w:tabs>
      <w:spacing w:after="0" w:line="240" w:lineRule="auto"/>
      <w:ind w:left="284" w:hanging="284"/>
    </w:pPr>
    <w:rPr>
      <w:rFonts w:ascii="Arial" w:eastAsia="Times New Roman" w:hAnsi="Arial" w:cs="Times New Roman"/>
      <w:sz w:val="18"/>
      <w:szCs w:val="20"/>
      <w:lang w:val="en-GB" w:eastAsia="en-GB"/>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semiHidden/>
    <w:rsid w:val="000F03A0"/>
    <w:rPr>
      <w:rFonts w:ascii="Arial" w:eastAsia="Times New Roman" w:hAnsi="Arial" w:cs="Times New Roman"/>
      <w:sz w:val="18"/>
      <w:szCs w:val="20"/>
      <w:lang w:val="en-GB" w:eastAsia="en-GB"/>
    </w:rPr>
  </w:style>
  <w:style w:type="paragraph" w:customStyle="1" w:styleId="Body">
    <w:name w:val="Body"/>
    <w:qFormat/>
    <w:rsid w:val="000F03A0"/>
    <w:pPr>
      <w:tabs>
        <w:tab w:val="left" w:pos="425"/>
        <w:tab w:val="left" w:pos="851"/>
        <w:tab w:val="left" w:pos="1276"/>
      </w:tabs>
      <w:spacing w:after="240" w:line="240" w:lineRule="auto"/>
    </w:pPr>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0F03A0"/>
    <w:pPr>
      <w:tabs>
        <w:tab w:val="center" w:pos="4680"/>
        <w:tab w:val="right" w:pos="9360"/>
      </w:tabs>
      <w:spacing w:after="0"/>
    </w:pPr>
  </w:style>
  <w:style w:type="character" w:customStyle="1" w:styleId="HeaderChar">
    <w:name w:val="Header Char"/>
    <w:basedOn w:val="DefaultParagraphFont"/>
    <w:link w:val="Header"/>
    <w:uiPriority w:val="99"/>
    <w:rsid w:val="000F03A0"/>
  </w:style>
  <w:style w:type="paragraph" w:styleId="Footer">
    <w:name w:val="footer"/>
    <w:basedOn w:val="Normal"/>
    <w:link w:val="FooterChar"/>
    <w:uiPriority w:val="99"/>
    <w:unhideWhenUsed/>
    <w:rsid w:val="000F03A0"/>
    <w:pPr>
      <w:tabs>
        <w:tab w:val="center" w:pos="4680"/>
        <w:tab w:val="right" w:pos="9360"/>
      </w:tabs>
      <w:spacing w:after="0"/>
    </w:pPr>
  </w:style>
  <w:style w:type="character" w:customStyle="1" w:styleId="FooterChar">
    <w:name w:val="Footer Char"/>
    <w:basedOn w:val="DefaultParagraphFont"/>
    <w:link w:val="Footer"/>
    <w:uiPriority w:val="99"/>
    <w:rsid w:val="000F03A0"/>
  </w:style>
  <w:style w:type="character" w:styleId="Hyperlink">
    <w:name w:val="Hyperlink"/>
    <w:aliases w:val="Char1"/>
    <w:uiPriority w:val="99"/>
    <w:unhideWhenUsed/>
    <w:qFormat/>
    <w:rsid w:val="006A4D71"/>
    <w:rPr>
      <w:color w:val="0000FF"/>
      <w:u w:val="single"/>
    </w:rPr>
  </w:style>
  <w:style w:type="character" w:styleId="UnresolvedMention">
    <w:name w:val="Unresolved Mention"/>
    <w:basedOn w:val="DefaultParagraphFont"/>
    <w:uiPriority w:val="99"/>
    <w:semiHidden/>
    <w:unhideWhenUsed/>
    <w:rsid w:val="003D49EA"/>
    <w:rPr>
      <w:color w:val="605E5C"/>
      <w:shd w:val="clear" w:color="auto" w:fill="E1DFDD"/>
    </w:rPr>
  </w:style>
  <w:style w:type="character" w:styleId="FollowedHyperlink">
    <w:name w:val="FollowedHyperlink"/>
    <w:basedOn w:val="DefaultParagraphFont"/>
    <w:uiPriority w:val="99"/>
    <w:semiHidden/>
    <w:unhideWhenUsed/>
    <w:rsid w:val="0035146D"/>
    <w:rPr>
      <w:color w:val="954F72" w:themeColor="followedHyperlink"/>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uiPriority w:val="99"/>
    <w:qFormat/>
    <w:rsid w:val="00915C10"/>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15C10"/>
    <w:pPr>
      <w:spacing w:after="160" w:line="240" w:lineRule="exact"/>
      <w:jc w:val="left"/>
    </w:pPr>
    <w:rPr>
      <w:rFonts w:ascii="Arial" w:eastAsiaTheme="minorHAnsi" w:hAnsi="Arial" w:cs="Arial"/>
      <w:sz w:val="18"/>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9837">
      <w:bodyDiv w:val="1"/>
      <w:marLeft w:val="0"/>
      <w:marRight w:val="0"/>
      <w:marTop w:val="0"/>
      <w:marBottom w:val="0"/>
      <w:divBdr>
        <w:top w:val="none" w:sz="0" w:space="0" w:color="auto"/>
        <w:left w:val="none" w:sz="0" w:space="0" w:color="auto"/>
        <w:bottom w:val="none" w:sz="0" w:space="0" w:color="auto"/>
        <w:right w:val="none" w:sz="0" w:space="0" w:color="auto"/>
      </w:divBdr>
    </w:div>
    <w:div w:id="502404934">
      <w:bodyDiv w:val="1"/>
      <w:marLeft w:val="0"/>
      <w:marRight w:val="0"/>
      <w:marTop w:val="0"/>
      <w:marBottom w:val="0"/>
      <w:divBdr>
        <w:top w:val="none" w:sz="0" w:space="0" w:color="auto"/>
        <w:left w:val="none" w:sz="0" w:space="0" w:color="auto"/>
        <w:bottom w:val="none" w:sz="0" w:space="0" w:color="auto"/>
        <w:right w:val="none" w:sz="0" w:space="0" w:color="auto"/>
      </w:divBdr>
    </w:div>
    <w:div w:id="1343238498">
      <w:bodyDiv w:val="1"/>
      <w:marLeft w:val="0"/>
      <w:marRight w:val="0"/>
      <w:marTop w:val="0"/>
      <w:marBottom w:val="0"/>
      <w:divBdr>
        <w:top w:val="none" w:sz="0" w:space="0" w:color="auto"/>
        <w:left w:val="none" w:sz="0" w:space="0" w:color="auto"/>
        <w:bottom w:val="none" w:sz="0" w:space="0" w:color="auto"/>
        <w:right w:val="none" w:sz="0" w:space="0" w:color="auto"/>
      </w:divBdr>
    </w:div>
    <w:div w:id="1420562210">
      <w:bodyDiv w:val="1"/>
      <w:marLeft w:val="0"/>
      <w:marRight w:val="0"/>
      <w:marTop w:val="0"/>
      <w:marBottom w:val="0"/>
      <w:divBdr>
        <w:top w:val="none" w:sz="0" w:space="0" w:color="auto"/>
        <w:left w:val="none" w:sz="0" w:space="0" w:color="auto"/>
        <w:bottom w:val="none" w:sz="0" w:space="0" w:color="auto"/>
        <w:right w:val="none" w:sz="0" w:space="0" w:color="auto"/>
      </w:divBdr>
    </w:div>
    <w:div w:id="1706053207">
      <w:bodyDiv w:val="1"/>
      <w:marLeft w:val="0"/>
      <w:marRight w:val="0"/>
      <w:marTop w:val="0"/>
      <w:marBottom w:val="0"/>
      <w:divBdr>
        <w:top w:val="none" w:sz="0" w:space="0" w:color="auto"/>
        <w:left w:val="none" w:sz="0" w:space="0" w:color="auto"/>
        <w:bottom w:val="none" w:sz="0" w:space="0" w:color="auto"/>
        <w:right w:val="none" w:sz="0" w:space="0" w:color="auto"/>
      </w:divBdr>
    </w:div>
    <w:div w:id="1995259978">
      <w:bodyDiv w:val="1"/>
      <w:marLeft w:val="0"/>
      <w:marRight w:val="0"/>
      <w:marTop w:val="0"/>
      <w:marBottom w:val="0"/>
      <w:divBdr>
        <w:top w:val="none" w:sz="0" w:space="0" w:color="auto"/>
        <w:left w:val="none" w:sz="0" w:space="0" w:color="auto"/>
        <w:bottom w:val="none" w:sz="0" w:space="0" w:color="auto"/>
        <w:right w:val="none" w:sz="0" w:space="0" w:color="auto"/>
      </w:divBdr>
    </w:div>
    <w:div w:id="1999186504">
      <w:bodyDiv w:val="1"/>
      <w:marLeft w:val="0"/>
      <w:marRight w:val="0"/>
      <w:marTop w:val="0"/>
      <w:marBottom w:val="0"/>
      <w:divBdr>
        <w:top w:val="none" w:sz="0" w:space="0" w:color="auto"/>
        <w:left w:val="none" w:sz="0" w:space="0" w:color="auto"/>
        <w:bottom w:val="none" w:sz="0" w:space="0" w:color="auto"/>
        <w:right w:val="none" w:sz="0" w:space="0" w:color="auto"/>
      </w:divBdr>
    </w:div>
    <w:div w:id="20041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ukraine_en" TargetMode="External"/><Relationship Id="rId2" Type="http://schemas.openxmlformats.org/officeDocument/2006/relationships/hyperlink" Target="https://competition-policy.ec.europa.eu/about/competition-policy-fit-new-challenges_en" TargetMode="External"/><Relationship Id="rId1" Type="http://schemas.openxmlformats.org/officeDocument/2006/relationships/hyperlink" Target="https://competition-policy.ec.europa.eu/antitrust/legislation/regulation-12003_en" TargetMode="External"/><Relationship Id="rId4" Type="http://schemas.openxmlformats.org/officeDocument/2006/relationships/hyperlink" Target="https://competition-policy.ec.europa.eu/public-consultations/2023-sgei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DB22C517043478B92BE84F04A0156" ma:contentTypeVersion="11" ma:contentTypeDescription="Create a new document." ma:contentTypeScope="" ma:versionID="ccee9d923900c97d9b60aea5683e0735">
  <xsd:schema xmlns:xsd="http://www.w3.org/2001/XMLSchema" xmlns:xs="http://www.w3.org/2001/XMLSchema" xmlns:p="http://schemas.microsoft.com/office/2006/metadata/properties" xmlns:ns2="013aa35d-30e5-41d1-9a7b-1c862c539650" xmlns:ns3="3b788819-7a32-4497-9fc9-19efc375c7e2" targetNamespace="http://schemas.microsoft.com/office/2006/metadata/properties" ma:root="true" ma:fieldsID="db3f29f01f7f213cc92f7ed4c8ebdea8" ns2:_="" ns3:_="">
    <xsd:import namespace="013aa35d-30e5-41d1-9a7b-1c862c539650"/>
    <xsd:import namespace="3b788819-7a32-4497-9fc9-19efc375c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71f249-9b2f-495b-9730-f5e999eac453}" ma:internalName="TaxCatchAll"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788819-7a32-4497-9fc9-19efc375c7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788819-7a32-4497-9fc9-19efc375c7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13aa35d-30e5-41d1-9a7b-1c862c5396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5249F-6B7F-4140-80F8-EEF184FF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3b788819-7a32-4497-9fc9-19efc375c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824C9-B0D6-4C39-9004-A26D19644CCB}">
  <ds:schemaRefs>
    <ds:schemaRef ds:uri="http://schemas.openxmlformats.org/officeDocument/2006/bibliography"/>
  </ds:schemaRefs>
</ds:datastoreItem>
</file>

<file path=customXml/itemProps3.xml><?xml version="1.0" encoding="utf-8"?>
<ds:datastoreItem xmlns:ds="http://schemas.openxmlformats.org/officeDocument/2006/customXml" ds:itemID="{1C83E6CE-7069-40A3-92FF-694EB8B26691}">
  <ds:schemaRefs>
    <ds:schemaRef ds:uri="http://schemas.microsoft.com/office/2006/metadata/properties"/>
    <ds:schemaRef ds:uri="http://schemas.microsoft.com/office/infopath/2007/PartnerControls"/>
    <ds:schemaRef ds:uri="3b788819-7a32-4497-9fc9-19efc375c7e2"/>
    <ds:schemaRef ds:uri="013aa35d-30e5-41d1-9a7b-1c862c539650"/>
  </ds:schemaRefs>
</ds:datastoreItem>
</file>

<file path=customXml/itemProps4.xml><?xml version="1.0" encoding="utf-8"?>
<ds:datastoreItem xmlns:ds="http://schemas.openxmlformats.org/officeDocument/2006/customXml" ds:itemID="{B9D82D4D-F40E-4060-B960-E646A53DA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4419</Words>
  <Characters>25149</Characters>
  <Application>Microsoft Office Word</Application>
  <DocSecurity>0</DocSecurity>
  <Lines>364</Lines>
  <Paragraphs>105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STANKOV Daniel (COMP)</dc:creator>
  <cp:keywords/>
  <dc:description/>
  <cp:lastModifiedBy>DELBAER Gerda (SG)</cp:lastModifiedBy>
  <cp:revision>5</cp:revision>
  <cp:lastPrinted>2023-07-13T17:52:00Z</cp:lastPrinted>
  <dcterms:created xsi:type="dcterms:W3CDTF">2023-08-30T12:59:00Z</dcterms:created>
  <dcterms:modified xsi:type="dcterms:W3CDTF">2023-10-27T08:10:00Z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2023-06-22T09:38:16Z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fc6bce81-b19f-4e85-841f-ea8e695addb6</vt:lpwstr>
  </property>
  <property fmtid="{D5CDD505-2E9C-101B-9397-08002B2CF9AE}" pid="8" name="MSIP_Label_6bd9ddd1-4d20-43f6-abfa-fc3c07406f94_ContentBits">
    <vt:lpwstr>0</vt:lpwstr>
  </property>
  <property fmtid="{D5CDD505-2E9C-101B-9397-08002B2CF9AE}" pid="9" name="ContentTypeId">
    <vt:lpwstr>0x0101006AEDB22C517043478B92BE84F04A0156</vt:lpwstr>
  </property>
  <property fmtid="{D5CDD505-2E9C-101B-9397-08002B2CF9AE}" pid="10" name="MediaServiceImageTags">
    <vt:lpwstr/>
  </property>
</Properties>
</file>