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13BA" w14:textId="77777777" w:rsidR="00233899" w:rsidRPr="00233899" w:rsidRDefault="00233899" w:rsidP="00233899">
      <w:pPr>
        <w:spacing w:after="600"/>
        <w:jc w:val="center"/>
        <w:rPr>
          <w:rFonts w:ascii="Times New Roman" w:hAnsi="Times New Roman"/>
          <w:b/>
          <w:bCs/>
          <w:lang w:val="fr-BE"/>
        </w:rPr>
      </w:pPr>
      <w:bookmarkStart w:id="0" w:name="competition"/>
      <w:r w:rsidRPr="00233899">
        <w:rPr>
          <w:rFonts w:ascii="Times New Roman" w:hAnsi="Times New Roman"/>
          <w:b/>
          <w:lang w:val="fr-BE"/>
        </w:rPr>
        <w:t>Suite donnée à la résolution non législative du Parlement européen sur la politique de concurrence – rapport annuel 2022</w:t>
      </w:r>
    </w:p>
    <w:bookmarkEnd w:id="0"/>
    <w:p w14:paraId="69EDA62D" w14:textId="77777777" w:rsidR="00233899" w:rsidRPr="00233899" w:rsidRDefault="00233899" w:rsidP="00233899">
      <w:pPr>
        <w:widowControl w:val="0"/>
        <w:ind w:left="567" w:hanging="567"/>
        <w:rPr>
          <w:rFonts w:ascii="Times New Roman" w:hAnsi="Times New Roman"/>
          <w:szCs w:val="24"/>
          <w:lang w:val="fr-BE"/>
        </w:rPr>
      </w:pPr>
      <w:r w:rsidRPr="00233899">
        <w:rPr>
          <w:rFonts w:ascii="Times New Roman" w:hAnsi="Times New Roman"/>
          <w:b/>
          <w:lang w:val="fr-BE"/>
        </w:rPr>
        <w:t>1.</w:t>
      </w:r>
      <w:r w:rsidRPr="00233899">
        <w:rPr>
          <w:lang w:val="fr-BE"/>
        </w:rPr>
        <w:tab/>
      </w:r>
      <w:r w:rsidRPr="00233899">
        <w:rPr>
          <w:rFonts w:ascii="Times New Roman" w:hAnsi="Times New Roman"/>
          <w:b/>
          <w:lang w:val="fr-BE"/>
        </w:rPr>
        <w:t>Rapporteur:</w:t>
      </w:r>
      <w:r w:rsidRPr="00233899">
        <w:rPr>
          <w:rFonts w:ascii="Times New Roman" w:hAnsi="Times New Roman"/>
          <w:lang w:val="fr-BE"/>
        </w:rPr>
        <w:t xml:space="preserve"> René REPASI </w:t>
      </w:r>
      <w:r w:rsidRPr="00233899">
        <w:rPr>
          <w:rFonts w:ascii="Times New Roman" w:hAnsi="Times New Roman"/>
          <w:shd w:val="clear" w:color="auto" w:fill="FFFFFF"/>
          <w:lang w:val="fr-BE"/>
        </w:rPr>
        <w:t>(S&amp;D/DE)</w:t>
      </w:r>
    </w:p>
    <w:p w14:paraId="5D0D03DB" w14:textId="77777777" w:rsidR="00233899" w:rsidRPr="00233899" w:rsidRDefault="00233899" w:rsidP="00233899">
      <w:pPr>
        <w:widowControl w:val="0"/>
        <w:tabs>
          <w:tab w:val="left" w:pos="567"/>
        </w:tabs>
        <w:autoSpaceDE w:val="0"/>
        <w:autoSpaceDN w:val="0"/>
        <w:adjustRightInd w:val="0"/>
        <w:rPr>
          <w:rFonts w:ascii="Times New Roman" w:hAnsi="Times New Roman"/>
          <w:szCs w:val="24"/>
          <w:lang w:val="fr-BE"/>
        </w:rPr>
      </w:pPr>
      <w:r w:rsidRPr="00233899">
        <w:rPr>
          <w:rFonts w:ascii="Times New Roman" w:hAnsi="Times New Roman"/>
          <w:b/>
          <w:color w:val="000000"/>
          <w:lang w:val="fr-BE"/>
        </w:rPr>
        <w:t>2.</w:t>
      </w:r>
      <w:r w:rsidRPr="00233899">
        <w:rPr>
          <w:lang w:val="fr-BE"/>
        </w:rPr>
        <w:tab/>
      </w:r>
      <w:r w:rsidRPr="00233899">
        <w:rPr>
          <w:rFonts w:ascii="Times New Roman" w:hAnsi="Times New Roman"/>
          <w:b/>
          <w:color w:val="000000"/>
          <w:lang w:val="fr-BE"/>
        </w:rPr>
        <w:t>Numéros de référence:</w:t>
      </w:r>
      <w:r w:rsidRPr="00233899">
        <w:rPr>
          <w:rFonts w:ascii="Times New Roman" w:hAnsi="Times New Roman"/>
          <w:color w:val="000000"/>
          <w:lang w:val="fr-BE"/>
        </w:rPr>
        <w:t xml:space="preserve"> 2022/2060 (INI)/A9-0183/2023/P9_TA(2023)0227</w:t>
      </w:r>
    </w:p>
    <w:p w14:paraId="5759DDE5" w14:textId="3593F94F" w:rsidR="00233899" w:rsidRPr="00233899" w:rsidRDefault="00233899" w:rsidP="00233899">
      <w:pPr>
        <w:widowControl w:val="0"/>
        <w:ind w:left="567" w:hanging="567"/>
        <w:rPr>
          <w:rFonts w:ascii="Times New Roman" w:hAnsi="Times New Roman"/>
          <w:szCs w:val="24"/>
          <w:lang w:val="fr-BE"/>
        </w:rPr>
      </w:pPr>
      <w:r w:rsidRPr="00233899">
        <w:rPr>
          <w:rFonts w:ascii="Times New Roman" w:hAnsi="Times New Roman"/>
          <w:b/>
          <w:lang w:val="fr-BE"/>
        </w:rPr>
        <w:t>3.</w:t>
      </w:r>
      <w:r w:rsidRPr="00233899">
        <w:rPr>
          <w:lang w:val="fr-BE"/>
        </w:rPr>
        <w:tab/>
      </w:r>
      <w:r w:rsidRPr="00233899">
        <w:rPr>
          <w:rFonts w:ascii="Times New Roman" w:hAnsi="Times New Roman"/>
          <w:b/>
          <w:lang w:val="fr-BE"/>
        </w:rPr>
        <w:t>Date d</w:t>
      </w:r>
      <w:r>
        <w:rPr>
          <w:rFonts w:ascii="Times New Roman" w:hAnsi="Times New Roman"/>
          <w:b/>
          <w:lang w:val="fr-BE"/>
        </w:rPr>
        <w:t>’</w:t>
      </w:r>
      <w:r w:rsidRPr="00233899">
        <w:rPr>
          <w:rFonts w:ascii="Times New Roman" w:hAnsi="Times New Roman"/>
          <w:b/>
          <w:lang w:val="fr-BE"/>
        </w:rPr>
        <w:t xml:space="preserve">adoption de la résolution: </w:t>
      </w:r>
      <w:r w:rsidRPr="00233899">
        <w:rPr>
          <w:rFonts w:ascii="Times New Roman" w:hAnsi="Times New Roman"/>
          <w:lang w:val="fr-BE"/>
        </w:rPr>
        <w:t>13 juin 2023</w:t>
      </w:r>
    </w:p>
    <w:p w14:paraId="2DA28544" w14:textId="77777777" w:rsidR="00233899" w:rsidRPr="00233899" w:rsidRDefault="00233899" w:rsidP="00233899">
      <w:pPr>
        <w:widowControl w:val="0"/>
        <w:ind w:left="567" w:hanging="567"/>
        <w:rPr>
          <w:rFonts w:ascii="Times New Roman" w:hAnsi="Times New Roman"/>
          <w:szCs w:val="24"/>
          <w:lang w:val="fr-BE"/>
        </w:rPr>
      </w:pPr>
      <w:r w:rsidRPr="00233899">
        <w:rPr>
          <w:rFonts w:ascii="Times New Roman" w:hAnsi="Times New Roman"/>
          <w:b/>
          <w:lang w:val="fr-BE"/>
        </w:rPr>
        <w:t>4.</w:t>
      </w:r>
      <w:r w:rsidRPr="00233899">
        <w:rPr>
          <w:lang w:val="fr-BE"/>
        </w:rPr>
        <w:tab/>
      </w:r>
      <w:r w:rsidRPr="00233899">
        <w:rPr>
          <w:rFonts w:ascii="Times New Roman" w:hAnsi="Times New Roman"/>
          <w:b/>
          <w:lang w:val="fr-BE"/>
        </w:rPr>
        <w:t>Commission parlementaire compétente:</w:t>
      </w:r>
      <w:r w:rsidRPr="00233899">
        <w:rPr>
          <w:rFonts w:ascii="Times New Roman" w:hAnsi="Times New Roman"/>
          <w:lang w:val="fr-BE"/>
        </w:rPr>
        <w:t xml:space="preserve"> commission des affaires économiques et monétaires (ECON)</w:t>
      </w:r>
    </w:p>
    <w:p w14:paraId="4EDF4AD5" w14:textId="351D26B8" w:rsidR="00233899" w:rsidRPr="00233899" w:rsidRDefault="00233899" w:rsidP="00233899">
      <w:pPr>
        <w:widowControl w:val="0"/>
        <w:ind w:left="567" w:hanging="567"/>
        <w:rPr>
          <w:rFonts w:ascii="Times New Roman" w:hAnsi="Times New Roman"/>
          <w:b/>
          <w:szCs w:val="24"/>
          <w:lang w:val="fr-BE"/>
        </w:rPr>
      </w:pPr>
      <w:r w:rsidRPr="00233899">
        <w:rPr>
          <w:rFonts w:ascii="Times New Roman" w:hAnsi="Times New Roman"/>
          <w:b/>
          <w:lang w:val="fr-BE"/>
        </w:rPr>
        <w:t>5.</w:t>
      </w:r>
      <w:r w:rsidRPr="00233899">
        <w:rPr>
          <w:lang w:val="fr-BE"/>
        </w:rPr>
        <w:tab/>
      </w:r>
      <w:r w:rsidRPr="00233899">
        <w:rPr>
          <w:rFonts w:ascii="Times New Roman" w:hAnsi="Times New Roman"/>
          <w:b/>
          <w:lang w:val="fr-BE"/>
        </w:rPr>
        <w:t>Évaluation succincte de la résolution et des demandes qu</w:t>
      </w:r>
      <w:r>
        <w:rPr>
          <w:rFonts w:ascii="Times New Roman" w:hAnsi="Times New Roman"/>
          <w:b/>
          <w:lang w:val="fr-BE"/>
        </w:rPr>
        <w:t>’</w:t>
      </w:r>
      <w:r w:rsidRPr="00233899">
        <w:rPr>
          <w:rFonts w:ascii="Times New Roman" w:hAnsi="Times New Roman"/>
          <w:b/>
          <w:lang w:val="fr-BE"/>
        </w:rPr>
        <w:t>elle contient:</w:t>
      </w:r>
    </w:p>
    <w:p w14:paraId="6746B201" w14:textId="73950019" w:rsidR="00233899" w:rsidRPr="00233899" w:rsidRDefault="00233899" w:rsidP="00233899">
      <w:pPr>
        <w:widowControl w:val="0"/>
        <w:spacing w:after="120"/>
        <w:rPr>
          <w:rFonts w:ascii="Times New Roman" w:hAnsi="Times New Roman"/>
          <w:szCs w:val="24"/>
          <w:lang w:val="fr-BE"/>
        </w:rPr>
      </w:pPr>
      <w:r w:rsidRPr="00233899">
        <w:rPr>
          <w:rFonts w:ascii="Times New Roman" w:hAnsi="Times New Roman"/>
          <w:lang w:val="fr-BE"/>
        </w:rPr>
        <w:t xml:space="preserve">La résolution du Parlement européen concerne le rapport annuel de la Commission sur la politique de concurrence 2021 [COM(2022) 0337 final] et le document de travail des services de la Commission qui l’accompagne [SWD(2022) 0188 final], adoptés le 14 juillet 2022. Ces documents sont appelés conjointement «Rapport sur la politique de concurrence 2021» (RPC 2021). </w:t>
      </w:r>
      <w:bookmarkStart w:id="1" w:name="_Hlk138668656"/>
      <w:bookmarkStart w:id="2" w:name="_Hlk150512255"/>
      <w:r w:rsidRPr="00233899">
        <w:rPr>
          <w:rFonts w:ascii="Times New Roman" w:hAnsi="Times New Roman"/>
          <w:lang w:val="fr-BE"/>
        </w:rPr>
        <w:t>Le RPC 2021 présente la manière dont la Commission a mis en œuvre sa politique de concurrence en 2021, ainsi que la mesure dans laquelle celle-ci contribue à l’économie de l’Union et à l</w:t>
      </w:r>
      <w:r>
        <w:rPr>
          <w:rFonts w:ascii="Times New Roman" w:hAnsi="Times New Roman"/>
          <w:lang w:val="fr-BE"/>
        </w:rPr>
        <w:t>’</w:t>
      </w:r>
      <w:r w:rsidRPr="00233899">
        <w:rPr>
          <w:rFonts w:ascii="Times New Roman" w:hAnsi="Times New Roman"/>
          <w:lang w:val="fr-BE"/>
        </w:rPr>
        <w:t>amélioration du bien-être des citoyens de cette dernière</w:t>
      </w:r>
      <w:bookmarkEnd w:id="1"/>
      <w:r w:rsidRPr="00233899">
        <w:rPr>
          <w:rFonts w:ascii="Times New Roman" w:hAnsi="Times New Roman"/>
          <w:lang w:val="fr-BE"/>
        </w:rPr>
        <w:t>.</w:t>
      </w:r>
    </w:p>
    <w:bookmarkEnd w:id="2"/>
    <w:p w14:paraId="1E27CE65" w14:textId="77777777" w:rsidR="00233899" w:rsidRPr="00233899" w:rsidRDefault="00233899" w:rsidP="00233899">
      <w:pPr>
        <w:widowControl w:val="0"/>
        <w:spacing w:after="120"/>
        <w:rPr>
          <w:rFonts w:ascii="Times New Roman" w:hAnsi="Times New Roman"/>
          <w:szCs w:val="24"/>
          <w:lang w:val="fr-BE"/>
        </w:rPr>
      </w:pPr>
      <w:r w:rsidRPr="00233899">
        <w:rPr>
          <w:rFonts w:ascii="Times New Roman" w:hAnsi="Times New Roman"/>
          <w:lang w:val="fr-BE"/>
        </w:rPr>
        <w:t>Le Parlement européen demande à la Commission de veiller à ce que le cadre réglementaire soit adapté pour donner suite aux évolutions technologiques et aux objectifs de l’Union en matière de connectivité numérique, en s’assurant que le financement des infrastructures critiques est approprié et effectif et respecte les règles en matière de concurrence.</w:t>
      </w:r>
    </w:p>
    <w:p w14:paraId="7825C018" w14:textId="7E947076"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Dans sa résolution, le Parlement européen prend note du projet de communication de la Commission sur la définition du marché en cause aux fins du droit de la concurrence de l’Union. Il se félicite que la Commission ait précisé dans ce projet de communication que la définition du marché en cause ne devrait pas reposer uniquement sur le prix du produit, mais également sur son niveau d</w:t>
      </w:r>
      <w:r>
        <w:rPr>
          <w:rFonts w:ascii="Times New Roman" w:hAnsi="Times New Roman"/>
          <w:lang w:val="fr-BE"/>
        </w:rPr>
        <w:t>’</w:t>
      </w:r>
      <w:r w:rsidRPr="00233899">
        <w:rPr>
          <w:rFonts w:ascii="Times New Roman" w:hAnsi="Times New Roman"/>
          <w:lang w:val="fr-BE"/>
        </w:rPr>
        <w:t>innovation. Il estime que la concurrence en matière d’innovation est un facteur essentiel pour déterminer le marché en cause et demande à la Commission d’adopter une vision à plus long terme englobant la dimension mondiale et la concurrence future potentielle dans ses évaluations de la concurrence. Il souligne la nécessité d’inclure une analyse du comportement des consommateurs pour définir le marché de produits en cause et apprécie notamment toutes les nouvelles contributions qui permettent d’aborder des questions clés en matière de définition du marché concernant certains secteurs en évolution rapide tels que le secteur numérique.</w:t>
      </w:r>
    </w:p>
    <w:p w14:paraId="5B475CE4"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 xml:space="preserve">Le Parlement européen souligne la nécessité d’une conciliation équilibrée entre règles de concurrence de l’Union et politiques en matière industrielle et en matière de commerce international de l’Union pour rapatrier les activités de la chaîne de valeur et renforcer la compétitivité à l’échelle mondiale. </w:t>
      </w:r>
    </w:p>
    <w:p w14:paraId="5BC3808D"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 xml:space="preserve">Le Parlement européen se félicite de l’adoption rapide de l’encadrement temporaire de crise pour les mesures d’aide d’État visant à soutenir l’économie à la suite de l’agression de la Russie contre l’Ukraine, et de ses prolongations ultérieures. Il prend note de la proposition de la Commission de transformer ce cadre en un encadrement temporaire de crise et de transition, en </w:t>
      </w:r>
      <w:r w:rsidRPr="00233899">
        <w:rPr>
          <w:rFonts w:ascii="Times New Roman" w:hAnsi="Times New Roman"/>
          <w:lang w:val="fr-BE"/>
        </w:rPr>
        <w:lastRenderedPageBreak/>
        <w:t>élargissant sa portée afin qu’il englobe toutes les sources d’énergie renouvelables possibles. Il souligne que toute flexibilité devrait être ciblée, temporaire, proportionnée et compatible avec les objectifs stratégiques de l’Union et ne devrait pas créer de distorsions permanentes sur le marché intérieur.</w:t>
      </w:r>
    </w:p>
    <w:p w14:paraId="7627865F"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Le Parlement européen estime que la hausse des prix de l’énergie et des denrées alimentaires, qui entraîne des bénéfices excessifs pour les entreprises, est le principal moteur de la hausse actuelle de l’inflation. Il insiste sur le fait que la hausse des coûts de l’énergie (en comparaison avec d’autres régions du monde) est l’un des principaux facteurs ayant une incidence négative sur la capacité de l’industrie de l’Union à être compétitive sur le marché mondial et réaffirme que la Commission doit utiliser tous les outils disponibles en vertu du droit de la concurrence pour lutter contre les distorsions du marché et les pratiques tarifaires déloyales sur les marchés de l’énergie et des denrées alimentaires.</w:t>
      </w:r>
    </w:p>
    <w:p w14:paraId="655AF2F4"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Dans sa résolution, le Parlement européen demande qu’un mécanisme permanent d’enquête sur le marché soit déclenché automatiquement lorsque certaines conditions, telles qu’une hausse spécifique des prix, sont remplies.</w:t>
      </w:r>
    </w:p>
    <w:p w14:paraId="6D277200"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Le Parlement européen estime que les seuils de concentration fondés sur le chiffre d’affaires ne sont pas adaptés à l’économie numérique, dans laquelle la valeur est souvent représentée par d’autres facteurs. Il considère que la Commission ne devrait pas se concentrer uniquement sur les prix dans ses évaluations des concentrations et souligne que le «juste prix» d’un produit ne correspond pas au prix le plus bas possible pour le consommateur.</w:t>
      </w:r>
    </w:p>
    <w:p w14:paraId="1D4D5167"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Dans sa résolution, le Parlement européen soutient l’introduction d’une présomption réfragable selon laquelle une concurrence effective est entravée de manière significative par toute concentration conduisant à une position dominante d’une entreprise sur un marché pertinent ou par toute concentration impliquant un acteur dominant du marché ou un contrôleur d’accès, tel que défini dans le règlement sur les marchés numériques</w:t>
      </w:r>
      <w:r>
        <w:rPr>
          <w:rStyle w:val="FootnoteReference"/>
          <w:rFonts w:ascii="Times New Roman" w:hAnsi="Times New Roman"/>
          <w:bCs/>
          <w:iCs/>
          <w:szCs w:val="24"/>
          <w:lang w:val="en-IE"/>
        </w:rPr>
        <w:footnoteReference w:id="2"/>
      </w:r>
      <w:r w:rsidRPr="00233899">
        <w:rPr>
          <w:rFonts w:ascii="Times New Roman" w:hAnsi="Times New Roman"/>
          <w:lang w:val="fr-BE"/>
        </w:rPr>
        <w:t>. Le Parlement européen relève qu’il est possible pour les États membres d’intervenir pour des raisons non liées à la concurrence et demande que la Commission dispose de la même possibilité lors de l’examen de l’impact d’une concentration sur le marché intérieur. Il demande que des clauses de réexamen soient ajoutées aux décisions autorisant une concentration, et ce afin de fixer des conditions plus adaptées, sans que cela ait d’incidence sur les décisions en elles-mêmes.</w:t>
      </w:r>
    </w:p>
    <w:p w14:paraId="3A38A95F"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Dans sa résolution, le Parlement européen demande que la procédure d’examen d’une concentration par la Commission soit raccourcie en tirant pleinement parti de la numérisation.</w:t>
      </w:r>
    </w:p>
    <w:p w14:paraId="2AC669E5"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 xml:space="preserve">Le Parlement prend note de l’appel à contributions de la Commission concernant la révision du règlement </w:t>
      </w:r>
      <w:r w:rsidRPr="00233899">
        <w:rPr>
          <w:rFonts w:ascii="Times New Roman" w:hAnsi="Times New Roman"/>
          <w:i/>
          <w:lang w:val="fr-BE"/>
        </w:rPr>
        <w:t>de minimis</w:t>
      </w:r>
      <w:r w:rsidRPr="00233899">
        <w:rPr>
          <w:rFonts w:ascii="Times New Roman" w:hAnsi="Times New Roman"/>
          <w:lang w:val="fr-BE"/>
        </w:rPr>
        <w:t xml:space="preserve"> relatif aux services d’intérêt économique général (SIEG) [règlement (UE) nº 360/2012]. Il rappelle que les SIEG sont soumis à des règles spécifiques destinées à protéger l’accès des citoyens aux services publics de base en deçà d’un seuil clairement défini. Il invite la Commission à évaluer dans quelle mesure les principes en matière de concurrence de l’Union ont eu un effet sur la prestation de SIEG, notamment au regard de la crise de la COVID-19 et de l’augmentation du coût de la vie, et demande qu’une attention particulière soit accordée aux réalités socio-économiques des différentes régions de l’Union, en particulier dans le contexte des </w:t>
      </w:r>
      <w:r w:rsidRPr="00233899">
        <w:rPr>
          <w:rFonts w:ascii="Times New Roman" w:hAnsi="Times New Roman"/>
          <w:lang w:val="fr-BE"/>
        </w:rPr>
        <w:lastRenderedPageBreak/>
        <w:t>aides d’État accordées aux régions périphériques et insulaires de l’Union.</w:t>
      </w:r>
    </w:p>
    <w:p w14:paraId="18D93B81"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Le Parlement européen se félicite que la Commission soit disposée à prendre en compte les effets sur les marchés du travail et les salaires lorsqu’elle détermine les effets anticoncurrentiels d’un comportement collusoire au titre de l’article 101, paragraphe 1, du traité sur le fonctionnement de l’Union européenne (TFUE).</w:t>
      </w:r>
    </w:p>
    <w:p w14:paraId="60CC7803"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Le Parlement accueille favorablement les lignes directrices de la Commission relatives à l’application du droit de la concurrence de l’Union aux conventions collectives, qui précisent que ce droit n’empêche pas les travailleurs indépendants sans salariés de participer à la négociation collective.</w:t>
      </w:r>
    </w:p>
    <w:p w14:paraId="1F24F51E" w14:textId="77777777" w:rsidR="00233899" w:rsidRPr="00233899" w:rsidRDefault="00233899" w:rsidP="00233899">
      <w:pPr>
        <w:widowControl w:val="0"/>
        <w:spacing w:after="120"/>
        <w:rPr>
          <w:rFonts w:ascii="Times New Roman" w:hAnsi="Times New Roman"/>
          <w:szCs w:val="24"/>
          <w:lang w:val="fr-BE"/>
        </w:rPr>
      </w:pPr>
      <w:r w:rsidRPr="00233899">
        <w:rPr>
          <w:rFonts w:ascii="Times New Roman" w:hAnsi="Times New Roman"/>
          <w:lang w:val="fr-BE"/>
        </w:rPr>
        <w:t>Le Parlement européen se félicite que la Commission ait entrepris l’évaluation</w:t>
      </w:r>
      <w:r>
        <w:rPr>
          <w:rStyle w:val="FootnoteReference"/>
          <w:rFonts w:ascii="Times New Roman" w:hAnsi="Times New Roman"/>
          <w:szCs w:val="24"/>
          <w:lang w:val="en-IE"/>
        </w:rPr>
        <w:footnoteReference w:id="3"/>
      </w:r>
      <w:r w:rsidRPr="00233899">
        <w:rPr>
          <w:rFonts w:ascii="Times New Roman" w:hAnsi="Times New Roman"/>
          <w:lang w:val="fr-BE"/>
        </w:rPr>
        <w:t xml:space="preserve"> des règlements (CE) nº 1/2003</w:t>
      </w:r>
      <w:r>
        <w:rPr>
          <w:rStyle w:val="FootnoteReference"/>
          <w:rFonts w:ascii="Times New Roman" w:hAnsi="Times New Roman"/>
          <w:szCs w:val="24"/>
          <w:lang w:val="en-IE"/>
        </w:rPr>
        <w:footnoteReference w:id="4"/>
      </w:r>
      <w:r w:rsidRPr="00233899">
        <w:rPr>
          <w:rFonts w:ascii="Times New Roman" w:hAnsi="Times New Roman"/>
          <w:lang w:val="fr-BE"/>
        </w:rPr>
        <w:t xml:space="preserve"> et (CE) nº 773/2004</w:t>
      </w:r>
      <w:r>
        <w:rPr>
          <w:rStyle w:val="FootnoteReference"/>
          <w:rFonts w:ascii="Times New Roman" w:hAnsi="Times New Roman"/>
          <w:szCs w:val="24"/>
          <w:lang w:val="en-IE"/>
        </w:rPr>
        <w:footnoteReference w:id="5"/>
      </w:r>
      <w:r w:rsidRPr="00233899">
        <w:rPr>
          <w:rFonts w:ascii="Times New Roman" w:hAnsi="Times New Roman"/>
          <w:lang w:val="fr-BE"/>
        </w:rPr>
        <w:t>. Il estime qu’une révision législative de ces règlements s’impose, et préconise de recourir davantage aux mesures correctives structurelles, et donc de supprimer la primauté des mesures correctives comportementales dans le règlement (CE) nº 1/2003.</w:t>
      </w:r>
    </w:p>
    <w:p w14:paraId="67DC3432"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Dans sa résolution, le Parlement européen souligne l’existence d’une base juridique pour la séparation structurelle et demande à la Commission d’analyser les avantages de la base juridique pour dégrouper les entreprises en tant que mesure corrective structurelle de dernier recours aux violations des règles de concurrence. Le Parlement européen regrette la réticence de la Commission à s’attaquer au problème de la position dominante sous l’angle de la séparation structurelle, et estime que le dégroupage constitue également une mesure corrective structurelle dans les situations où il n’est pas possible d’établir un abus de position dominante sur un marché donné, mais où les conditions de concurrence s’amélioreraient considérablement si des mesures de dégroupage étaient appliquées.</w:t>
      </w:r>
    </w:p>
    <w:p w14:paraId="05CB5A21"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Dans sa résolution, le Parlement européen invite la Commission à créer une base de données publique de toutes les affaires de droit européen et national de la concurrence, comprenant notamment des résumés en anglais. Il souligne l’importance et la nécessité de l’indépendance des autorités nationales et rappelle la nécessité croissante d’une meilleure coopération et d’un partage plus fréquent d’informations sur les bonnes pratiques entre ces autorités afin de garantir la transparence.</w:t>
      </w:r>
    </w:p>
    <w:p w14:paraId="654D500B"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Le Parlement européen souligne l’importance des dommages et intérêts pour les infractions au droit de la concurrence et estime qu’il est nécessaire d’alléger la charge des parties lésées pour obtenir gain de cause en imposant à l’autorité compétente en matière de concurrence une obligation de déclaration de l’étendue des dommages et intérêts dans la décision publique d’exécution ou en introduisant une présomption de montant minimal de dommages et intérêts calculé en fonction de l’infraction au droit de la concurrence.</w:t>
      </w:r>
    </w:p>
    <w:p w14:paraId="6204AEB4"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 xml:space="preserve">Dans sa résolution, le Parlement se félicite de la création de nouvelles directions de la Commission chargées de l’application du règlement sur les marchés numériques et insiste sur la différence de nature entre l’application ex post des règles en matière d’entente et l’application ex </w:t>
      </w:r>
      <w:r w:rsidRPr="00233899">
        <w:rPr>
          <w:rFonts w:ascii="Times New Roman" w:hAnsi="Times New Roman"/>
          <w:lang w:val="fr-BE"/>
        </w:rPr>
        <w:lastRenderedPageBreak/>
        <w:t>ante du règlement sur les marchés numériques. Le Parlement européen invite les États membres à mettre à disposition des ressources financières supplémentaires pour permettre à la Commission de recruter davantage d’économistes comportementaux, de spécialistes des algorithmes et de personnel dans le domaine des données et des technologies, et leur demande de détacher du personnel et des experts nationaux supplémentaires auprès de la Commission en vue de l’accomplissement de cette tâche. Dans sa résolution, il invite instamment la Commission à consacrer un budget plus important pour appliquer correctement ledit règlement et assurer son respect et se félicite de l’étroite collaboration avec les autorités nationales de concurrence lors de l’application du règlement sur les marchés numériques.</w:t>
      </w:r>
    </w:p>
    <w:p w14:paraId="68AF2121" w14:textId="77777777" w:rsidR="00233899" w:rsidRPr="00233899" w:rsidRDefault="00233899" w:rsidP="00233899">
      <w:pPr>
        <w:widowControl w:val="0"/>
        <w:spacing w:after="120"/>
        <w:rPr>
          <w:rFonts w:ascii="Times New Roman" w:hAnsi="Times New Roman"/>
          <w:bCs/>
          <w:iCs/>
          <w:szCs w:val="24"/>
          <w:lang w:val="fr-BE"/>
        </w:rPr>
      </w:pPr>
      <w:r w:rsidRPr="00233899">
        <w:rPr>
          <w:rFonts w:ascii="Times New Roman" w:hAnsi="Times New Roman"/>
          <w:lang w:val="fr-BE"/>
        </w:rPr>
        <w:t>Dans sa résolution, le Parlement européen souligne que le droit de la concurrence reste pertinent pour les marchés numériques malgré l’entrée en vigueur du règlement sur les marchés numériques, en particulier lors des procédures en matière d’entente contre les contrôleurs d’accès. Il estime que les violations du droit au respect de la vie privée peuvent constituer des pratiques abusives et rappelle que certaines entreprises susceptibles d’être désignées comme contrôleurs d’accès ont déjà fait l’objet de décisions en matière d’entente, mais que cela n’a pas modifié leur comportement, en particulier en ce qui concerne l’autofavoritisme. Il convient de tenir compte de ces décisions lors de l’application du règlement sur les marchés numériques.</w:t>
      </w:r>
    </w:p>
    <w:p w14:paraId="2196E4DA" w14:textId="77777777" w:rsidR="00233899" w:rsidRPr="00233899" w:rsidRDefault="00233899" w:rsidP="00233899">
      <w:pPr>
        <w:widowControl w:val="0"/>
        <w:spacing w:after="120"/>
        <w:rPr>
          <w:rFonts w:ascii="Times New Roman" w:hAnsi="Times New Roman"/>
          <w:szCs w:val="24"/>
          <w:lang w:val="fr-BE"/>
        </w:rPr>
      </w:pPr>
      <w:r w:rsidRPr="00233899">
        <w:rPr>
          <w:rFonts w:ascii="Times New Roman" w:hAnsi="Times New Roman"/>
          <w:lang w:val="fr-BE"/>
        </w:rPr>
        <w:t>Le Parlement européen prie instamment la Commission de présenter sa révision de la communication de 2013 concernant le secteur bancaire</w:t>
      </w:r>
      <w:r>
        <w:rPr>
          <w:rStyle w:val="FootnoteReference"/>
          <w:rFonts w:ascii="Times New Roman" w:hAnsi="Times New Roman"/>
          <w:bCs/>
          <w:iCs/>
          <w:szCs w:val="24"/>
          <w:lang w:val="en-IE"/>
        </w:rPr>
        <w:footnoteReference w:id="6"/>
      </w:r>
      <w:r w:rsidRPr="00233899">
        <w:rPr>
          <w:rFonts w:ascii="Times New Roman" w:hAnsi="Times New Roman"/>
          <w:lang w:val="fr-BE"/>
        </w:rPr>
        <w:t>.</w:t>
      </w:r>
    </w:p>
    <w:p w14:paraId="34D64E52"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Le Parlement européen demande que les entreprises qui se livrent à l’évasion fiscale en se tournant vers des paradis fiscaux dans des pays tiers ne puissent plus bénéficier d’aides d’État.</w:t>
      </w:r>
    </w:p>
    <w:p w14:paraId="6664A918" w14:textId="77777777" w:rsidR="00233899" w:rsidRPr="00233899" w:rsidRDefault="00233899" w:rsidP="00233899">
      <w:pPr>
        <w:widowControl w:val="0"/>
        <w:spacing w:line="276" w:lineRule="auto"/>
        <w:ind w:left="567" w:hanging="567"/>
        <w:rPr>
          <w:rFonts w:ascii="Times New Roman" w:hAnsi="Times New Roman"/>
          <w:b/>
          <w:szCs w:val="24"/>
          <w:lang w:val="fr-BE"/>
        </w:rPr>
      </w:pPr>
      <w:r w:rsidRPr="00233899">
        <w:rPr>
          <w:rFonts w:ascii="Times New Roman" w:hAnsi="Times New Roman"/>
          <w:b/>
          <w:lang w:val="fr-BE"/>
        </w:rPr>
        <w:t>6.</w:t>
      </w:r>
      <w:r w:rsidRPr="00233899">
        <w:rPr>
          <w:lang w:val="fr-BE"/>
        </w:rPr>
        <w:tab/>
      </w:r>
      <w:r w:rsidRPr="00233899">
        <w:rPr>
          <w:rFonts w:ascii="Times New Roman" w:hAnsi="Times New Roman"/>
          <w:b/>
          <w:lang w:val="fr-BE"/>
        </w:rPr>
        <w:t>Réponse de la Commission aux demandes et aperçu des mesures prises ou envisagées:</w:t>
      </w:r>
    </w:p>
    <w:p w14:paraId="3EB7EDF6" w14:textId="77777777" w:rsidR="00233899" w:rsidRPr="00233899" w:rsidRDefault="00233899" w:rsidP="00233899">
      <w:pPr>
        <w:widowControl w:val="0"/>
        <w:spacing w:after="120"/>
        <w:rPr>
          <w:rFonts w:ascii="Times New Roman" w:hAnsi="Times New Roman"/>
          <w:b/>
          <w:szCs w:val="24"/>
          <w:lang w:val="fr-BE"/>
        </w:rPr>
      </w:pPr>
      <w:r w:rsidRPr="00233899">
        <w:rPr>
          <w:rFonts w:ascii="Times New Roman" w:hAnsi="Times New Roman"/>
          <w:b/>
          <w:lang w:val="fr-BE"/>
        </w:rPr>
        <w:t>Considérations générales</w:t>
      </w:r>
    </w:p>
    <w:p w14:paraId="3130D3F4" w14:textId="77777777" w:rsidR="00233899" w:rsidRPr="00233899" w:rsidRDefault="00233899" w:rsidP="00233899">
      <w:pPr>
        <w:widowControl w:val="0"/>
        <w:spacing w:after="120"/>
        <w:rPr>
          <w:rFonts w:ascii="Times New Roman" w:hAnsi="Times New Roman"/>
          <w:szCs w:val="24"/>
          <w:lang w:val="fr-BE"/>
        </w:rPr>
      </w:pPr>
      <w:r w:rsidRPr="00233899">
        <w:rPr>
          <w:rFonts w:ascii="Times New Roman" w:hAnsi="Times New Roman"/>
          <w:lang w:val="fr-BE"/>
        </w:rPr>
        <w:t>La Commission partage l’avis du Parlement européen selon lequel le cadre du droit de la concurrence de l’UE doit être adapté pour donner suite aux évolutions technologiques et aux défis de la transition numérique (</w:t>
      </w:r>
      <w:r w:rsidRPr="00233899">
        <w:rPr>
          <w:rFonts w:ascii="Times New Roman" w:hAnsi="Times New Roman"/>
          <w:b/>
          <w:lang w:val="fr-BE"/>
        </w:rPr>
        <w:t>paragraphe 3</w:t>
      </w:r>
      <w:r w:rsidRPr="00233899">
        <w:rPr>
          <w:rFonts w:ascii="Times New Roman" w:hAnsi="Times New Roman"/>
          <w:lang w:val="fr-BE"/>
        </w:rPr>
        <w:t>).</w:t>
      </w:r>
    </w:p>
    <w:p w14:paraId="39400C76"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La Commission procède actuellement à un examen approfondi des règles de concurrence, qui couvre tous les outils en matière de concurrence: pratiques anticoncurrentielles, contrôle des concentrations et contrôle des aides d’État. Dans le cadre de ce réexamen, la Commission passe en revue plus de 20 ensembles de règles et de lignes directrices en matière de concurrence. Faire en sorte que les règles de concurrence restent adaptées à leur finalité favorisera les transitions écologique et numérique.</w:t>
      </w:r>
    </w:p>
    <w:p w14:paraId="692AD605" w14:textId="77777777" w:rsidR="00233899" w:rsidRPr="00233899" w:rsidRDefault="00233899" w:rsidP="00233899">
      <w:pPr>
        <w:widowControl w:val="0"/>
        <w:spacing w:after="120"/>
        <w:rPr>
          <w:rFonts w:ascii="Times New Roman" w:hAnsi="Times New Roman"/>
          <w:szCs w:val="24"/>
          <w:lang w:val="fr-BE"/>
        </w:rPr>
      </w:pPr>
      <w:r w:rsidRPr="00233899">
        <w:rPr>
          <w:rFonts w:ascii="Times New Roman" w:hAnsi="Times New Roman"/>
          <w:lang w:val="fr-BE"/>
        </w:rPr>
        <w:t>La Commission se félicite du soutien apporté par le Parlement européen à l’adoption prochaine du projet révisé de communication de la Commission sur la définition du marché en cause aux fins du droit de la concurrence de l’Union et prend acte de la demande du Parlement européen d’envisager une vision à plus long terme dans ses évaluations de la concurrence et d’inclure une analyse du comportement des consommateurs (</w:t>
      </w:r>
      <w:r w:rsidRPr="00233899">
        <w:rPr>
          <w:rFonts w:ascii="Times New Roman" w:hAnsi="Times New Roman"/>
          <w:b/>
          <w:lang w:val="fr-BE"/>
        </w:rPr>
        <w:t>paragraphe 5</w:t>
      </w:r>
      <w:r w:rsidRPr="00233899">
        <w:rPr>
          <w:rFonts w:ascii="Times New Roman" w:hAnsi="Times New Roman"/>
          <w:lang w:val="fr-BE"/>
        </w:rPr>
        <w:t>).</w:t>
      </w:r>
    </w:p>
    <w:p w14:paraId="2B615EC6" w14:textId="77777777" w:rsidR="00233899" w:rsidRPr="00233899" w:rsidRDefault="00233899" w:rsidP="00233899">
      <w:pPr>
        <w:widowControl w:val="0"/>
        <w:spacing w:after="120"/>
        <w:rPr>
          <w:rFonts w:ascii="Times New Roman" w:hAnsi="Times New Roman"/>
          <w:szCs w:val="24"/>
          <w:lang w:val="fr-BE"/>
        </w:rPr>
      </w:pPr>
      <w:r w:rsidRPr="00233899">
        <w:rPr>
          <w:rFonts w:ascii="Times New Roman" w:hAnsi="Times New Roman"/>
          <w:lang w:val="fr-BE"/>
        </w:rPr>
        <w:t xml:space="preserve">Le projet révisé de communication sur la définition du marché en cause précise que la </w:t>
      </w:r>
      <w:r w:rsidRPr="00233899">
        <w:rPr>
          <w:rFonts w:ascii="Times New Roman" w:hAnsi="Times New Roman"/>
          <w:lang w:val="fr-BE"/>
        </w:rPr>
        <w:lastRenderedPageBreak/>
        <w:t>Commission peut tenir compte des transitions attendues dans la structure d’un marché lorsqu’elle définit les limites du marché en cause. La Commission et les entreprises peuvent se fonder sur de telles transitions structurelles du marché attendues à court ou moyen terme lorsque l’affaire nécessite une analyse prospective et qu’il existe des indices sérieux que ces transitions entraîneraient des changements effectifs dans la dynamique générale de l’offre et de la demande au cours de la période pertinente pour l’évaluation. La concurrence potentielle future au sens d’une entrée attendue sur le marché est également dûment prise en considération dans le cadre de l’appréciation sous l’angle de la concurrence.</w:t>
      </w:r>
    </w:p>
    <w:p w14:paraId="517DAD6B" w14:textId="77777777" w:rsidR="00233899" w:rsidRPr="00233899" w:rsidRDefault="00233899" w:rsidP="00233899">
      <w:pPr>
        <w:widowControl w:val="0"/>
        <w:spacing w:after="120"/>
        <w:rPr>
          <w:rFonts w:ascii="Times New Roman" w:hAnsi="Times New Roman"/>
          <w:szCs w:val="24"/>
          <w:lang w:val="fr-BE"/>
        </w:rPr>
      </w:pPr>
      <w:r w:rsidRPr="00233899">
        <w:rPr>
          <w:rFonts w:ascii="Times New Roman" w:hAnsi="Times New Roman"/>
          <w:lang w:val="fr-BE"/>
        </w:rPr>
        <w:t>La communication révisée explique comment la Commission tient compte des importations actuelles ou futures dans son appréciation des limites géographiques des marchés. Même lorsque les importations ne sont pas incluses dans le marché en cause, la pression concurrentielle (hors marché) exercée par les importations est pleinement prise en considération dans l’appréciation sous l’angle de la concurrence.</w:t>
      </w:r>
    </w:p>
    <w:p w14:paraId="5D72B364"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La communication révisée précise également que les indications comportementales peuvent être pertinentes pour la définition du marché en cause, étant donné que les choix des clients peuvent être soumis à des biais comportementaux, tels qu’une tendance à choisir l’option par défaut proposée.</w:t>
      </w:r>
    </w:p>
    <w:p w14:paraId="1458F526"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Lorsqu’elle définit le marché en cause, la Commission tient compte des différents paramètres de la concurrence que les clients considèrent comme pertinents sur le territoire et la période évalués. Outre le prix du produit, ces paramètres peuvent inclure son niveau d’innovation ainsi que sa qualité sous différents aspects.</w:t>
      </w:r>
    </w:p>
    <w:p w14:paraId="33C162E9"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La Commission prend note du point de vue du Parlement européen selon lequel une conciliation équilibrée entre les règles de concurrence de l’UE et ses politiques en matière industrielle et en matière de commerce international est essentielle pour rapatrier les activités de la chaîne de valeur et renforcer la compétitivité à l’échelle mondiale (</w:t>
      </w:r>
      <w:r w:rsidRPr="00233899">
        <w:rPr>
          <w:rFonts w:ascii="Times New Roman" w:hAnsi="Times New Roman"/>
          <w:b/>
          <w:lang w:val="fr-BE"/>
        </w:rPr>
        <w:t>paragraphe 8</w:t>
      </w:r>
      <w:r w:rsidRPr="00233899">
        <w:rPr>
          <w:rFonts w:ascii="Times New Roman" w:hAnsi="Times New Roman"/>
          <w:lang w:val="fr-BE"/>
        </w:rPr>
        <w:t>).</w:t>
      </w:r>
    </w:p>
    <w:p w14:paraId="1CFC4FA6"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Comme indiqué dans la communication sur le réexamen de la politique de concurrence de novembre 2021</w:t>
      </w:r>
      <w:r>
        <w:rPr>
          <w:rStyle w:val="FootnoteReference"/>
          <w:bCs/>
          <w:szCs w:val="24"/>
          <w:lang w:val="en-IE"/>
        </w:rPr>
        <w:footnoteReference w:id="7"/>
      </w:r>
      <w:r w:rsidRPr="00233899">
        <w:rPr>
          <w:rFonts w:ascii="Times New Roman" w:hAnsi="Times New Roman"/>
          <w:lang w:val="fr-BE"/>
        </w:rPr>
        <w:t>, la politique de concurrence, la politique commerciale et la politique industrielle sont complémentaires. La politique de concurrence fixe les conditions permettant aux entreprises d’investir, d’innover, de diversifier les chaînes d’approvisionnement, de se livrer une concurrence sur les mérites et, à terme, de construire une économie résiliente et compétitive. La Commission est déterminée à garantir la compétitivité et la résilience de l’économie de l’UE en mettant en œuvre la stratégie industrielle et d’autres politiques de cette dernière.</w:t>
      </w:r>
    </w:p>
    <w:p w14:paraId="16886654" w14:textId="77777777" w:rsidR="00233899" w:rsidRPr="00233899" w:rsidRDefault="00233899" w:rsidP="00233899">
      <w:pPr>
        <w:widowControl w:val="0"/>
        <w:spacing w:after="120"/>
        <w:rPr>
          <w:rFonts w:ascii="Times New Roman" w:hAnsi="Times New Roman"/>
          <w:b/>
          <w:bCs/>
          <w:i/>
          <w:iCs/>
          <w:szCs w:val="24"/>
          <w:lang w:val="fr-BE"/>
        </w:rPr>
      </w:pPr>
      <w:r w:rsidRPr="00233899">
        <w:rPr>
          <w:rFonts w:ascii="Times New Roman" w:hAnsi="Times New Roman"/>
          <w:b/>
          <w:i/>
          <w:lang w:val="fr-BE"/>
        </w:rPr>
        <w:t>Réaction politique à la guerre en Ukraine</w:t>
      </w:r>
    </w:p>
    <w:p w14:paraId="09CA61E3"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La Commission partage l’avis du Parlement européen selon lequel toute flexibilité des règles en matière d’aides d’État devrait être ciblée, temporaire et proportionnée (</w:t>
      </w:r>
      <w:r w:rsidRPr="00233899">
        <w:rPr>
          <w:rFonts w:ascii="Times New Roman" w:hAnsi="Times New Roman"/>
          <w:b/>
          <w:lang w:val="fr-BE"/>
        </w:rPr>
        <w:t>paragraphe 11</w:t>
      </w:r>
      <w:r w:rsidRPr="00233899">
        <w:rPr>
          <w:rFonts w:ascii="Times New Roman" w:hAnsi="Times New Roman"/>
          <w:lang w:val="fr-BE"/>
        </w:rPr>
        <w:t>).</w:t>
      </w:r>
    </w:p>
    <w:p w14:paraId="3419EBE0"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Le 9 mars 2023, la Commission a adopté l’encadrement temporaire de crise et de transition</w:t>
      </w:r>
      <w:r>
        <w:rPr>
          <w:rStyle w:val="FootnoteReference"/>
          <w:bCs/>
          <w:szCs w:val="24"/>
          <w:lang w:val="en-IE"/>
        </w:rPr>
        <w:footnoteReference w:id="8"/>
      </w:r>
      <w:r w:rsidRPr="00233899">
        <w:rPr>
          <w:rFonts w:ascii="Times New Roman" w:hAnsi="Times New Roman"/>
          <w:lang w:val="fr-BE"/>
        </w:rPr>
        <w:t xml:space="preserve"> qui a remplacé l’encadrement temporaire de crise précédent, adopté le 23 mars 2022 en réponse à la perturbation grave de l’économie causée par l’attaque de l’Ukraine par la Russie. Les adaptations des règles en matière d’aides d’État en réaction à des «événements extraordinaires» et à des «perturbations graves» ne se justifient qu’aussi longtemps que de tels événements et </w:t>
      </w:r>
      <w:r w:rsidRPr="00233899">
        <w:rPr>
          <w:rFonts w:ascii="Times New Roman" w:hAnsi="Times New Roman"/>
          <w:lang w:val="fr-BE"/>
        </w:rPr>
        <w:lastRenderedPageBreak/>
        <w:t>perturbations existent. C’est là la raison de la suppression progressive de l’encadrement temporaire COVID-19 dont les dernières dispositions expirent le 31 décembre 2023.</w:t>
      </w:r>
    </w:p>
    <w:p w14:paraId="617AC2DF"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L’encadrement temporaire de crise et de transition maintient jusqu’au 31 décembre 2023 les possibilités qui existent pour faire face aux conséquences de la crise actuelle. Après consultation des États membres, la Commission a décidé d’étendre et de simplifier davantage les dispositions relatives au soutien visant à accélérer le déploiement des énergies renouvelables et la décarbonation de l’industrie. Ces dispositions ont été prolongées jusqu’au 31 décembre 2025. La Commission a également ajouté une nouvelle section, applicable jusqu’au 31 décembre 2025, pour accélérer encore les investissements dans les secteurs essentiels à la transition vers une économie à zéro émission nette, en permettant un soutien aux investissements en faveur d’équipements stratégiques ainsi qu’en faveur de la production de composants essentiels et de la production et du recyclage des matières premières critiques connexes.</w:t>
      </w:r>
    </w:p>
    <w:p w14:paraId="3D92BE54" w14:textId="77777777" w:rsidR="00233899" w:rsidRPr="00233899" w:rsidRDefault="00233899" w:rsidP="00233899">
      <w:pPr>
        <w:widowControl w:val="0"/>
        <w:spacing w:after="120"/>
        <w:rPr>
          <w:rFonts w:ascii="Times New Roman" w:hAnsi="Times New Roman"/>
          <w:b/>
          <w:szCs w:val="24"/>
          <w:lang w:val="fr-BE"/>
        </w:rPr>
      </w:pPr>
      <w:r w:rsidRPr="00233899">
        <w:rPr>
          <w:rFonts w:ascii="Times New Roman" w:hAnsi="Times New Roman"/>
          <w:lang w:val="fr-BE"/>
        </w:rPr>
        <w:t>La Commission partage les préoccupations du Parlement européen face à la hausse des prix dans les secteurs de l’alimentation et de l’énergie (</w:t>
      </w:r>
      <w:r w:rsidRPr="00233899">
        <w:rPr>
          <w:rFonts w:ascii="Times New Roman" w:hAnsi="Times New Roman"/>
          <w:b/>
          <w:lang w:val="fr-BE"/>
        </w:rPr>
        <w:t>paragraphe 19</w:t>
      </w:r>
      <w:r w:rsidRPr="00233899">
        <w:rPr>
          <w:rFonts w:ascii="Times New Roman" w:hAnsi="Times New Roman"/>
          <w:lang w:val="fr-BE"/>
        </w:rPr>
        <w:t>).</w:t>
      </w:r>
    </w:p>
    <w:p w14:paraId="419C63C6"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La Commission suit de près la dynamique liée à la hausse des prix dans un certain nombre de secteurs, dont ceux de l’énergie et de l’alimentation. Bien que l’application des règles de concurrence ne soit pas en soi un instrument de lutte contre l’inflation, elle peut faire en sorte que les entreprises n’acquièrent pas un pouvoir de marché excessif au moyen de concentrations, ne se livrent pas à des pratiques abusives ou ne participent pas à des ententes ou à d’autres accords anticoncurrentiels, autant de facteurs qui peuvent contribuer à une hausse des prix. En favorisant des marchés concurrentiels et contestables, la politique de concurrence contribue à prévenir les hausses de prix ou à faciliter les baisses de prix et l’amélioration de la qualité. Elle peut également faire en sorte que les chaînes d’approvisionnement mondiales ne soient pas perturbées par un comportement anticoncurrentiel.</w:t>
      </w:r>
    </w:p>
    <w:p w14:paraId="27AC72CE"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La Commission prend acte de la demande du Parlement européen de mettre en place un mécanisme permanent d’enquête sur le marché qui serait déclenché automatiquement lorsque certaines conditions sont remplies (</w:t>
      </w:r>
      <w:r w:rsidRPr="00233899">
        <w:rPr>
          <w:rFonts w:ascii="Times New Roman" w:hAnsi="Times New Roman"/>
          <w:b/>
          <w:lang w:val="fr-BE"/>
        </w:rPr>
        <w:t>paragraphe 20</w:t>
      </w:r>
      <w:r w:rsidRPr="00233899">
        <w:rPr>
          <w:rFonts w:ascii="Times New Roman" w:hAnsi="Times New Roman"/>
          <w:lang w:val="fr-BE"/>
        </w:rPr>
        <w:t>).</w:t>
      </w:r>
    </w:p>
    <w:p w14:paraId="1DBD1471"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La Commission estime que les outils dont elle dispose actuellement pour faire respecter les règles de concurrence permettent de traiter de tels cas. Elle n’hésitera pas à protéger les consommateurs en enquêtant sur les cas dans lesquels les hausses de prix pourraient être causées par des pratiques anticoncurrentielles.</w:t>
      </w:r>
    </w:p>
    <w:p w14:paraId="79C5F117" w14:textId="77777777" w:rsidR="00233899" w:rsidRPr="00233899" w:rsidRDefault="00233899" w:rsidP="00233899">
      <w:pPr>
        <w:keepNext/>
        <w:keepLines/>
        <w:spacing w:after="120"/>
        <w:rPr>
          <w:rFonts w:ascii="Times New Roman" w:hAnsi="Times New Roman"/>
          <w:b/>
          <w:bCs/>
          <w:i/>
          <w:iCs/>
          <w:szCs w:val="24"/>
          <w:lang w:val="fr-BE"/>
        </w:rPr>
      </w:pPr>
      <w:r w:rsidRPr="00233899">
        <w:rPr>
          <w:rFonts w:ascii="Times New Roman" w:hAnsi="Times New Roman"/>
          <w:b/>
          <w:i/>
          <w:lang w:val="fr-BE"/>
        </w:rPr>
        <w:t>Contrôle des concentrations</w:t>
      </w:r>
    </w:p>
    <w:p w14:paraId="39BEE87B" w14:textId="77777777" w:rsidR="00233899" w:rsidRPr="00233899" w:rsidRDefault="00233899" w:rsidP="00233899">
      <w:pPr>
        <w:keepNext/>
        <w:keepLines/>
        <w:spacing w:after="120"/>
        <w:rPr>
          <w:rFonts w:ascii="Times New Roman" w:hAnsi="Times New Roman"/>
          <w:szCs w:val="24"/>
          <w:lang w:val="fr-BE"/>
        </w:rPr>
      </w:pPr>
      <w:r w:rsidRPr="00233899">
        <w:rPr>
          <w:rFonts w:ascii="Times New Roman" w:hAnsi="Times New Roman"/>
          <w:lang w:val="fr-BE"/>
        </w:rPr>
        <w:t>La Commission prend acte de l’accent mis par le Parlement européen sur la prise en compte d’éléments autres que les prix, notamment de l’incidence sur la vie privée, lors de l’appréciation des effets d’une opération sur la concurrence (</w:t>
      </w:r>
      <w:r w:rsidRPr="00233899">
        <w:rPr>
          <w:rFonts w:ascii="Times New Roman" w:hAnsi="Times New Roman"/>
          <w:b/>
          <w:lang w:val="fr-BE"/>
        </w:rPr>
        <w:t>paragraphe 21</w:t>
      </w:r>
      <w:r w:rsidRPr="00233899">
        <w:rPr>
          <w:rFonts w:ascii="Times New Roman" w:hAnsi="Times New Roman"/>
          <w:lang w:val="fr-BE"/>
        </w:rPr>
        <w:t>).</w:t>
      </w:r>
    </w:p>
    <w:p w14:paraId="6BE98A87"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 xml:space="preserve">La Commission rappelle que, lorsque des paramètres de la concurrence autres que les prix, comme l’innovation et la qualité sous différents aspects, sont pertinents, ils sont pris en considération lors de l’appréciation des effets de la concentration. Dans la mesure où la protection de la vie privée est un paramètre de la concurrence, cet aspect fait partie intégrante de l’appréciation, par la Commission, des effets d’une opération. En outre, dans le cadre de l’examen des opérations de concentration, la Commission tient également compte du cadre réglementaire applicable, y compris de la législation sur la protection de la vie privée, lorsqu’elle </w:t>
      </w:r>
      <w:r w:rsidRPr="00233899">
        <w:rPr>
          <w:rFonts w:ascii="Times New Roman" w:hAnsi="Times New Roman"/>
          <w:lang w:val="fr-BE"/>
        </w:rPr>
        <w:lastRenderedPageBreak/>
        <w:t>apprécie le comportement qu’aura probablement l’entité issue de la concentration une fois cette dernière réalisée.</w:t>
      </w:r>
    </w:p>
    <w:p w14:paraId="797440B2"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relève que, pour le Parlement européen, les seuils de compétence actuels fixés par le règlement de l’UE sur les concentrations</w:t>
      </w:r>
      <w:r>
        <w:rPr>
          <w:rStyle w:val="FootnoteReference"/>
          <w:szCs w:val="24"/>
          <w:lang w:val="en-IE"/>
        </w:rPr>
        <w:footnoteReference w:id="9"/>
      </w:r>
      <w:r w:rsidRPr="00233899">
        <w:rPr>
          <w:rFonts w:ascii="Times New Roman" w:hAnsi="Times New Roman"/>
          <w:lang w:val="fr-BE"/>
        </w:rPr>
        <w:t xml:space="preserve"> ne sont pas adaptés à l’économie numérique (</w:t>
      </w:r>
      <w:r w:rsidRPr="00233899">
        <w:rPr>
          <w:rFonts w:ascii="Times New Roman" w:hAnsi="Times New Roman"/>
          <w:b/>
          <w:lang w:val="fr-BE"/>
        </w:rPr>
        <w:t>paragraphe 21</w:t>
      </w:r>
      <w:r w:rsidRPr="00233899">
        <w:rPr>
          <w:rFonts w:ascii="Times New Roman" w:hAnsi="Times New Roman"/>
          <w:lang w:val="fr-BE"/>
        </w:rPr>
        <w:t>).</w:t>
      </w:r>
    </w:p>
    <w:p w14:paraId="7BE2DCFA"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considère que son approche recalibrée de l’article 22 du règlement de l’UE sur les concentrations constitue un outil ciblé et proportionné permettant de remédier à tout problème de concurrence causé par des opérations inférieures au seuil</w:t>
      </w:r>
      <w:r>
        <w:rPr>
          <w:rStyle w:val="FootnoteReference"/>
          <w:szCs w:val="24"/>
          <w:lang w:val="en-IE"/>
        </w:rPr>
        <w:footnoteReference w:id="10"/>
      </w:r>
      <w:r w:rsidRPr="00233899">
        <w:rPr>
          <w:rFonts w:ascii="Times New Roman" w:hAnsi="Times New Roman"/>
          <w:lang w:val="fr-BE"/>
        </w:rPr>
        <w:t xml:space="preserve">. Elle souligne en outre qu’aucun des seuils applicables dans les États membres de l’Union, pas même dans ceux qui appliquent des seuils fondés sur la valeur des opérations, n’aurait entraîné une obligation de notification de l’opération </w:t>
      </w:r>
      <w:r w:rsidRPr="00233899">
        <w:rPr>
          <w:rFonts w:ascii="Times New Roman" w:hAnsi="Times New Roman"/>
          <w:i/>
          <w:lang w:val="fr-BE"/>
        </w:rPr>
        <w:t>Illumina/Grail</w:t>
      </w:r>
      <w:r w:rsidRPr="00233899">
        <w:rPr>
          <w:rFonts w:ascii="Times New Roman" w:hAnsi="Times New Roman"/>
          <w:lang w:val="fr-BE"/>
        </w:rPr>
        <w:t>, qui méritait pourtant d’être examinée.</w:t>
      </w:r>
    </w:p>
    <w:p w14:paraId="49446DD0"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prend acte de la demande du Parlement européen d’introduire une présomption réfragable relative aux effets des concentrations sur la concurrence lorsque celles-ci concernent certains secteurs ou certains acteurs du marché (</w:t>
      </w:r>
      <w:r w:rsidRPr="00233899">
        <w:rPr>
          <w:rFonts w:ascii="Times New Roman" w:hAnsi="Times New Roman"/>
          <w:b/>
          <w:lang w:val="fr-BE"/>
        </w:rPr>
        <w:t>paragraphe 22</w:t>
      </w:r>
      <w:r w:rsidRPr="00233899">
        <w:rPr>
          <w:rFonts w:ascii="Times New Roman" w:hAnsi="Times New Roman"/>
          <w:lang w:val="fr-BE"/>
        </w:rPr>
        <w:t>).</w:t>
      </w:r>
    </w:p>
    <w:p w14:paraId="61359C4D"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rappelle que le droit de l’Union prévoit déjà certaines présomptions pertinentes dans le contexte des concentrations, telles que la présomption de position dominante en cas de parts de marché supérieures à 50 %, qui, en outre, s’appliquent à tous les secteurs et acteurs du marché de manière indifférenciée et objective.</w:t>
      </w:r>
    </w:p>
    <w:p w14:paraId="60BA2AB6"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Le Parlement européen demande également que la Commission ait la possibilité d’intervenir «pour des raisons non liées à la concurrence» (</w:t>
      </w:r>
      <w:r w:rsidRPr="00233899">
        <w:rPr>
          <w:rFonts w:ascii="Times New Roman" w:hAnsi="Times New Roman"/>
          <w:b/>
          <w:lang w:val="fr-BE"/>
        </w:rPr>
        <w:t>paragraphe 22</w:t>
      </w:r>
      <w:r w:rsidRPr="00233899">
        <w:rPr>
          <w:rFonts w:ascii="Times New Roman" w:hAnsi="Times New Roman"/>
          <w:lang w:val="fr-BE"/>
        </w:rPr>
        <w:t>).</w:t>
      </w:r>
    </w:p>
    <w:p w14:paraId="610561CE"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Dans ses enquêtes, la Commission tient compte de tous les paramètres de la concurrence pertinents. En outre, des éléments tels que la durabilité sont pris en compte d’une autre façon en fonction des conditions, des évolutions et des tendances du marché. Ainsi, les préférences des consommateurs sont prises en compte lors de la définition du marché en cause ou de l’appréciation des mesures correctives.</w:t>
      </w:r>
    </w:p>
    <w:p w14:paraId="268605F0"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prend acte de la demande du Parlement européen de réviser les lignes directrices sur les concentrations en vue d’une évaluation plus complète des gains d’efficacité dans le contrôle des concentrations (</w:t>
      </w:r>
      <w:r w:rsidRPr="00233899">
        <w:rPr>
          <w:rFonts w:ascii="Times New Roman" w:hAnsi="Times New Roman"/>
          <w:b/>
          <w:lang w:val="fr-BE"/>
        </w:rPr>
        <w:t>paragraphe 22</w:t>
      </w:r>
      <w:r w:rsidRPr="00233899">
        <w:rPr>
          <w:rFonts w:ascii="Times New Roman" w:hAnsi="Times New Roman"/>
          <w:lang w:val="fr-BE"/>
        </w:rPr>
        <w:t>).</w:t>
      </w:r>
    </w:p>
    <w:p w14:paraId="7E9E8374"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rappelle que l’évaluation des gains d’efficacité fait partie intégrante de l’analyse réalisée dans le cadre des affaires de contrôle des concentrations depuis l’adoption du règlement de l’UE sur les concentrations de 2004. Les lignes directrices de la Commission concernant les concentrations horizontales et non horizontales</w:t>
      </w:r>
      <w:r>
        <w:rPr>
          <w:rStyle w:val="FootnoteReference"/>
          <w:szCs w:val="24"/>
          <w:lang w:val="en-IE"/>
        </w:rPr>
        <w:footnoteReference w:id="11"/>
      </w:r>
      <w:r w:rsidRPr="00233899">
        <w:rPr>
          <w:rFonts w:ascii="Times New Roman" w:hAnsi="Times New Roman"/>
          <w:lang w:val="fr-BE"/>
        </w:rPr>
        <w:t xml:space="preserve"> adoptées en 2004 et en 2008 expliquent que la Commission peut autoriser une concentration par ailleurs anticoncurrentielle si les gains d’efficacité obtenus sont plus importants que le préjudice résultant de la concentration. Ses normes ayant été explicitement validées par les juridictions de l’Union européenne, la </w:t>
      </w:r>
      <w:r w:rsidRPr="00233899">
        <w:rPr>
          <w:rFonts w:ascii="Times New Roman" w:hAnsi="Times New Roman"/>
          <w:lang w:val="fr-BE"/>
        </w:rPr>
        <w:lastRenderedPageBreak/>
        <w:t>Commission ne voit pas, pour le moment, la nécessité de réviser les lignes directrices sur les concentrations en ce qui concerne les gains d’efficacité.</w:t>
      </w:r>
    </w:p>
    <w:p w14:paraId="2225ECFB"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prend acte de la demande du Parlement européen d’inclure des clauses de réexamen dans ses décisions autorisant une concentration (</w:t>
      </w:r>
      <w:r w:rsidRPr="00233899">
        <w:rPr>
          <w:rFonts w:ascii="Times New Roman" w:hAnsi="Times New Roman"/>
          <w:b/>
          <w:lang w:val="fr-BE"/>
        </w:rPr>
        <w:t>paragraphe 22</w:t>
      </w:r>
      <w:r w:rsidRPr="00233899">
        <w:rPr>
          <w:rFonts w:ascii="Times New Roman" w:hAnsi="Times New Roman"/>
          <w:lang w:val="fr-BE"/>
        </w:rPr>
        <w:t>).</w:t>
      </w:r>
    </w:p>
    <w:p w14:paraId="24012C22"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Contrairement aux règles en vigueur dans certaines autres juridictions, la Commission est tenue de publier une décision motivée, qui est susceptible de faire l’objet d’un recours juridictionnel, qu’elle ait décidé d’autoriser ou d’interdire l’opération. L’introduction de clauses de réexamen dans les décisions d’autorisation pourrait donc susciter des craintes légitimes en matière de sécurité juridique et de prévisibilité pour les parties à la concentration.</w:t>
      </w:r>
    </w:p>
    <w:p w14:paraId="5C06CAC0"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prend acte de la demande du Parlement européen de tirer pleinement parti de la numérisation afin de réduire le temps nécessaire à l’examen des concentrations (</w:t>
      </w:r>
      <w:r w:rsidRPr="00233899">
        <w:rPr>
          <w:rFonts w:ascii="Times New Roman" w:hAnsi="Times New Roman"/>
          <w:b/>
          <w:lang w:val="fr-BE"/>
        </w:rPr>
        <w:t>paragraphe 24</w:t>
      </w:r>
      <w:r w:rsidRPr="00233899">
        <w:rPr>
          <w:rFonts w:ascii="Times New Roman" w:hAnsi="Times New Roman"/>
          <w:lang w:val="fr-BE"/>
        </w:rPr>
        <w:t>).</w:t>
      </w:r>
    </w:p>
    <w:p w14:paraId="0B9CFCA6"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Dans ce contexte, la Commission tient à rappeler qu’elle a adopté, le 20 avril 2023, un ensemble de mesures visant à simplifier davantage ses procédures de contrôle des concentrations, les nouvelles règles prenant effet le 1</w:t>
      </w:r>
      <w:r w:rsidRPr="00233899">
        <w:rPr>
          <w:rFonts w:ascii="Times New Roman" w:hAnsi="Times New Roman"/>
          <w:vertAlign w:val="superscript"/>
          <w:lang w:val="fr-BE"/>
        </w:rPr>
        <w:t>er</w:t>
      </w:r>
      <w:r w:rsidRPr="00233899">
        <w:rPr>
          <w:rFonts w:ascii="Times New Roman" w:hAnsi="Times New Roman"/>
          <w:lang w:val="fr-BE"/>
        </w:rPr>
        <w:t> septembre 2023. Ces mesures rationaliseront l’examen des cas traités selon la procédure simplifiée, numériseront entièrement la notification des concentrations et réduiront la charge administrative tant pour les entreprises que pour la Commission dans les cas qui sont peu susceptibles de poser des problèmes de concurrence. En outre, la Commission rappelle qu’il est déjà parfois très difficile d’achever les examens dans les délais légaux stricts prévus et qu’un raccourcissement supplémentaire de ceux-ci pourrait mettre en péril la qualité des enquêtes au détriment, en fin de compte, des citoyens et des entreprises de l’UE.</w:t>
      </w:r>
    </w:p>
    <w:p w14:paraId="20951811"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 xml:space="preserve">La Commission prend acte de la demande du Parlement européen d’évaluer dans quelle mesure les principes de l’UE en matière de concurrence ont eu un effet sur la prestation de services d’intérêt économique général (SIEG) dans la perspective de l’expiration prochaine de l’actuel règlement </w:t>
      </w:r>
      <w:r w:rsidRPr="00233899">
        <w:rPr>
          <w:rFonts w:ascii="Times New Roman" w:hAnsi="Times New Roman"/>
          <w:i/>
          <w:lang w:val="fr-BE"/>
        </w:rPr>
        <w:t>de minimis</w:t>
      </w:r>
      <w:r w:rsidRPr="00233899">
        <w:rPr>
          <w:rFonts w:ascii="Times New Roman" w:hAnsi="Times New Roman"/>
          <w:lang w:val="fr-BE"/>
        </w:rPr>
        <w:t xml:space="preserve"> relatif aux SIEG à la fin de 2023 (</w:t>
      </w:r>
      <w:r w:rsidRPr="00233899">
        <w:rPr>
          <w:rFonts w:ascii="Times New Roman" w:hAnsi="Times New Roman"/>
          <w:b/>
          <w:lang w:val="fr-BE"/>
        </w:rPr>
        <w:t>paragraphe 25</w:t>
      </w:r>
      <w:r w:rsidRPr="00233899">
        <w:rPr>
          <w:rFonts w:ascii="Times New Roman" w:hAnsi="Times New Roman"/>
          <w:lang w:val="fr-BE"/>
        </w:rPr>
        <w:t>).</w:t>
      </w:r>
    </w:p>
    <w:p w14:paraId="12C8FAA7"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 xml:space="preserve">La Commission reconnaît la nature particulière et l’importance des SIEG pour les citoyens et la société. C’est pourquoi des règles spécifiques en matière d’aides d’État s’appliquent à ce type de services. Le réexamen des règles applicables aux SIEG dans le domaine des services sociaux et de santé a établi que ces règles restent généralement adaptées à leur finalité, mais qu’il pourrait être nécessaire de préciser davantage certaines notions et de relever le plafond du règlement </w:t>
      </w:r>
      <w:r w:rsidRPr="00233899">
        <w:rPr>
          <w:rFonts w:ascii="Times New Roman" w:hAnsi="Times New Roman"/>
          <w:i/>
          <w:lang w:val="fr-BE"/>
        </w:rPr>
        <w:t>de minimis</w:t>
      </w:r>
      <w:r w:rsidRPr="00233899">
        <w:rPr>
          <w:rFonts w:ascii="Times New Roman" w:hAnsi="Times New Roman"/>
          <w:lang w:val="fr-BE"/>
        </w:rPr>
        <w:t xml:space="preserve"> relatif aux SIEG. La Commission procède actuellement à la révision de ce règlement, afin que les règles révisées puissent entrer en vigueur avant qu’il n’expire à la fin de 2023. Dans ce contexte, elle a également lancé, le 19 avril 2023, une consultation publique des parties prenantes sur le projet de modification du règlement </w:t>
      </w:r>
      <w:r w:rsidRPr="00233899">
        <w:rPr>
          <w:rFonts w:ascii="Times New Roman" w:hAnsi="Times New Roman"/>
          <w:i/>
          <w:lang w:val="fr-BE"/>
        </w:rPr>
        <w:t>de minimis</w:t>
      </w:r>
      <w:r w:rsidRPr="00233899">
        <w:rPr>
          <w:rFonts w:ascii="Times New Roman" w:hAnsi="Times New Roman"/>
          <w:lang w:val="fr-BE"/>
        </w:rPr>
        <w:t xml:space="preserve"> relatif aux SIEG</w:t>
      </w:r>
      <w:r>
        <w:rPr>
          <w:rStyle w:val="FootnoteReference"/>
          <w:szCs w:val="24"/>
          <w:lang w:val="en-IE"/>
        </w:rPr>
        <w:footnoteReference w:id="12"/>
      </w:r>
      <w:r w:rsidRPr="00233899">
        <w:rPr>
          <w:rFonts w:ascii="Times New Roman" w:hAnsi="Times New Roman"/>
          <w:lang w:val="fr-BE"/>
        </w:rPr>
        <w:t>.</w:t>
      </w:r>
    </w:p>
    <w:p w14:paraId="43448E2B" w14:textId="77777777" w:rsidR="00233899" w:rsidRPr="00233899" w:rsidRDefault="00233899" w:rsidP="00233899">
      <w:pPr>
        <w:spacing w:after="120"/>
        <w:rPr>
          <w:rFonts w:ascii="Times New Roman" w:hAnsi="Times New Roman"/>
          <w:b/>
          <w:bCs/>
          <w:i/>
          <w:iCs/>
          <w:szCs w:val="24"/>
          <w:lang w:val="fr-BE"/>
        </w:rPr>
      </w:pPr>
      <w:r w:rsidRPr="00233899">
        <w:rPr>
          <w:rFonts w:ascii="Times New Roman" w:hAnsi="Times New Roman"/>
          <w:b/>
          <w:i/>
          <w:lang w:val="fr-BE"/>
        </w:rPr>
        <w:t>Ententes et abus de position dominante</w:t>
      </w:r>
    </w:p>
    <w:p w14:paraId="380ED59F"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se félicite du soutien du Parlement européen aux efforts qu’elle déploie pour tenir activement compte, dans le cadre de l’article 101 du TFUE, des questions spécifiques au marché du travail telles que la fixation des salaires et les accords de non-débauchage (</w:t>
      </w:r>
      <w:r w:rsidRPr="00233899">
        <w:rPr>
          <w:rFonts w:ascii="Times New Roman" w:hAnsi="Times New Roman"/>
          <w:b/>
          <w:lang w:val="fr-BE"/>
        </w:rPr>
        <w:t>paragraphe 26</w:t>
      </w:r>
      <w:r w:rsidRPr="00233899">
        <w:rPr>
          <w:rFonts w:ascii="Times New Roman" w:hAnsi="Times New Roman"/>
          <w:lang w:val="fr-BE"/>
        </w:rPr>
        <w:t>).</w:t>
      </w:r>
    </w:p>
    <w:p w14:paraId="2C2611F9"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lastRenderedPageBreak/>
        <w:t>La Commission se félicite du soutien apporté par le Parlement à ses lignes directrices relatives à l’application du droit de la concurrence de l’Union aux conventions collectives, qui précisent que ce droit n’empêche pas les travailleurs indépendants sans salariés de participer à la négociation collective (</w:t>
      </w:r>
      <w:r w:rsidRPr="00233899">
        <w:rPr>
          <w:rFonts w:ascii="Times New Roman" w:hAnsi="Times New Roman"/>
          <w:b/>
          <w:lang w:val="fr-BE"/>
        </w:rPr>
        <w:t>paragraphe 27</w:t>
      </w:r>
      <w:r w:rsidRPr="00233899">
        <w:rPr>
          <w:rFonts w:ascii="Times New Roman" w:hAnsi="Times New Roman"/>
          <w:lang w:val="fr-BE"/>
        </w:rPr>
        <w:t>).</w:t>
      </w:r>
    </w:p>
    <w:p w14:paraId="4B8C55CC"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se félicite du soutien du Parlement européen au lancement d’une évaluation des règlements (CE) nº 1/2003 et (CE) nº 773/2004 en mars 2022 (</w:t>
      </w:r>
      <w:r w:rsidRPr="00233899">
        <w:rPr>
          <w:rFonts w:ascii="Times New Roman" w:hAnsi="Times New Roman"/>
          <w:b/>
          <w:lang w:val="fr-BE"/>
        </w:rPr>
        <w:t>paragraphe 28</w:t>
      </w:r>
      <w:r w:rsidRPr="00233899">
        <w:rPr>
          <w:rFonts w:ascii="Times New Roman" w:hAnsi="Times New Roman"/>
          <w:lang w:val="fr-BE"/>
        </w:rPr>
        <w:t>).</w:t>
      </w:r>
    </w:p>
    <w:p w14:paraId="61C452DE"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se félicite de la position du Parlement européen concernant l’existence d’une base juridique pour la séparation structurelle (</w:t>
      </w:r>
      <w:r w:rsidRPr="00233899">
        <w:rPr>
          <w:rFonts w:ascii="Times New Roman" w:hAnsi="Times New Roman"/>
          <w:b/>
          <w:lang w:val="fr-BE"/>
        </w:rPr>
        <w:t>paragraphe 29</w:t>
      </w:r>
      <w:r w:rsidRPr="00233899">
        <w:rPr>
          <w:rFonts w:ascii="Times New Roman" w:hAnsi="Times New Roman"/>
          <w:lang w:val="fr-BE"/>
        </w:rPr>
        <w:t>).</w:t>
      </w:r>
    </w:p>
    <w:p w14:paraId="43ABEDBC"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estime que le pouvoir d’imposer des mesures correctives au titre des articles 101 et 102 du TFUE est essentiel à l’application effective du droit de la concurrence de l’Union et convient que des mesures correctives structurelles devraient être imposées, lorsque les circonstances spécifiques d’une affaire le justifient et dans le respect du principe de proportionnalité.</w:t>
      </w:r>
    </w:p>
    <w:p w14:paraId="35CC0C08"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prend acte de la demande du Parlement européen d’analyser le bien-fondé de la base juridique du dégroupage des entreprises en tant que mesure corrective structurelle de dernier recours en cas de violations des règles de concurrence (</w:t>
      </w:r>
      <w:r w:rsidRPr="00233899">
        <w:rPr>
          <w:rFonts w:ascii="Times New Roman" w:hAnsi="Times New Roman"/>
          <w:b/>
          <w:lang w:val="fr-BE"/>
        </w:rPr>
        <w:t>paragraphe 29</w:t>
      </w:r>
      <w:r w:rsidRPr="00233899">
        <w:rPr>
          <w:rFonts w:ascii="Times New Roman" w:hAnsi="Times New Roman"/>
          <w:lang w:val="fr-BE"/>
        </w:rPr>
        <w:t>).</w:t>
      </w:r>
    </w:p>
    <w:p w14:paraId="6FF6545D"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a de fait déjà le pouvoir d’imposer des mesures correctives structurelles en cas d’infraction aux règles de concurrence, telles que le dégroupage des entreprises, conformément à l’article 7 du règlement (CE) nº 1/2003, pour autant que le principe de proportionnalité soit respecté. Elle examine entre autres ce pouvoir dans le cadre du processus d’évaluation en cours du règlement (CE) nº 1/2003.</w:t>
      </w:r>
    </w:p>
    <w:p w14:paraId="580F5C3C"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prend acte de la demande du Parlement européen de créer une base de données publique de toutes les affaires relevant du droit européen et national de la concurrence, comprenant notamment des résumés en anglais (</w:t>
      </w:r>
      <w:r w:rsidRPr="00233899">
        <w:rPr>
          <w:rFonts w:ascii="Times New Roman" w:hAnsi="Times New Roman"/>
          <w:b/>
          <w:lang w:val="fr-BE"/>
        </w:rPr>
        <w:t>paragraphe 32</w:t>
      </w:r>
      <w:r w:rsidRPr="00233899">
        <w:rPr>
          <w:rFonts w:ascii="Times New Roman" w:hAnsi="Times New Roman"/>
          <w:lang w:val="fr-BE"/>
        </w:rPr>
        <w:t>).</w:t>
      </w:r>
    </w:p>
    <w:p w14:paraId="60524BBA"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a récemment lancé un nouveau moteur de recherche public (appelé COMP Cases) qui remplace le moteur de recherche précédent et offre une meilleure expérience utilisateur en fournissant une interface utilisateur graphique nouvelle, moderne et intuitive.</w:t>
      </w:r>
    </w:p>
    <w:p w14:paraId="503007EB"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souscrit à la position du Parlement quant à l’importance des dommages et intérêts en cas d’infractions au droit de la concurrence et prend acte de la demande d’imposer une obligation de déclaration de l’étendue des dommages et intérêts dans les décisions visant à faire respecter le droit de la concurrence ou d’introduire une présomption de montant minimal de dommages et intérêts (</w:t>
      </w:r>
      <w:r w:rsidRPr="00233899">
        <w:rPr>
          <w:rFonts w:ascii="Times New Roman" w:hAnsi="Times New Roman"/>
          <w:b/>
          <w:lang w:val="fr-BE"/>
        </w:rPr>
        <w:t>paragraphe 33</w:t>
      </w:r>
      <w:r w:rsidRPr="00233899">
        <w:rPr>
          <w:rFonts w:ascii="Times New Roman" w:hAnsi="Times New Roman"/>
          <w:lang w:val="fr-BE"/>
        </w:rPr>
        <w:t>).</w:t>
      </w:r>
    </w:p>
    <w:p w14:paraId="5DACAB0B"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Les dommages et intérêts font partie intégrante du système de mise en œuvre du droit de la concurrence de l’UE et l’un des principaux objectifs de la directive relative aux dommages et intérêts (2014/104/UE)</w:t>
      </w:r>
      <w:r>
        <w:rPr>
          <w:rStyle w:val="FootnoteReference"/>
          <w:szCs w:val="24"/>
          <w:lang w:val="en-IE"/>
        </w:rPr>
        <w:footnoteReference w:id="13"/>
      </w:r>
      <w:r w:rsidRPr="00233899">
        <w:rPr>
          <w:rFonts w:ascii="Times New Roman" w:hAnsi="Times New Roman"/>
          <w:lang w:val="fr-BE"/>
        </w:rPr>
        <w:t xml:space="preserve"> est de faciliter les demandes d’indemnisation des victimes d’infractions audit droit. Le législateur de l’UE a envisagé et rejeté l’inclusion, dans la directive relative aux dommages et intérêts, d’une présomption qui couvrirait le montant spécifique du préjudice subi dans chaque cas. L’indication de l’étendue du préjudice dans les décisions visant à faire respecter </w:t>
      </w:r>
      <w:r w:rsidRPr="00233899">
        <w:rPr>
          <w:rFonts w:ascii="Times New Roman" w:hAnsi="Times New Roman"/>
          <w:lang w:val="fr-BE"/>
        </w:rPr>
        <w:lastRenderedPageBreak/>
        <w:t>le droit de la concurrence adoptées par la sphère publique sortirait du champ de compétence des autorités de concurrence lorsqu’elles enquêtent et constatent des infractions aux règles de concurrence.</w:t>
      </w:r>
    </w:p>
    <w:p w14:paraId="442ABBAF"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b/>
          <w:i/>
          <w:lang w:val="fr-BE"/>
        </w:rPr>
        <w:t>Politique de concurrence à l’ère numérique</w:t>
      </w:r>
    </w:p>
    <w:p w14:paraId="366EF7A0"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La Commission se félicite de la demande du Parlement d’allouer des ressources financières supplémentaires à la mise en œuvre du règlement sur les marchés numériques (DMA), y compris de recruter du personnel spécialisé (</w:t>
      </w:r>
      <w:r w:rsidRPr="00233899">
        <w:rPr>
          <w:rFonts w:ascii="Times New Roman" w:hAnsi="Times New Roman"/>
          <w:b/>
          <w:lang w:val="fr-BE"/>
        </w:rPr>
        <w:t>paragraphe 35</w:t>
      </w:r>
      <w:r w:rsidRPr="00233899">
        <w:rPr>
          <w:rFonts w:ascii="Times New Roman" w:hAnsi="Times New Roman"/>
          <w:lang w:val="fr-BE"/>
        </w:rPr>
        <w:t>).</w:t>
      </w:r>
    </w:p>
    <w:p w14:paraId="5A1E80CD" w14:textId="77777777" w:rsidR="00233899" w:rsidRPr="00233899" w:rsidRDefault="00233899" w:rsidP="00233899">
      <w:pPr>
        <w:widowControl w:val="0"/>
        <w:spacing w:after="120"/>
        <w:rPr>
          <w:rFonts w:ascii="Times New Roman" w:hAnsi="Times New Roman"/>
          <w:szCs w:val="24"/>
          <w:lang w:val="fr-BE"/>
        </w:rPr>
      </w:pPr>
      <w:r w:rsidRPr="00233899">
        <w:rPr>
          <w:rFonts w:ascii="Times New Roman" w:hAnsi="Times New Roman"/>
          <w:lang w:val="fr-BE"/>
        </w:rPr>
        <w:t>La task force DMA constituée au sein de la Commission est une entreprise commune de la direction générale de la concurrence et de la direction générale des réseaux de communication, du contenu et des technologies (CNECT). Chacune de ces deux directions générales comprend une direction, comptant actuellement environ 40 personnes, chargée de contrôler l’application du règlement sur les marchés numériques. Si les ressources globales de la Commission le permettent, son équipe DMA sera encore renforcée. Il convient de rappeler, dans ce contexte, que la Commission, dans le respect des principes qui sous-tendent l’actuel cadre financier pluriannuel (CFP), fonctionne actuellement selon le principe de la stabilité des effectifs. Toute augmentation de la charge de travail devra faire l’objet d’une réaffectation et d’un redéploiement éventuels au sein des services de la Commission. Cette dernière a demandé des effectifs supplémentaires dans le cadre de la révision à mi-parcours du CFP.</w:t>
      </w:r>
    </w:p>
    <w:p w14:paraId="5F4023D8"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La Commission partage l’avis du Parlement européen quant à l’importance d’une coopération étroite entre la Commission et les autorités nationales de concurrence lors de l’application du règlement sur les marchés numériques (</w:t>
      </w:r>
      <w:r w:rsidRPr="00233899">
        <w:rPr>
          <w:rFonts w:ascii="Times New Roman" w:hAnsi="Times New Roman"/>
          <w:b/>
          <w:lang w:val="fr-BE"/>
        </w:rPr>
        <w:t>paragraphe 35</w:t>
      </w:r>
      <w:r w:rsidRPr="00233899">
        <w:rPr>
          <w:rFonts w:ascii="Times New Roman" w:hAnsi="Times New Roman"/>
          <w:lang w:val="fr-BE"/>
        </w:rPr>
        <w:t>).</w:t>
      </w:r>
    </w:p>
    <w:p w14:paraId="3AABFA79"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L’article 38 du règlement sur les marchés numériques établit les règles de coopération et de coordination entre la Commission et les autorités nationales compétentes chargées de faire respecter les règles de concurrence. Dans le cadre du règlement sur les marchés numériques, la Commission et ces autorités coopéreront et s’informeront mutuellement, par l’intermédiaire du réseau européen de la concurrence (REC), des mesures qu’elles prennent pour faire respecter la législation. Elles pourront échanger des informations, y compris des informations confidentielles, et s’informer mutuellement de leurs enquêtes respectives. La Commission peut demander aux autorités de soutenir ses enquêtes sur le marché dans le cadre du règlement sur les marchés numériques. Les autorités nationales peuvent, de leur propre initiative, enquêter sur un éventuel non-respect, sur leur territoire, des obligations découlant du règlement sur les marchés numériques par des contrôleurs d’accès désignés. Les modalités pratiques de la coopération et de la coordination au titre de l’article 38 du règlement sur les marchés numériques sont en cours de définition.</w:t>
      </w:r>
    </w:p>
    <w:p w14:paraId="72B4C819"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La Commission partage l’avis du Parlement européen selon lequel le droit de la concurrence reste pertinent pour les marchés numériques malgré l’entrée en vigueur du règlement sur les marchés numériques, notamment les éventuelles procédures en matière de pratiques anticoncurrentielles contre des entreprises fournissant des services de plateforme essentiels au sens de l’article 2, point 2), du règlement sur les marchés numériques qui ont été désignées comme contrôleurs d’accès en vertu dudit règlement (</w:t>
      </w:r>
      <w:r w:rsidRPr="00233899">
        <w:rPr>
          <w:rFonts w:ascii="Times New Roman" w:hAnsi="Times New Roman"/>
          <w:b/>
          <w:lang w:val="fr-BE"/>
        </w:rPr>
        <w:t>paragraphe 37</w:t>
      </w:r>
      <w:r w:rsidRPr="00233899">
        <w:rPr>
          <w:rFonts w:ascii="Times New Roman" w:hAnsi="Times New Roman"/>
          <w:lang w:val="fr-BE"/>
        </w:rPr>
        <w:t>).</w:t>
      </w:r>
    </w:p>
    <w:p w14:paraId="1C6D669D"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 xml:space="preserve">Le droit de la concurrence peut être appliqué avec succès aux marchés numériques. La pratique décisionnelle de la Commission montre que les règles de concurrence sont suffisamment souples pour tenir compte des caractéristiques spécifiques des marchés numériques, tels que les forts </w:t>
      </w:r>
      <w:r w:rsidRPr="00233899">
        <w:rPr>
          <w:rFonts w:ascii="Times New Roman" w:hAnsi="Times New Roman"/>
          <w:lang w:val="fr-BE"/>
        </w:rPr>
        <w:lastRenderedPageBreak/>
        <w:t>effets de réseau, les données, la tarification zéro ou le marché hégémonique. Il peut toutefois être plus approprié et plus efficace de lutter contre certains dysfonctionnements des marchés numériques avec d’autres instruments juridiques tels que le règlement sur les marchés numériques et d’autres règlements couvrant le domaine numérique. Le droit de la concurrence, sur les marchés numériques comme dans d’autres secteurs, vient compléter la réglementation sectorielle. Le secret des données est un autre exemple de ce que le droit de la concurrence et la protection des données devraient être utilisés de manière complémentaire pour éviter des résultats incohérents ou contradictoires.</w:t>
      </w:r>
    </w:p>
    <w:p w14:paraId="2C064E82" w14:textId="77777777" w:rsidR="00233899" w:rsidRPr="00233899" w:rsidRDefault="00233899" w:rsidP="00233899">
      <w:pPr>
        <w:widowControl w:val="0"/>
        <w:spacing w:after="120"/>
        <w:rPr>
          <w:rFonts w:ascii="Times New Roman" w:hAnsi="Times New Roman"/>
          <w:b/>
          <w:i/>
          <w:iCs/>
          <w:szCs w:val="24"/>
          <w:lang w:val="fr-BE"/>
        </w:rPr>
      </w:pPr>
      <w:r w:rsidRPr="00233899">
        <w:rPr>
          <w:rFonts w:ascii="Times New Roman" w:hAnsi="Times New Roman"/>
          <w:b/>
          <w:i/>
          <w:lang w:val="fr-BE"/>
        </w:rPr>
        <w:t>Politiques sectorielles</w:t>
      </w:r>
    </w:p>
    <w:p w14:paraId="08FE90EB" w14:textId="77777777" w:rsidR="00233899" w:rsidRPr="00233899" w:rsidRDefault="00233899" w:rsidP="00233899">
      <w:pPr>
        <w:widowControl w:val="0"/>
        <w:spacing w:after="120"/>
        <w:rPr>
          <w:rFonts w:ascii="Times New Roman" w:hAnsi="Times New Roman"/>
          <w:bCs/>
          <w:szCs w:val="24"/>
          <w:lang w:val="fr-BE"/>
        </w:rPr>
      </w:pPr>
      <w:r w:rsidRPr="00233899">
        <w:rPr>
          <w:rFonts w:ascii="Times New Roman" w:hAnsi="Times New Roman"/>
          <w:lang w:val="fr-BE"/>
        </w:rPr>
        <w:t>La Commission prend acte de la demande du Parlement européen de réviser la communication de 2013 concernant le secteur bancaire (</w:t>
      </w:r>
      <w:r w:rsidRPr="00233899">
        <w:rPr>
          <w:rFonts w:ascii="Times New Roman" w:hAnsi="Times New Roman"/>
          <w:b/>
          <w:lang w:val="fr-BE"/>
        </w:rPr>
        <w:t>paragraphe 43</w:t>
      </w:r>
      <w:r w:rsidRPr="00233899">
        <w:rPr>
          <w:rFonts w:ascii="Times New Roman" w:hAnsi="Times New Roman"/>
          <w:lang w:val="fr-BE"/>
        </w:rPr>
        <w:t>) et précise que le processus d’évaluation des règles en matière d’aides d’État en faveur des banques en difficulté est en cours.</w:t>
      </w:r>
    </w:p>
    <w:p w14:paraId="290A49FC" w14:textId="77777777" w:rsidR="00233899" w:rsidRPr="00233899" w:rsidRDefault="00233899" w:rsidP="00233899">
      <w:pPr>
        <w:spacing w:after="120"/>
        <w:rPr>
          <w:rFonts w:ascii="Times New Roman" w:hAnsi="Times New Roman"/>
          <w:b/>
          <w:bCs/>
          <w:i/>
          <w:iCs/>
          <w:szCs w:val="24"/>
          <w:lang w:val="fr-BE"/>
        </w:rPr>
      </w:pPr>
      <w:r w:rsidRPr="00233899">
        <w:rPr>
          <w:rFonts w:ascii="Times New Roman" w:hAnsi="Times New Roman"/>
          <w:b/>
          <w:i/>
          <w:lang w:val="fr-BE"/>
        </w:rPr>
        <w:t>Aides d’État adaptées à leur finalité</w:t>
      </w:r>
    </w:p>
    <w:p w14:paraId="0AC50E62"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prend acte de la demande du Parlement européen d’empêcher les entreprises qui se livrent à une planification fiscale agressive de bénéficier d’aides d’État (</w:t>
      </w:r>
      <w:r w:rsidRPr="00233899">
        <w:rPr>
          <w:rFonts w:ascii="Times New Roman" w:hAnsi="Times New Roman"/>
          <w:b/>
          <w:lang w:val="fr-BE"/>
        </w:rPr>
        <w:t>paragraphe 46</w:t>
      </w:r>
      <w:r w:rsidRPr="00233899">
        <w:rPr>
          <w:rFonts w:ascii="Times New Roman" w:hAnsi="Times New Roman"/>
          <w:lang w:val="fr-BE"/>
        </w:rPr>
        <w:t>).</w:t>
      </w:r>
    </w:p>
    <w:p w14:paraId="44C5842B"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À cet égard, la Commission tient à souligner que l’assurance d’une fiscalité juste et efficace dans le marché intérieur et la lutte contre l’évasion et la fraude fiscales figurent toujours parmi ses grandes priorités politiques.</w:t>
      </w:r>
    </w:p>
    <w:p w14:paraId="686C32CC"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La Commission renvoie à sa recommandation du 14 juillet 2020 [COM(2020) 4885 final], dans laquelle elle appelait à une approche coordonnée pour subordonner l’octroi d’un soutien financier par les États membres à l’absence de liens entre l’entreprise bénéficiaire et les pays et territoires figurant sur la liste de l’UE des pays et territoires non coopératifs. Bien que cette recommandation ait été formulée dans le contexte de la pandémie de COVID-19 et du volume important de soutien financier accordé à cette époque par les États membres pour soutenir leurs économies, son champ d’application couvre toute forme de soutien financier accordé aux entreprises éligibles.</w:t>
      </w:r>
    </w:p>
    <w:p w14:paraId="19E59966"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En outre, la Commission est résolue à continuer d’utiliser tous les outils à sa disposition afin que la concurrence loyale ne soit pas faussée par l’octroi d’abattements fiscaux illégaux aux multinationales. En conséquence, elle poursuivra son enquête sur les décisions fiscales anticipées et d’autres dispositifs de planification fiscale agressive, à la lumière de la jurisprudence la plus récente en matière d’aides d’État de nature fiscale.</w:t>
      </w:r>
    </w:p>
    <w:p w14:paraId="183A9701" w14:textId="77777777" w:rsidR="00233899" w:rsidRPr="00233899" w:rsidRDefault="00233899" w:rsidP="00233899">
      <w:pPr>
        <w:spacing w:after="120"/>
        <w:rPr>
          <w:rFonts w:ascii="Times New Roman" w:hAnsi="Times New Roman"/>
          <w:szCs w:val="24"/>
          <w:lang w:val="fr-BE"/>
        </w:rPr>
      </w:pPr>
      <w:r w:rsidRPr="00233899">
        <w:rPr>
          <w:rFonts w:ascii="Times New Roman" w:hAnsi="Times New Roman"/>
          <w:lang w:val="fr-BE"/>
        </w:rPr>
        <w:t>Enfin, la Commission présente une proposition de directive sur les prix de transfert. Cette directive contribuera à préserver des conditions de concurrence équitables en comblant les failles qui découlent de l’application divergente des règles en matière de prix de transfert au sein de l’UE et viendra ainsi compléter les efforts déployés sur le front du contrôle des aides d’État.</w:t>
      </w:r>
    </w:p>
    <w:p w14:paraId="23F73D1F" w14:textId="2EED7315" w:rsidR="00D376F6" w:rsidRPr="00233899" w:rsidRDefault="00D376F6" w:rsidP="00233899">
      <w:pPr>
        <w:widowControl w:val="0"/>
        <w:spacing w:line="276" w:lineRule="auto"/>
        <w:rPr>
          <w:rFonts w:ascii="Times New Roman" w:hAnsi="Times New Roman"/>
          <w:szCs w:val="24"/>
          <w:lang w:val="fr-BE"/>
        </w:rPr>
      </w:pPr>
    </w:p>
    <w:sectPr w:rsidR="00D376F6" w:rsidRPr="00233899">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4DD5" w14:textId="77777777" w:rsidR="005710CE" w:rsidRDefault="005710CE" w:rsidP="000F03A0">
      <w:pPr>
        <w:spacing w:after="0"/>
      </w:pPr>
      <w:r>
        <w:separator/>
      </w:r>
    </w:p>
  </w:endnote>
  <w:endnote w:type="continuationSeparator" w:id="0">
    <w:p w14:paraId="383E8BCB" w14:textId="77777777" w:rsidR="005710CE" w:rsidRDefault="005710CE" w:rsidP="000F03A0">
      <w:pPr>
        <w:spacing w:after="0"/>
      </w:pPr>
      <w:r>
        <w:continuationSeparator/>
      </w:r>
    </w:p>
  </w:endnote>
  <w:endnote w:type="continuationNotice" w:id="1">
    <w:p w14:paraId="715D79F4" w14:textId="77777777" w:rsidR="005710CE" w:rsidRDefault="005710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423075"/>
      <w:docPartObj>
        <w:docPartGallery w:val="Page Numbers (Bottom of Page)"/>
        <w:docPartUnique/>
      </w:docPartObj>
    </w:sdtPr>
    <w:sdtEndPr>
      <w:rPr>
        <w:noProof/>
      </w:rPr>
    </w:sdtEndPr>
    <w:sdtContent>
      <w:p w14:paraId="2D7AB08B" w14:textId="39D058EB" w:rsidR="00E46E17" w:rsidRDefault="00E46E17">
        <w:pPr>
          <w:pStyle w:val="Footer"/>
          <w:jc w:val="center"/>
        </w:pPr>
        <w:r w:rsidRPr="00E46E17">
          <w:rPr>
            <w:rFonts w:ascii="Times New Roman" w:hAnsi="Times New Roman"/>
            <w:sz w:val="20"/>
          </w:rPr>
          <w:fldChar w:fldCharType="begin"/>
        </w:r>
        <w:r w:rsidRPr="00E46E17">
          <w:rPr>
            <w:rFonts w:ascii="Times New Roman" w:hAnsi="Times New Roman"/>
            <w:sz w:val="20"/>
          </w:rPr>
          <w:instrText xml:space="preserve"> PAGE   \* MERGEFORMAT </w:instrText>
        </w:r>
        <w:r w:rsidRPr="00E46E17">
          <w:rPr>
            <w:rFonts w:ascii="Times New Roman" w:hAnsi="Times New Roman"/>
            <w:sz w:val="20"/>
          </w:rPr>
          <w:fldChar w:fldCharType="separate"/>
        </w:r>
        <w:r w:rsidRPr="00E46E17">
          <w:rPr>
            <w:rFonts w:ascii="Times New Roman" w:hAnsi="Times New Roman"/>
            <w:noProof/>
            <w:sz w:val="20"/>
          </w:rPr>
          <w:t>2</w:t>
        </w:r>
        <w:r w:rsidRPr="00E46E17">
          <w:rPr>
            <w:rFonts w:ascii="Times New Roman" w:hAnsi="Times New Roman"/>
            <w:noProof/>
            <w:sz w:val="20"/>
          </w:rPr>
          <w:fldChar w:fldCharType="end"/>
        </w:r>
      </w:p>
    </w:sdtContent>
  </w:sdt>
  <w:p w14:paraId="1ED2CC4C" w14:textId="77777777" w:rsidR="000F03A0" w:rsidRDefault="000F0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2759" w14:textId="77777777" w:rsidR="005710CE" w:rsidRDefault="005710CE" w:rsidP="000F03A0">
      <w:pPr>
        <w:spacing w:after="0"/>
      </w:pPr>
      <w:r>
        <w:separator/>
      </w:r>
    </w:p>
  </w:footnote>
  <w:footnote w:type="continuationSeparator" w:id="0">
    <w:p w14:paraId="457D6513" w14:textId="77777777" w:rsidR="005710CE" w:rsidRDefault="005710CE" w:rsidP="000F03A0">
      <w:pPr>
        <w:spacing w:after="0"/>
      </w:pPr>
      <w:r>
        <w:continuationSeparator/>
      </w:r>
    </w:p>
  </w:footnote>
  <w:footnote w:type="continuationNotice" w:id="1">
    <w:p w14:paraId="41684C0B" w14:textId="77777777" w:rsidR="005710CE" w:rsidRDefault="005710CE">
      <w:pPr>
        <w:spacing w:after="0"/>
      </w:pPr>
    </w:p>
  </w:footnote>
  <w:footnote w:id="2">
    <w:p w14:paraId="1C877270" w14:textId="77777777" w:rsidR="00233899" w:rsidRPr="00233899" w:rsidRDefault="00233899" w:rsidP="00233899">
      <w:pPr>
        <w:pStyle w:val="FootnoteText"/>
        <w:jc w:val="both"/>
        <w:rPr>
          <w:rFonts w:ascii="Times New Roman" w:hAnsi="Times New Roman"/>
          <w:lang w:val="fr-BE"/>
        </w:rPr>
      </w:pPr>
      <w:r>
        <w:rPr>
          <w:rStyle w:val="FootnoteReference"/>
        </w:rPr>
        <w:footnoteRef/>
      </w:r>
      <w:r w:rsidRPr="00233899">
        <w:rPr>
          <w:rFonts w:ascii="Times New Roman" w:hAnsi="Times New Roman"/>
          <w:lang w:val="fr-BE"/>
        </w:rPr>
        <w:t xml:space="preserve"> </w:t>
      </w:r>
      <w:r w:rsidRPr="00233899">
        <w:rPr>
          <w:lang w:val="fr-BE"/>
        </w:rPr>
        <w:tab/>
      </w:r>
      <w:r w:rsidRPr="00233899">
        <w:rPr>
          <w:rFonts w:ascii="Times New Roman" w:hAnsi="Times New Roman"/>
          <w:lang w:val="fr-BE"/>
        </w:rPr>
        <w:t>Règlement (UE) 2022/1925 du Parlement européen et du Conseil du 14 septembre 2022 relatif aux marchés contestables et équitables dans le secteur numérique et modifiant les directives (UE) 2019/1937 et (UE) 2020/1828 (règlement sur les marchés numériques) (JO L 265 du 12.10.2022, p. 1).</w:t>
      </w:r>
    </w:p>
  </w:footnote>
  <w:footnote w:id="3">
    <w:p w14:paraId="133DF394" w14:textId="77777777" w:rsidR="00233899" w:rsidRPr="00233899" w:rsidRDefault="00233899" w:rsidP="00233899">
      <w:pPr>
        <w:pStyle w:val="FootnoteText"/>
        <w:jc w:val="both"/>
        <w:rPr>
          <w:rFonts w:ascii="Times New Roman" w:hAnsi="Times New Roman"/>
          <w:lang w:val="fr-BE"/>
        </w:rPr>
      </w:pPr>
      <w:r>
        <w:rPr>
          <w:rStyle w:val="FootnoteReference"/>
          <w:rFonts w:ascii="Times New Roman" w:hAnsi="Times New Roman"/>
        </w:rPr>
        <w:footnoteRef/>
      </w:r>
      <w:r w:rsidRPr="00233899">
        <w:rPr>
          <w:rFonts w:ascii="Times New Roman" w:hAnsi="Times New Roman"/>
          <w:lang w:val="fr-BE"/>
        </w:rPr>
        <w:t xml:space="preserve"> </w:t>
      </w:r>
      <w:r w:rsidRPr="00233899">
        <w:rPr>
          <w:lang w:val="fr-BE"/>
        </w:rPr>
        <w:tab/>
      </w:r>
      <w:r w:rsidRPr="00233899">
        <w:rPr>
          <w:rFonts w:ascii="Times New Roman" w:hAnsi="Times New Roman"/>
          <w:lang w:val="fr-BE"/>
        </w:rPr>
        <w:t xml:space="preserve">Voir </w:t>
      </w:r>
      <w:hyperlink r:id="rId1" w:history="1">
        <w:r w:rsidRPr="00233899">
          <w:rPr>
            <w:rStyle w:val="Hyperlink"/>
            <w:rFonts w:ascii="Times New Roman" w:hAnsi="Times New Roman"/>
            <w:lang w:val="fr-BE"/>
          </w:rPr>
          <w:t>https://competition-policy.ec.europa.eu/antitrust/legislation/regulation-12003_fr</w:t>
        </w:r>
      </w:hyperlink>
      <w:r w:rsidRPr="00233899">
        <w:rPr>
          <w:rFonts w:ascii="Times New Roman" w:hAnsi="Times New Roman"/>
          <w:lang w:val="fr-BE"/>
        </w:rPr>
        <w:t xml:space="preserve"> </w:t>
      </w:r>
    </w:p>
  </w:footnote>
  <w:footnote w:id="4">
    <w:p w14:paraId="4AB633C8" w14:textId="77777777" w:rsidR="00233899" w:rsidRPr="00233899" w:rsidRDefault="00233899" w:rsidP="00233899">
      <w:pPr>
        <w:pStyle w:val="FootnoteText"/>
        <w:jc w:val="both"/>
        <w:rPr>
          <w:rFonts w:ascii="Times New Roman" w:hAnsi="Times New Roman"/>
          <w:lang w:val="fr-BE"/>
        </w:rPr>
      </w:pPr>
      <w:r>
        <w:rPr>
          <w:rStyle w:val="FootnoteReference"/>
          <w:rFonts w:ascii="Times New Roman" w:hAnsi="Times New Roman"/>
        </w:rPr>
        <w:footnoteRef/>
      </w:r>
      <w:r w:rsidRPr="00233899">
        <w:rPr>
          <w:rFonts w:ascii="Times New Roman" w:hAnsi="Times New Roman"/>
          <w:lang w:val="fr-BE"/>
        </w:rPr>
        <w:t xml:space="preserve"> </w:t>
      </w:r>
      <w:r w:rsidRPr="00233899">
        <w:rPr>
          <w:lang w:val="fr-BE"/>
        </w:rPr>
        <w:tab/>
      </w:r>
      <w:r w:rsidRPr="00233899">
        <w:rPr>
          <w:rFonts w:ascii="Times New Roman" w:hAnsi="Times New Roman"/>
          <w:lang w:val="fr-BE"/>
        </w:rPr>
        <w:t>Règlement (CE) nº 1/2003 du Conseil du 16 décembre 2002 relatif à la mise en œuvre des règles de concurrence prévues aux articles 81 et 82 du traité (JO L 1 du 4.1.2003, p. 1).</w:t>
      </w:r>
    </w:p>
  </w:footnote>
  <w:footnote w:id="5">
    <w:p w14:paraId="4AED5047" w14:textId="77777777" w:rsidR="00233899" w:rsidRPr="00233899" w:rsidRDefault="00233899" w:rsidP="00233899">
      <w:pPr>
        <w:pStyle w:val="FootnoteText"/>
        <w:jc w:val="both"/>
        <w:rPr>
          <w:lang w:val="fr-BE"/>
        </w:rPr>
      </w:pPr>
      <w:r>
        <w:rPr>
          <w:rStyle w:val="FootnoteReference"/>
          <w:rFonts w:ascii="Times New Roman" w:hAnsi="Times New Roman"/>
        </w:rPr>
        <w:footnoteRef/>
      </w:r>
      <w:r w:rsidRPr="00233899">
        <w:rPr>
          <w:rFonts w:ascii="Times New Roman" w:hAnsi="Times New Roman"/>
          <w:lang w:val="fr-BE"/>
        </w:rPr>
        <w:t xml:space="preserve"> </w:t>
      </w:r>
      <w:r w:rsidRPr="00233899">
        <w:rPr>
          <w:lang w:val="fr-BE"/>
        </w:rPr>
        <w:tab/>
      </w:r>
      <w:r w:rsidRPr="00233899">
        <w:rPr>
          <w:rFonts w:ascii="Times New Roman" w:hAnsi="Times New Roman"/>
          <w:lang w:val="fr-BE"/>
        </w:rPr>
        <w:t>Règlement (CE) nº 773/2004 de la Commission du 7 avril 2004 relatif aux procédures mises en œuvre par la Commission en application des articles 81 et 82 du traité CE (JO L 123 du 27.4.2004, p. 18).</w:t>
      </w:r>
    </w:p>
  </w:footnote>
  <w:footnote w:id="6">
    <w:p w14:paraId="0D2D9EB8" w14:textId="77777777" w:rsidR="00233899" w:rsidRPr="00233899" w:rsidRDefault="00233899" w:rsidP="00233899">
      <w:pPr>
        <w:pStyle w:val="FootnoteText"/>
        <w:jc w:val="both"/>
        <w:rPr>
          <w:rFonts w:ascii="Times New Roman" w:hAnsi="Times New Roman"/>
          <w:lang w:val="fr-BE"/>
        </w:rPr>
      </w:pPr>
      <w:r>
        <w:rPr>
          <w:rStyle w:val="FootnoteReference"/>
          <w:rFonts w:ascii="Times New Roman" w:hAnsi="Times New Roman"/>
        </w:rPr>
        <w:footnoteRef/>
      </w:r>
      <w:r w:rsidRPr="00233899">
        <w:rPr>
          <w:rFonts w:ascii="Times New Roman" w:hAnsi="Times New Roman"/>
          <w:lang w:val="fr-BE"/>
        </w:rPr>
        <w:t xml:space="preserve"> </w:t>
      </w:r>
      <w:r w:rsidRPr="00233899">
        <w:rPr>
          <w:lang w:val="fr-BE"/>
        </w:rPr>
        <w:tab/>
      </w:r>
      <w:r w:rsidRPr="00233899">
        <w:rPr>
          <w:rFonts w:ascii="Times New Roman" w:hAnsi="Times New Roman"/>
          <w:lang w:val="fr-BE"/>
        </w:rPr>
        <w:t>Communication de la Commission concernant l’application, à partir du 1</w:t>
      </w:r>
      <w:r w:rsidRPr="00233899">
        <w:rPr>
          <w:rFonts w:ascii="Times New Roman" w:hAnsi="Times New Roman"/>
          <w:vertAlign w:val="superscript"/>
          <w:lang w:val="fr-BE"/>
        </w:rPr>
        <w:t>er</w:t>
      </w:r>
      <w:r w:rsidRPr="00233899">
        <w:rPr>
          <w:rFonts w:ascii="Times New Roman" w:hAnsi="Times New Roman"/>
          <w:lang w:val="fr-BE"/>
        </w:rPr>
        <w:t> août 2013, des règles en matière d’aides d’État aux aides accordées aux banques dans le contexte de la crise financière («Communication concernant le secteur bancaire») (JO C 216 du 30.7.2013, p. 1).</w:t>
      </w:r>
    </w:p>
  </w:footnote>
  <w:footnote w:id="7">
    <w:p w14:paraId="1ABFB6A4" w14:textId="77777777" w:rsidR="00233899" w:rsidRPr="00233899" w:rsidRDefault="00233899" w:rsidP="00233899">
      <w:pPr>
        <w:pStyle w:val="FootnoteText"/>
        <w:rPr>
          <w:rFonts w:ascii="Times New Roman" w:hAnsi="Times New Roman"/>
          <w:lang w:val="fr-BE"/>
        </w:rPr>
      </w:pPr>
      <w:r>
        <w:rPr>
          <w:rStyle w:val="FootnoteReference"/>
          <w:rFonts w:ascii="Times New Roman" w:hAnsi="Times New Roman"/>
        </w:rPr>
        <w:footnoteRef/>
      </w:r>
      <w:r w:rsidRPr="00233899">
        <w:rPr>
          <w:rFonts w:ascii="Times New Roman" w:hAnsi="Times New Roman"/>
          <w:lang w:val="fr-BE"/>
        </w:rPr>
        <w:t xml:space="preserve"> </w:t>
      </w:r>
      <w:r w:rsidRPr="00233899">
        <w:rPr>
          <w:lang w:val="fr-BE"/>
        </w:rPr>
        <w:tab/>
      </w:r>
      <w:hyperlink r:id="rId2" w:history="1">
        <w:r w:rsidRPr="00233899">
          <w:rPr>
            <w:rStyle w:val="Hyperlink"/>
            <w:rFonts w:ascii="Times New Roman" w:hAnsi="Times New Roman"/>
            <w:lang w:val="fr-BE"/>
          </w:rPr>
          <w:t>https://competition-policy.ec.europa.eu/about/competition-policy-fit-new-challenges_en</w:t>
        </w:r>
      </w:hyperlink>
    </w:p>
  </w:footnote>
  <w:footnote w:id="8">
    <w:p w14:paraId="47CE6AAC" w14:textId="77777777" w:rsidR="00233899" w:rsidRPr="00233899" w:rsidRDefault="00233899" w:rsidP="00233899">
      <w:pPr>
        <w:pStyle w:val="FootnoteText"/>
        <w:rPr>
          <w:lang w:val="fr-BE"/>
        </w:rPr>
      </w:pPr>
      <w:r>
        <w:rPr>
          <w:rStyle w:val="FootnoteReference"/>
          <w:rFonts w:ascii="Times New Roman" w:hAnsi="Times New Roman"/>
        </w:rPr>
        <w:footnoteRef/>
      </w:r>
      <w:r w:rsidRPr="00233899">
        <w:rPr>
          <w:rFonts w:ascii="Times New Roman" w:hAnsi="Times New Roman"/>
          <w:lang w:val="fr-BE"/>
        </w:rPr>
        <w:t xml:space="preserve"> </w:t>
      </w:r>
      <w:r w:rsidRPr="00233899">
        <w:rPr>
          <w:lang w:val="fr-BE"/>
        </w:rPr>
        <w:tab/>
      </w:r>
      <w:hyperlink r:id="rId3" w:history="1">
        <w:r w:rsidRPr="00233899">
          <w:rPr>
            <w:rStyle w:val="Hyperlink"/>
            <w:rFonts w:ascii="Times New Roman" w:hAnsi="Times New Roman"/>
            <w:lang w:val="fr-BE"/>
          </w:rPr>
          <w:t>https://competition-policy.ec.europa.eu/state-aid/ukraine_fr</w:t>
        </w:r>
      </w:hyperlink>
    </w:p>
  </w:footnote>
  <w:footnote w:id="9">
    <w:p w14:paraId="54DF320F" w14:textId="77777777" w:rsidR="00233899" w:rsidRPr="00233899" w:rsidRDefault="00233899" w:rsidP="00233899">
      <w:pPr>
        <w:pStyle w:val="FootnoteText"/>
        <w:jc w:val="both"/>
        <w:rPr>
          <w:rFonts w:ascii="Times New Roman" w:hAnsi="Times New Roman"/>
          <w:lang w:val="fr-BE"/>
        </w:rPr>
      </w:pPr>
      <w:r>
        <w:rPr>
          <w:rStyle w:val="FootnoteReference"/>
          <w:rFonts w:ascii="Times New Roman" w:hAnsi="Times New Roman"/>
        </w:rPr>
        <w:footnoteRef/>
      </w:r>
      <w:r w:rsidRPr="00233899">
        <w:rPr>
          <w:rFonts w:ascii="Times New Roman" w:hAnsi="Times New Roman"/>
          <w:lang w:val="fr-BE"/>
        </w:rPr>
        <w:t xml:space="preserve"> </w:t>
      </w:r>
      <w:r w:rsidRPr="00233899">
        <w:rPr>
          <w:lang w:val="fr-BE"/>
        </w:rPr>
        <w:tab/>
      </w:r>
      <w:r w:rsidRPr="00233899">
        <w:rPr>
          <w:rFonts w:ascii="Times New Roman" w:hAnsi="Times New Roman"/>
          <w:lang w:val="fr-BE"/>
        </w:rPr>
        <w:t>Règlement (CE) nº 139/2004 du Conseil du 20 janvier 2004 relatif au contrôle des concentrations entre entreprises (le «règlement CE sur les concentrations») (JO L 24 du 29.1.2004, p. 1).</w:t>
      </w:r>
    </w:p>
  </w:footnote>
  <w:footnote w:id="10">
    <w:p w14:paraId="119040AB" w14:textId="77777777" w:rsidR="00233899" w:rsidRPr="00233899" w:rsidRDefault="00233899" w:rsidP="00233899">
      <w:pPr>
        <w:pStyle w:val="FootnoteText"/>
        <w:jc w:val="both"/>
        <w:rPr>
          <w:rFonts w:ascii="Times New Roman" w:hAnsi="Times New Roman"/>
          <w:lang w:val="fr-BE"/>
        </w:rPr>
      </w:pPr>
      <w:r>
        <w:rPr>
          <w:rStyle w:val="FootnoteReference"/>
          <w:rFonts w:ascii="Times New Roman" w:hAnsi="Times New Roman"/>
        </w:rPr>
        <w:footnoteRef/>
      </w:r>
      <w:r w:rsidRPr="00233899">
        <w:rPr>
          <w:rFonts w:ascii="Times New Roman" w:hAnsi="Times New Roman"/>
          <w:lang w:val="fr-BE"/>
        </w:rPr>
        <w:t xml:space="preserve"> </w:t>
      </w:r>
      <w:r w:rsidRPr="00233899">
        <w:rPr>
          <w:lang w:val="fr-BE"/>
        </w:rPr>
        <w:tab/>
      </w:r>
      <w:r w:rsidRPr="00233899">
        <w:rPr>
          <w:rFonts w:ascii="Times New Roman" w:hAnsi="Times New Roman"/>
          <w:lang w:val="fr-BE"/>
        </w:rPr>
        <w:t>Communication de la Commission intitulée «Orientations de la Commission concernant l’application du mécanisme de renvoi établi à l’article 22 du règlement sur les concentrations à certaines catégories d’affaires» (JO C 113 du 31.3.2021, p. 1).</w:t>
      </w:r>
    </w:p>
  </w:footnote>
  <w:footnote w:id="11">
    <w:p w14:paraId="660DA414" w14:textId="77777777" w:rsidR="00233899" w:rsidRPr="00233899" w:rsidRDefault="00233899" w:rsidP="00233899">
      <w:pPr>
        <w:pStyle w:val="FootnoteText"/>
        <w:jc w:val="both"/>
        <w:rPr>
          <w:lang w:val="fr-BE"/>
        </w:rPr>
      </w:pPr>
      <w:r>
        <w:rPr>
          <w:rStyle w:val="FootnoteReference"/>
          <w:rFonts w:ascii="Times New Roman" w:hAnsi="Times New Roman"/>
        </w:rPr>
        <w:footnoteRef/>
      </w:r>
      <w:r w:rsidRPr="00233899">
        <w:rPr>
          <w:rFonts w:ascii="Times New Roman" w:hAnsi="Times New Roman"/>
          <w:lang w:val="fr-BE"/>
        </w:rPr>
        <w:t xml:space="preserve"> </w:t>
      </w:r>
      <w:r w:rsidRPr="00233899">
        <w:rPr>
          <w:lang w:val="fr-BE"/>
        </w:rPr>
        <w:tab/>
      </w:r>
      <w:r w:rsidRPr="00233899">
        <w:rPr>
          <w:rFonts w:ascii="Times New Roman" w:hAnsi="Times New Roman"/>
          <w:lang w:val="fr-BE"/>
        </w:rPr>
        <w:t>Lignes directrices sur l’appréciation des concentrations horizontales au regard du règlement du Conseil relatif au contrôle des concentrations entre entreprises (JO C 31 du 5.2.2004, p. 5).</w:t>
      </w:r>
    </w:p>
  </w:footnote>
  <w:footnote w:id="12">
    <w:p w14:paraId="345C89CE" w14:textId="77777777" w:rsidR="00233899" w:rsidRPr="00233899" w:rsidRDefault="00233899" w:rsidP="00233899">
      <w:pPr>
        <w:pStyle w:val="FootnoteText"/>
        <w:rPr>
          <w:rFonts w:ascii="Times New Roman" w:hAnsi="Times New Roman"/>
          <w:lang w:val="fr-BE"/>
        </w:rPr>
      </w:pPr>
      <w:r>
        <w:rPr>
          <w:rStyle w:val="FootnoteReference"/>
          <w:rFonts w:ascii="Times New Roman" w:hAnsi="Times New Roman"/>
        </w:rPr>
        <w:footnoteRef/>
      </w:r>
      <w:r w:rsidRPr="00233899">
        <w:rPr>
          <w:rFonts w:ascii="Times New Roman" w:hAnsi="Times New Roman"/>
          <w:lang w:val="fr-BE"/>
        </w:rPr>
        <w:t xml:space="preserve"> </w:t>
      </w:r>
      <w:r w:rsidRPr="00233899">
        <w:rPr>
          <w:lang w:val="fr-BE"/>
        </w:rPr>
        <w:tab/>
      </w:r>
      <w:hyperlink r:id="rId4" w:history="1">
        <w:r w:rsidRPr="00233899">
          <w:rPr>
            <w:rStyle w:val="Hyperlink"/>
            <w:rFonts w:ascii="Times New Roman" w:hAnsi="Times New Roman"/>
            <w:lang w:val="fr-BE"/>
          </w:rPr>
          <w:t>https://competition-policy.ec.europa.eu/public-consultations/2023-sgei_en</w:t>
        </w:r>
      </w:hyperlink>
    </w:p>
  </w:footnote>
  <w:footnote w:id="13">
    <w:p w14:paraId="5D1F64F2" w14:textId="77777777" w:rsidR="00233899" w:rsidRPr="00233899" w:rsidRDefault="00233899" w:rsidP="00233899">
      <w:pPr>
        <w:pStyle w:val="FootnoteText"/>
        <w:jc w:val="both"/>
        <w:rPr>
          <w:rFonts w:ascii="Times New Roman" w:hAnsi="Times New Roman"/>
          <w:lang w:val="fr-BE"/>
        </w:rPr>
      </w:pPr>
      <w:r>
        <w:rPr>
          <w:rStyle w:val="FootnoteReference"/>
          <w:rFonts w:ascii="Times New Roman" w:hAnsi="Times New Roman"/>
        </w:rPr>
        <w:footnoteRef/>
      </w:r>
      <w:r w:rsidRPr="00233899">
        <w:rPr>
          <w:rFonts w:ascii="Times New Roman" w:hAnsi="Times New Roman"/>
          <w:lang w:val="fr-BE"/>
        </w:rPr>
        <w:t xml:space="preserve"> </w:t>
      </w:r>
      <w:r w:rsidRPr="00233899">
        <w:rPr>
          <w:lang w:val="fr-BE"/>
        </w:rPr>
        <w:tab/>
      </w:r>
      <w:r w:rsidRPr="00233899">
        <w:rPr>
          <w:rFonts w:ascii="Times New Roman" w:hAnsi="Times New Roman"/>
          <w:lang w:val="fr-BE"/>
        </w:rPr>
        <w:t>Directive 2014/104/UE du Parlement européen et du Conseil du 26 novembre 2014 relative à certaines règles régissant les actions en dommages et intérêts en droit national pour les infractions aux dispositions du droit de la concurrence des États membres et de l’Union européenne (JO L 349 du 5.12.2014,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9B4"/>
    <w:multiLevelType w:val="hybridMultilevel"/>
    <w:tmpl w:val="968A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B6970"/>
    <w:multiLevelType w:val="hybridMultilevel"/>
    <w:tmpl w:val="DFD2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F2F86"/>
    <w:multiLevelType w:val="hybridMultilevel"/>
    <w:tmpl w:val="D1A2B6C0"/>
    <w:lvl w:ilvl="0" w:tplc="29923364">
      <w:start w:val="1"/>
      <w:numFmt w:val="decimal"/>
      <w:lvlText w:val="%1."/>
      <w:lvlJc w:val="left"/>
      <w:pPr>
        <w:ind w:left="720" w:hanging="72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355E0"/>
    <w:multiLevelType w:val="hybridMultilevel"/>
    <w:tmpl w:val="FD987B26"/>
    <w:lvl w:ilvl="0" w:tplc="29923364">
      <w:start w:val="1"/>
      <w:numFmt w:val="decimal"/>
      <w:lvlText w:val="%1."/>
      <w:lvlJc w:val="left"/>
      <w:pPr>
        <w:ind w:left="720" w:hanging="720"/>
      </w:pPr>
      <w:rPr>
        <w:b/>
        <w:i w:val="0"/>
        <w:sz w:val="24"/>
        <w:szCs w:val="24"/>
      </w:r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4" w15:restartNumberingAfterBreak="0">
    <w:nsid w:val="576B6F2E"/>
    <w:multiLevelType w:val="hybridMultilevel"/>
    <w:tmpl w:val="C81C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671972">
    <w:abstractNumId w:val="3"/>
  </w:num>
  <w:num w:numId="2" w16cid:durableId="1636791226">
    <w:abstractNumId w:val="2"/>
  </w:num>
  <w:num w:numId="3" w16cid:durableId="2146042807">
    <w:abstractNumId w:val="1"/>
  </w:num>
  <w:num w:numId="4" w16cid:durableId="1087575198">
    <w:abstractNumId w:val="0"/>
  </w:num>
  <w:num w:numId="5" w16cid:durableId="2069457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C0BAB"/>
    <w:rsid w:val="00003434"/>
    <w:rsid w:val="00011E82"/>
    <w:rsid w:val="0002494B"/>
    <w:rsid w:val="00025C13"/>
    <w:rsid w:val="000505A3"/>
    <w:rsid w:val="0005691F"/>
    <w:rsid w:val="000674F3"/>
    <w:rsid w:val="000826EF"/>
    <w:rsid w:val="000A1578"/>
    <w:rsid w:val="000B70B9"/>
    <w:rsid w:val="000C65D7"/>
    <w:rsid w:val="000E3279"/>
    <w:rsid w:val="000E3804"/>
    <w:rsid w:val="000E7073"/>
    <w:rsid w:val="000F03A0"/>
    <w:rsid w:val="000F4A0D"/>
    <w:rsid w:val="000F5D07"/>
    <w:rsid w:val="001006DF"/>
    <w:rsid w:val="00107425"/>
    <w:rsid w:val="001207F1"/>
    <w:rsid w:val="001229AA"/>
    <w:rsid w:val="00140441"/>
    <w:rsid w:val="00141B8C"/>
    <w:rsid w:val="00166126"/>
    <w:rsid w:val="00166F51"/>
    <w:rsid w:val="0017329E"/>
    <w:rsid w:val="0018217D"/>
    <w:rsid w:val="00183900"/>
    <w:rsid w:val="00186AC1"/>
    <w:rsid w:val="00194B06"/>
    <w:rsid w:val="001963A5"/>
    <w:rsid w:val="00196777"/>
    <w:rsid w:val="001A385A"/>
    <w:rsid w:val="001A4AA4"/>
    <w:rsid w:val="001A4EF0"/>
    <w:rsid w:val="001A570F"/>
    <w:rsid w:val="001B3866"/>
    <w:rsid w:val="001C298D"/>
    <w:rsid w:val="001D3023"/>
    <w:rsid w:val="001D450E"/>
    <w:rsid w:val="001D62F3"/>
    <w:rsid w:val="001D63AC"/>
    <w:rsid w:val="001F2DEE"/>
    <w:rsid w:val="001F452C"/>
    <w:rsid w:val="001F4DE2"/>
    <w:rsid w:val="002000DA"/>
    <w:rsid w:val="00211BF0"/>
    <w:rsid w:val="002254D4"/>
    <w:rsid w:val="00226113"/>
    <w:rsid w:val="00233899"/>
    <w:rsid w:val="00255979"/>
    <w:rsid w:val="00260BD1"/>
    <w:rsid w:val="00261A23"/>
    <w:rsid w:val="00262248"/>
    <w:rsid w:val="00262DD9"/>
    <w:rsid w:val="00272113"/>
    <w:rsid w:val="00284E09"/>
    <w:rsid w:val="002908B8"/>
    <w:rsid w:val="00291923"/>
    <w:rsid w:val="002A0AD5"/>
    <w:rsid w:val="002A4F1A"/>
    <w:rsid w:val="002A6E17"/>
    <w:rsid w:val="002A7B33"/>
    <w:rsid w:val="002B621D"/>
    <w:rsid w:val="002C03BC"/>
    <w:rsid w:val="002C03E3"/>
    <w:rsid w:val="002C10E3"/>
    <w:rsid w:val="002D06BD"/>
    <w:rsid w:val="002D0F9D"/>
    <w:rsid w:val="002D39A2"/>
    <w:rsid w:val="002D4C61"/>
    <w:rsid w:val="002E192C"/>
    <w:rsid w:val="002E303B"/>
    <w:rsid w:val="002F3DDB"/>
    <w:rsid w:val="002F6FCF"/>
    <w:rsid w:val="00307387"/>
    <w:rsid w:val="00311F21"/>
    <w:rsid w:val="00314599"/>
    <w:rsid w:val="0032322A"/>
    <w:rsid w:val="00325DA7"/>
    <w:rsid w:val="00343D6B"/>
    <w:rsid w:val="0035146D"/>
    <w:rsid w:val="003539FD"/>
    <w:rsid w:val="00354370"/>
    <w:rsid w:val="0035488A"/>
    <w:rsid w:val="00362F05"/>
    <w:rsid w:val="00370279"/>
    <w:rsid w:val="00370B2C"/>
    <w:rsid w:val="0038033D"/>
    <w:rsid w:val="00390843"/>
    <w:rsid w:val="00391C46"/>
    <w:rsid w:val="003A072C"/>
    <w:rsid w:val="003A61B0"/>
    <w:rsid w:val="003A6D79"/>
    <w:rsid w:val="003A6FB7"/>
    <w:rsid w:val="003C62E9"/>
    <w:rsid w:val="003D0F6E"/>
    <w:rsid w:val="003D49EA"/>
    <w:rsid w:val="003E2465"/>
    <w:rsid w:val="003E6D96"/>
    <w:rsid w:val="003F338E"/>
    <w:rsid w:val="003F3511"/>
    <w:rsid w:val="003F52FE"/>
    <w:rsid w:val="00411B47"/>
    <w:rsid w:val="00414ED7"/>
    <w:rsid w:val="00437A4E"/>
    <w:rsid w:val="00440836"/>
    <w:rsid w:val="00445D9D"/>
    <w:rsid w:val="00453E0C"/>
    <w:rsid w:val="00466357"/>
    <w:rsid w:val="004672FD"/>
    <w:rsid w:val="00467A80"/>
    <w:rsid w:val="00472CE1"/>
    <w:rsid w:val="004852CF"/>
    <w:rsid w:val="0049705C"/>
    <w:rsid w:val="004A03C0"/>
    <w:rsid w:val="004B30DA"/>
    <w:rsid w:val="004C0BAB"/>
    <w:rsid w:val="004C5B5E"/>
    <w:rsid w:val="004C6C0F"/>
    <w:rsid w:val="004F0A15"/>
    <w:rsid w:val="004F4655"/>
    <w:rsid w:val="00521155"/>
    <w:rsid w:val="00535A08"/>
    <w:rsid w:val="00535C69"/>
    <w:rsid w:val="00536713"/>
    <w:rsid w:val="00547555"/>
    <w:rsid w:val="00557825"/>
    <w:rsid w:val="00563503"/>
    <w:rsid w:val="00565A79"/>
    <w:rsid w:val="0057084D"/>
    <w:rsid w:val="00570ADB"/>
    <w:rsid w:val="005710CE"/>
    <w:rsid w:val="005723C2"/>
    <w:rsid w:val="005763C8"/>
    <w:rsid w:val="005815BA"/>
    <w:rsid w:val="00584C2D"/>
    <w:rsid w:val="00595657"/>
    <w:rsid w:val="00596FBF"/>
    <w:rsid w:val="00597CA0"/>
    <w:rsid w:val="005B1534"/>
    <w:rsid w:val="005B16BA"/>
    <w:rsid w:val="005B30D9"/>
    <w:rsid w:val="005B3F57"/>
    <w:rsid w:val="005B518C"/>
    <w:rsid w:val="005C0977"/>
    <w:rsid w:val="005C4CBB"/>
    <w:rsid w:val="005C599F"/>
    <w:rsid w:val="005C78F2"/>
    <w:rsid w:val="005D4034"/>
    <w:rsid w:val="005D50CA"/>
    <w:rsid w:val="005E6BBB"/>
    <w:rsid w:val="005F2E4B"/>
    <w:rsid w:val="00614C4C"/>
    <w:rsid w:val="00620C5D"/>
    <w:rsid w:val="00620CC8"/>
    <w:rsid w:val="00625115"/>
    <w:rsid w:val="0062553D"/>
    <w:rsid w:val="00635AF6"/>
    <w:rsid w:val="00636970"/>
    <w:rsid w:val="0064376E"/>
    <w:rsid w:val="00646EE1"/>
    <w:rsid w:val="00660304"/>
    <w:rsid w:val="006706A9"/>
    <w:rsid w:val="00670CFF"/>
    <w:rsid w:val="00675C3B"/>
    <w:rsid w:val="00677B02"/>
    <w:rsid w:val="006824A1"/>
    <w:rsid w:val="006844F3"/>
    <w:rsid w:val="00693324"/>
    <w:rsid w:val="0069723A"/>
    <w:rsid w:val="006A4D71"/>
    <w:rsid w:val="006B195D"/>
    <w:rsid w:val="006B6C6C"/>
    <w:rsid w:val="006C52E2"/>
    <w:rsid w:val="006D1952"/>
    <w:rsid w:val="006D44A3"/>
    <w:rsid w:val="006D7E27"/>
    <w:rsid w:val="006E6B75"/>
    <w:rsid w:val="006E6EE0"/>
    <w:rsid w:val="006F0452"/>
    <w:rsid w:val="006F23DC"/>
    <w:rsid w:val="006F4988"/>
    <w:rsid w:val="006F5075"/>
    <w:rsid w:val="00703731"/>
    <w:rsid w:val="00714209"/>
    <w:rsid w:val="00715128"/>
    <w:rsid w:val="00720B02"/>
    <w:rsid w:val="00734820"/>
    <w:rsid w:val="00737633"/>
    <w:rsid w:val="00743DC1"/>
    <w:rsid w:val="00756F98"/>
    <w:rsid w:val="00760580"/>
    <w:rsid w:val="007607A4"/>
    <w:rsid w:val="00770EEE"/>
    <w:rsid w:val="0077122F"/>
    <w:rsid w:val="00774099"/>
    <w:rsid w:val="007748A7"/>
    <w:rsid w:val="00781A46"/>
    <w:rsid w:val="007849D8"/>
    <w:rsid w:val="00791A02"/>
    <w:rsid w:val="00792742"/>
    <w:rsid w:val="007B2C35"/>
    <w:rsid w:val="007B38FA"/>
    <w:rsid w:val="007B5AB3"/>
    <w:rsid w:val="007C0058"/>
    <w:rsid w:val="007C3984"/>
    <w:rsid w:val="007C496F"/>
    <w:rsid w:val="007D3C7B"/>
    <w:rsid w:val="007E1AE1"/>
    <w:rsid w:val="007E72AF"/>
    <w:rsid w:val="007F12B9"/>
    <w:rsid w:val="008029F6"/>
    <w:rsid w:val="00806A9E"/>
    <w:rsid w:val="00807AAF"/>
    <w:rsid w:val="00811011"/>
    <w:rsid w:val="00812EB3"/>
    <w:rsid w:val="00826F9C"/>
    <w:rsid w:val="008575A3"/>
    <w:rsid w:val="00861022"/>
    <w:rsid w:val="00863CB3"/>
    <w:rsid w:val="00866838"/>
    <w:rsid w:val="00866C6C"/>
    <w:rsid w:val="008813C8"/>
    <w:rsid w:val="00882347"/>
    <w:rsid w:val="00893250"/>
    <w:rsid w:val="008934D6"/>
    <w:rsid w:val="008938C5"/>
    <w:rsid w:val="008959F1"/>
    <w:rsid w:val="008A2A12"/>
    <w:rsid w:val="008B1D4B"/>
    <w:rsid w:val="008B589D"/>
    <w:rsid w:val="008C18B6"/>
    <w:rsid w:val="008C3A95"/>
    <w:rsid w:val="008D054A"/>
    <w:rsid w:val="008E3CAC"/>
    <w:rsid w:val="008E5D4C"/>
    <w:rsid w:val="008F4E1E"/>
    <w:rsid w:val="008F6560"/>
    <w:rsid w:val="0090383B"/>
    <w:rsid w:val="00915C10"/>
    <w:rsid w:val="009177F4"/>
    <w:rsid w:val="00937A4F"/>
    <w:rsid w:val="0094556A"/>
    <w:rsid w:val="00954AA0"/>
    <w:rsid w:val="00957CC3"/>
    <w:rsid w:val="009857B6"/>
    <w:rsid w:val="0099021D"/>
    <w:rsid w:val="0099280E"/>
    <w:rsid w:val="00993EC6"/>
    <w:rsid w:val="0099573E"/>
    <w:rsid w:val="009A394F"/>
    <w:rsid w:val="009C1E83"/>
    <w:rsid w:val="009D20C1"/>
    <w:rsid w:val="009E0E82"/>
    <w:rsid w:val="009F2554"/>
    <w:rsid w:val="009F7801"/>
    <w:rsid w:val="00A053E2"/>
    <w:rsid w:val="00A07B3F"/>
    <w:rsid w:val="00A12150"/>
    <w:rsid w:val="00A127AA"/>
    <w:rsid w:val="00A2501F"/>
    <w:rsid w:val="00A3508C"/>
    <w:rsid w:val="00A5617F"/>
    <w:rsid w:val="00A71666"/>
    <w:rsid w:val="00A94055"/>
    <w:rsid w:val="00A96619"/>
    <w:rsid w:val="00AA458D"/>
    <w:rsid w:val="00AA4DC4"/>
    <w:rsid w:val="00AB2927"/>
    <w:rsid w:val="00AB4BA6"/>
    <w:rsid w:val="00AB5443"/>
    <w:rsid w:val="00AD0287"/>
    <w:rsid w:val="00AD32C6"/>
    <w:rsid w:val="00AD6F14"/>
    <w:rsid w:val="00AE6D97"/>
    <w:rsid w:val="00AF1988"/>
    <w:rsid w:val="00B0394B"/>
    <w:rsid w:val="00B12647"/>
    <w:rsid w:val="00B1599D"/>
    <w:rsid w:val="00B242D6"/>
    <w:rsid w:val="00B33E66"/>
    <w:rsid w:val="00B40985"/>
    <w:rsid w:val="00B41FCD"/>
    <w:rsid w:val="00B5207F"/>
    <w:rsid w:val="00B55153"/>
    <w:rsid w:val="00B55B62"/>
    <w:rsid w:val="00B6143F"/>
    <w:rsid w:val="00B7387A"/>
    <w:rsid w:val="00B847D7"/>
    <w:rsid w:val="00B90D87"/>
    <w:rsid w:val="00B91DE8"/>
    <w:rsid w:val="00B962B6"/>
    <w:rsid w:val="00BA59ED"/>
    <w:rsid w:val="00BB3400"/>
    <w:rsid w:val="00BC0879"/>
    <w:rsid w:val="00BC14D7"/>
    <w:rsid w:val="00BC41ED"/>
    <w:rsid w:val="00BC4BB3"/>
    <w:rsid w:val="00BE138D"/>
    <w:rsid w:val="00BE29F6"/>
    <w:rsid w:val="00BE5881"/>
    <w:rsid w:val="00BF6B9F"/>
    <w:rsid w:val="00BF7A63"/>
    <w:rsid w:val="00C05F6D"/>
    <w:rsid w:val="00C140C7"/>
    <w:rsid w:val="00C252DF"/>
    <w:rsid w:val="00C26068"/>
    <w:rsid w:val="00C32D5B"/>
    <w:rsid w:val="00C34C83"/>
    <w:rsid w:val="00C45006"/>
    <w:rsid w:val="00C47002"/>
    <w:rsid w:val="00C47D1C"/>
    <w:rsid w:val="00C53083"/>
    <w:rsid w:val="00C56DDF"/>
    <w:rsid w:val="00C64463"/>
    <w:rsid w:val="00C81267"/>
    <w:rsid w:val="00C8776C"/>
    <w:rsid w:val="00C964A5"/>
    <w:rsid w:val="00C97892"/>
    <w:rsid w:val="00CA6B3C"/>
    <w:rsid w:val="00CB1232"/>
    <w:rsid w:val="00CC3E64"/>
    <w:rsid w:val="00CC451D"/>
    <w:rsid w:val="00CC5A7D"/>
    <w:rsid w:val="00CD06A4"/>
    <w:rsid w:val="00CD3F21"/>
    <w:rsid w:val="00CE0B5C"/>
    <w:rsid w:val="00CE0BE5"/>
    <w:rsid w:val="00CE7A45"/>
    <w:rsid w:val="00CF083C"/>
    <w:rsid w:val="00CF32A1"/>
    <w:rsid w:val="00CF49C5"/>
    <w:rsid w:val="00D11806"/>
    <w:rsid w:val="00D12C11"/>
    <w:rsid w:val="00D13416"/>
    <w:rsid w:val="00D13519"/>
    <w:rsid w:val="00D15334"/>
    <w:rsid w:val="00D242C3"/>
    <w:rsid w:val="00D36689"/>
    <w:rsid w:val="00D376F6"/>
    <w:rsid w:val="00D37C44"/>
    <w:rsid w:val="00D4544F"/>
    <w:rsid w:val="00D467DF"/>
    <w:rsid w:val="00D47A8B"/>
    <w:rsid w:val="00D53515"/>
    <w:rsid w:val="00D54322"/>
    <w:rsid w:val="00D720B1"/>
    <w:rsid w:val="00D724B5"/>
    <w:rsid w:val="00D746AD"/>
    <w:rsid w:val="00D82498"/>
    <w:rsid w:val="00D82EE0"/>
    <w:rsid w:val="00DA20DE"/>
    <w:rsid w:val="00DA2187"/>
    <w:rsid w:val="00DA7405"/>
    <w:rsid w:val="00DC313D"/>
    <w:rsid w:val="00DD3F89"/>
    <w:rsid w:val="00DD6EEF"/>
    <w:rsid w:val="00DE0B0C"/>
    <w:rsid w:val="00DE1440"/>
    <w:rsid w:val="00DF3932"/>
    <w:rsid w:val="00DF5504"/>
    <w:rsid w:val="00DF69CD"/>
    <w:rsid w:val="00DF6FF7"/>
    <w:rsid w:val="00E024C2"/>
    <w:rsid w:val="00E0326E"/>
    <w:rsid w:val="00E1070C"/>
    <w:rsid w:val="00E175FB"/>
    <w:rsid w:val="00E238C4"/>
    <w:rsid w:val="00E23DDC"/>
    <w:rsid w:val="00E36074"/>
    <w:rsid w:val="00E46E17"/>
    <w:rsid w:val="00E52F50"/>
    <w:rsid w:val="00E60CA6"/>
    <w:rsid w:val="00E60FEA"/>
    <w:rsid w:val="00E7586E"/>
    <w:rsid w:val="00E812A9"/>
    <w:rsid w:val="00E95DE3"/>
    <w:rsid w:val="00EA6AC2"/>
    <w:rsid w:val="00EB3AFB"/>
    <w:rsid w:val="00EC7D08"/>
    <w:rsid w:val="00EC7DB4"/>
    <w:rsid w:val="00ED5F19"/>
    <w:rsid w:val="00EE0E64"/>
    <w:rsid w:val="00EE189B"/>
    <w:rsid w:val="00EE2A0E"/>
    <w:rsid w:val="00EE6CD7"/>
    <w:rsid w:val="00EF2CC5"/>
    <w:rsid w:val="00F00E39"/>
    <w:rsid w:val="00F05B2C"/>
    <w:rsid w:val="00F24AA4"/>
    <w:rsid w:val="00F27625"/>
    <w:rsid w:val="00F32CF0"/>
    <w:rsid w:val="00F429F8"/>
    <w:rsid w:val="00F50BB3"/>
    <w:rsid w:val="00F512A4"/>
    <w:rsid w:val="00F660FB"/>
    <w:rsid w:val="00F673D1"/>
    <w:rsid w:val="00F8704A"/>
    <w:rsid w:val="00F90603"/>
    <w:rsid w:val="00F93B03"/>
    <w:rsid w:val="00F978E8"/>
    <w:rsid w:val="00FA1831"/>
    <w:rsid w:val="00FB68A1"/>
    <w:rsid w:val="00FC5E8E"/>
    <w:rsid w:val="00FD6E32"/>
    <w:rsid w:val="00FD7922"/>
    <w:rsid w:val="00FE378B"/>
    <w:rsid w:val="00FF08B6"/>
    <w:rsid w:val="00FF38CA"/>
    <w:rsid w:val="00FF471F"/>
    <w:rsid w:val="00FF5AAD"/>
    <w:rsid w:val="0BFD97DF"/>
    <w:rsid w:val="0E970531"/>
    <w:rsid w:val="141D500A"/>
    <w:rsid w:val="14EDE800"/>
    <w:rsid w:val="2C9F0B06"/>
    <w:rsid w:val="2FE2FA85"/>
    <w:rsid w:val="5CC68A16"/>
    <w:rsid w:val="698BE4C1"/>
    <w:rsid w:val="7BF0A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41B42"/>
  <w15:chartTrackingRefBased/>
  <w15:docId w15:val="{7692D804-DAA8-435C-A525-C051A43B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10"/>
    <w:pPr>
      <w:spacing w:after="240" w:line="240" w:lineRule="auto"/>
      <w:jc w:val="both"/>
    </w:pPr>
    <w:rPr>
      <w:rFonts w:ascii="Courier New" w:eastAsia="Times New Roman" w:hAnsi="Courier New"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Lettre d'introduction,EC"/>
    <w:basedOn w:val="Normal"/>
    <w:link w:val="ListParagraphChar"/>
    <w:uiPriority w:val="34"/>
    <w:qFormat/>
    <w:rsid w:val="00D12C11"/>
    <w:pPr>
      <w:spacing w:after="200" w:line="276" w:lineRule="auto"/>
      <w:ind w:left="720"/>
      <w:contextualSpacing/>
    </w:pPr>
    <w:rPr>
      <w:rFonts w:ascii="Calibri" w:eastAsia="Calibri" w:hAnsi="Calibri"/>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D12C11"/>
    <w:rPr>
      <w:rFonts w:ascii="Calibri" w:eastAsia="Calibri" w:hAnsi="Calibri" w:cs="Times New Roman"/>
    </w:rPr>
  </w:style>
  <w:style w:type="character" w:styleId="CommentReference">
    <w:name w:val="annotation reference"/>
    <w:basedOn w:val="DefaultParagraphFont"/>
    <w:uiPriority w:val="99"/>
    <w:semiHidden/>
    <w:unhideWhenUsed/>
    <w:rsid w:val="00262DD9"/>
    <w:rPr>
      <w:sz w:val="16"/>
      <w:szCs w:val="16"/>
    </w:rPr>
  </w:style>
  <w:style w:type="paragraph" w:styleId="CommentText">
    <w:name w:val="annotation text"/>
    <w:basedOn w:val="Normal"/>
    <w:link w:val="CommentTextChar"/>
    <w:uiPriority w:val="99"/>
    <w:unhideWhenUsed/>
    <w:rsid w:val="00262DD9"/>
    <w:rPr>
      <w:sz w:val="20"/>
    </w:rPr>
  </w:style>
  <w:style w:type="character" w:customStyle="1" w:styleId="CommentTextChar">
    <w:name w:val="Comment Text Char"/>
    <w:basedOn w:val="DefaultParagraphFont"/>
    <w:link w:val="CommentText"/>
    <w:uiPriority w:val="99"/>
    <w:rsid w:val="00262DD9"/>
    <w:rPr>
      <w:sz w:val="20"/>
      <w:szCs w:val="20"/>
    </w:rPr>
  </w:style>
  <w:style w:type="paragraph" w:styleId="CommentSubject">
    <w:name w:val="annotation subject"/>
    <w:basedOn w:val="CommentText"/>
    <w:next w:val="CommentText"/>
    <w:link w:val="CommentSubjectChar"/>
    <w:uiPriority w:val="99"/>
    <w:semiHidden/>
    <w:unhideWhenUsed/>
    <w:rsid w:val="00262DD9"/>
    <w:rPr>
      <w:b/>
      <w:bCs/>
    </w:rPr>
  </w:style>
  <w:style w:type="character" w:customStyle="1" w:styleId="CommentSubjectChar">
    <w:name w:val="Comment Subject Char"/>
    <w:basedOn w:val="CommentTextChar"/>
    <w:link w:val="CommentSubject"/>
    <w:uiPriority w:val="99"/>
    <w:semiHidden/>
    <w:rsid w:val="00262DD9"/>
    <w:rPr>
      <w:b/>
      <w:bCs/>
      <w:sz w:val="20"/>
      <w:szCs w:val="20"/>
    </w:rPr>
  </w:style>
  <w:style w:type="paragraph" w:styleId="BalloonText">
    <w:name w:val="Balloon Text"/>
    <w:basedOn w:val="Normal"/>
    <w:link w:val="BalloonTextChar"/>
    <w:uiPriority w:val="99"/>
    <w:semiHidden/>
    <w:unhideWhenUsed/>
    <w:rsid w:val="00262D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DD9"/>
    <w:rPr>
      <w:rFonts w:ascii="Segoe UI" w:hAnsi="Segoe UI" w:cs="Segoe UI"/>
      <w:sz w:val="18"/>
      <w:szCs w:val="18"/>
    </w:rPr>
  </w:style>
  <w:style w:type="paragraph" w:styleId="Revision">
    <w:name w:val="Revision"/>
    <w:hidden/>
    <w:uiPriority w:val="99"/>
    <w:semiHidden/>
    <w:rsid w:val="007B38FA"/>
    <w:pPr>
      <w:spacing w:after="0" w:line="240" w:lineRule="auto"/>
    </w:p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0F03A0"/>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single space,fn"/>
    <w:link w:val="FootnoteTextChar"/>
    <w:uiPriority w:val="99"/>
    <w:qFormat/>
    <w:rsid w:val="000F03A0"/>
    <w:pPr>
      <w:tabs>
        <w:tab w:val="left" w:pos="284"/>
      </w:tabs>
      <w:spacing w:after="0" w:line="240" w:lineRule="auto"/>
      <w:ind w:left="284" w:hanging="284"/>
    </w:pPr>
    <w:rPr>
      <w:rFonts w:ascii="Arial" w:eastAsia="Times New Roman" w:hAnsi="Arial" w:cs="Times New Roman"/>
      <w:sz w:val="18"/>
      <w:szCs w:val="20"/>
      <w:lang w:val="en-GB" w:eastAsia="en-GB"/>
    </w:rPr>
  </w:style>
  <w:style w:type="character" w:customStyle="1" w:styleId="FootnoteTextChar">
    <w:name w:val="Footnote Text Char"/>
    <w:aliases w:val="Footnote Text Char1 Char Char1,Footnote Text Char Char Char Char1,Fußnotentext Char Char1 Char Char Char1,Fußnotentext Char1 Char1 Char Char Char Char1,Fußnotentext Char Char Char Char Char Char Char1 Char1,Footnote Text Char1 Char2"/>
    <w:basedOn w:val="DefaultParagraphFont"/>
    <w:link w:val="FootnoteText"/>
    <w:semiHidden/>
    <w:rsid w:val="000F03A0"/>
    <w:rPr>
      <w:rFonts w:ascii="Arial" w:eastAsia="Times New Roman" w:hAnsi="Arial" w:cs="Times New Roman"/>
      <w:sz w:val="18"/>
      <w:szCs w:val="20"/>
      <w:lang w:val="en-GB" w:eastAsia="en-GB"/>
    </w:rPr>
  </w:style>
  <w:style w:type="paragraph" w:customStyle="1" w:styleId="Body">
    <w:name w:val="Body"/>
    <w:qFormat/>
    <w:rsid w:val="000F03A0"/>
    <w:pPr>
      <w:tabs>
        <w:tab w:val="left" w:pos="425"/>
        <w:tab w:val="left" w:pos="851"/>
        <w:tab w:val="left" w:pos="1276"/>
      </w:tabs>
      <w:spacing w:after="240" w:line="240" w:lineRule="auto"/>
    </w:pPr>
    <w:rPr>
      <w:rFonts w:ascii="Arial" w:eastAsia="Times New Roman" w:hAnsi="Arial" w:cs="Times New Roman"/>
      <w:sz w:val="20"/>
      <w:szCs w:val="20"/>
      <w:lang w:val="en-GB" w:eastAsia="en-GB"/>
    </w:rPr>
  </w:style>
  <w:style w:type="paragraph" w:styleId="Header">
    <w:name w:val="header"/>
    <w:basedOn w:val="Normal"/>
    <w:link w:val="HeaderChar"/>
    <w:uiPriority w:val="99"/>
    <w:unhideWhenUsed/>
    <w:rsid w:val="000F03A0"/>
    <w:pPr>
      <w:tabs>
        <w:tab w:val="center" w:pos="4680"/>
        <w:tab w:val="right" w:pos="9360"/>
      </w:tabs>
      <w:spacing w:after="0"/>
    </w:pPr>
  </w:style>
  <w:style w:type="character" w:customStyle="1" w:styleId="HeaderChar">
    <w:name w:val="Header Char"/>
    <w:basedOn w:val="DefaultParagraphFont"/>
    <w:link w:val="Header"/>
    <w:uiPriority w:val="99"/>
    <w:rsid w:val="000F03A0"/>
  </w:style>
  <w:style w:type="paragraph" w:styleId="Footer">
    <w:name w:val="footer"/>
    <w:basedOn w:val="Normal"/>
    <w:link w:val="FooterChar"/>
    <w:uiPriority w:val="99"/>
    <w:unhideWhenUsed/>
    <w:rsid w:val="000F03A0"/>
    <w:pPr>
      <w:tabs>
        <w:tab w:val="center" w:pos="4680"/>
        <w:tab w:val="right" w:pos="9360"/>
      </w:tabs>
      <w:spacing w:after="0"/>
    </w:pPr>
  </w:style>
  <w:style w:type="character" w:customStyle="1" w:styleId="FooterChar">
    <w:name w:val="Footer Char"/>
    <w:basedOn w:val="DefaultParagraphFont"/>
    <w:link w:val="Footer"/>
    <w:uiPriority w:val="99"/>
    <w:rsid w:val="000F03A0"/>
  </w:style>
  <w:style w:type="character" w:styleId="Hyperlink">
    <w:name w:val="Hyperlink"/>
    <w:aliases w:val="Char1"/>
    <w:uiPriority w:val="99"/>
    <w:unhideWhenUsed/>
    <w:qFormat/>
    <w:rsid w:val="006A4D71"/>
    <w:rPr>
      <w:color w:val="0000FF"/>
      <w:u w:val="single"/>
    </w:rPr>
  </w:style>
  <w:style w:type="character" w:styleId="UnresolvedMention">
    <w:name w:val="Unresolved Mention"/>
    <w:basedOn w:val="DefaultParagraphFont"/>
    <w:uiPriority w:val="99"/>
    <w:semiHidden/>
    <w:unhideWhenUsed/>
    <w:rsid w:val="003D49EA"/>
    <w:rPr>
      <w:color w:val="605E5C"/>
      <w:shd w:val="clear" w:color="auto" w:fill="E1DFDD"/>
    </w:rPr>
  </w:style>
  <w:style w:type="character" w:styleId="FollowedHyperlink">
    <w:name w:val="FollowedHyperlink"/>
    <w:basedOn w:val="DefaultParagraphFont"/>
    <w:uiPriority w:val="99"/>
    <w:semiHidden/>
    <w:unhideWhenUsed/>
    <w:rsid w:val="0035146D"/>
    <w:rPr>
      <w:color w:val="954F72" w:themeColor="followedHyperlink"/>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uiPriority w:val="99"/>
    <w:qFormat/>
    <w:rsid w:val="00915C10"/>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915C10"/>
    <w:pPr>
      <w:spacing w:after="160" w:line="240" w:lineRule="exact"/>
      <w:jc w:val="left"/>
    </w:pPr>
    <w:rPr>
      <w:rFonts w:ascii="Arial" w:eastAsiaTheme="minorHAnsi" w:hAnsi="Arial" w:cs="Arial"/>
      <w:sz w:val="18"/>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9837">
      <w:bodyDiv w:val="1"/>
      <w:marLeft w:val="0"/>
      <w:marRight w:val="0"/>
      <w:marTop w:val="0"/>
      <w:marBottom w:val="0"/>
      <w:divBdr>
        <w:top w:val="none" w:sz="0" w:space="0" w:color="auto"/>
        <w:left w:val="none" w:sz="0" w:space="0" w:color="auto"/>
        <w:bottom w:val="none" w:sz="0" w:space="0" w:color="auto"/>
        <w:right w:val="none" w:sz="0" w:space="0" w:color="auto"/>
      </w:divBdr>
    </w:div>
    <w:div w:id="502404934">
      <w:bodyDiv w:val="1"/>
      <w:marLeft w:val="0"/>
      <w:marRight w:val="0"/>
      <w:marTop w:val="0"/>
      <w:marBottom w:val="0"/>
      <w:divBdr>
        <w:top w:val="none" w:sz="0" w:space="0" w:color="auto"/>
        <w:left w:val="none" w:sz="0" w:space="0" w:color="auto"/>
        <w:bottom w:val="none" w:sz="0" w:space="0" w:color="auto"/>
        <w:right w:val="none" w:sz="0" w:space="0" w:color="auto"/>
      </w:divBdr>
    </w:div>
    <w:div w:id="1343238498">
      <w:bodyDiv w:val="1"/>
      <w:marLeft w:val="0"/>
      <w:marRight w:val="0"/>
      <w:marTop w:val="0"/>
      <w:marBottom w:val="0"/>
      <w:divBdr>
        <w:top w:val="none" w:sz="0" w:space="0" w:color="auto"/>
        <w:left w:val="none" w:sz="0" w:space="0" w:color="auto"/>
        <w:bottom w:val="none" w:sz="0" w:space="0" w:color="auto"/>
        <w:right w:val="none" w:sz="0" w:space="0" w:color="auto"/>
      </w:divBdr>
    </w:div>
    <w:div w:id="1420562210">
      <w:bodyDiv w:val="1"/>
      <w:marLeft w:val="0"/>
      <w:marRight w:val="0"/>
      <w:marTop w:val="0"/>
      <w:marBottom w:val="0"/>
      <w:divBdr>
        <w:top w:val="none" w:sz="0" w:space="0" w:color="auto"/>
        <w:left w:val="none" w:sz="0" w:space="0" w:color="auto"/>
        <w:bottom w:val="none" w:sz="0" w:space="0" w:color="auto"/>
        <w:right w:val="none" w:sz="0" w:space="0" w:color="auto"/>
      </w:divBdr>
    </w:div>
    <w:div w:id="1706053207">
      <w:bodyDiv w:val="1"/>
      <w:marLeft w:val="0"/>
      <w:marRight w:val="0"/>
      <w:marTop w:val="0"/>
      <w:marBottom w:val="0"/>
      <w:divBdr>
        <w:top w:val="none" w:sz="0" w:space="0" w:color="auto"/>
        <w:left w:val="none" w:sz="0" w:space="0" w:color="auto"/>
        <w:bottom w:val="none" w:sz="0" w:space="0" w:color="auto"/>
        <w:right w:val="none" w:sz="0" w:space="0" w:color="auto"/>
      </w:divBdr>
    </w:div>
    <w:div w:id="1995259978">
      <w:bodyDiv w:val="1"/>
      <w:marLeft w:val="0"/>
      <w:marRight w:val="0"/>
      <w:marTop w:val="0"/>
      <w:marBottom w:val="0"/>
      <w:divBdr>
        <w:top w:val="none" w:sz="0" w:space="0" w:color="auto"/>
        <w:left w:val="none" w:sz="0" w:space="0" w:color="auto"/>
        <w:bottom w:val="none" w:sz="0" w:space="0" w:color="auto"/>
        <w:right w:val="none" w:sz="0" w:space="0" w:color="auto"/>
      </w:divBdr>
    </w:div>
    <w:div w:id="1999186504">
      <w:bodyDiv w:val="1"/>
      <w:marLeft w:val="0"/>
      <w:marRight w:val="0"/>
      <w:marTop w:val="0"/>
      <w:marBottom w:val="0"/>
      <w:divBdr>
        <w:top w:val="none" w:sz="0" w:space="0" w:color="auto"/>
        <w:left w:val="none" w:sz="0" w:space="0" w:color="auto"/>
        <w:bottom w:val="none" w:sz="0" w:space="0" w:color="auto"/>
        <w:right w:val="none" w:sz="0" w:space="0" w:color="auto"/>
      </w:divBdr>
    </w:div>
    <w:div w:id="200415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policy.ec.europa.eu/state-aid/ukraine_fr" TargetMode="External"/><Relationship Id="rId2" Type="http://schemas.openxmlformats.org/officeDocument/2006/relationships/hyperlink" Target="https://competition-policy.ec.europa.eu/about/competition-policy-fit-new-challenges_en" TargetMode="External"/><Relationship Id="rId1" Type="http://schemas.openxmlformats.org/officeDocument/2006/relationships/hyperlink" Target="https://competition-policy.ec.europa.eu/antitrust/legislation/regulation-12003_fr" TargetMode="External"/><Relationship Id="rId4" Type="http://schemas.openxmlformats.org/officeDocument/2006/relationships/hyperlink" Target="https://competition-policy.ec.europa.eu/public-consultations/2023-sgei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EDB22C517043478B92BE84F04A0156" ma:contentTypeVersion="11" ma:contentTypeDescription="Create a new document." ma:contentTypeScope="" ma:versionID="ccee9d923900c97d9b60aea5683e0735">
  <xsd:schema xmlns:xsd="http://www.w3.org/2001/XMLSchema" xmlns:xs="http://www.w3.org/2001/XMLSchema" xmlns:p="http://schemas.microsoft.com/office/2006/metadata/properties" xmlns:ns2="013aa35d-30e5-41d1-9a7b-1c862c539650" xmlns:ns3="3b788819-7a32-4497-9fc9-19efc375c7e2" targetNamespace="http://schemas.microsoft.com/office/2006/metadata/properties" ma:root="true" ma:fieldsID="db3f29f01f7f213cc92f7ed4c8ebdea8" ns2:_="" ns3:_="">
    <xsd:import namespace="013aa35d-30e5-41d1-9a7b-1c862c539650"/>
    <xsd:import namespace="3b788819-7a32-4497-9fc9-19efc375c7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671f249-9b2f-495b-9730-f5e999eac453}" ma:internalName="TaxCatchAll" ma:showField="CatchAllData" ma:web="013aa35d-30e5-41d1-9a7b-1c862c5396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788819-7a32-4497-9fc9-19efc375c7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788819-7a32-4497-9fc9-19efc375c7e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013aa35d-30e5-41d1-9a7b-1c862c539650" xsi:nil="true"/>
  </documentManagement>
</p:properties>
</file>

<file path=customXml/itemProps1.xml><?xml version="1.0" encoding="utf-8"?>
<ds:datastoreItem xmlns:ds="http://schemas.openxmlformats.org/officeDocument/2006/customXml" ds:itemID="{9E7824C9-B0D6-4C39-9004-A26D19644CCB}">
  <ds:schemaRefs>
    <ds:schemaRef ds:uri="http://schemas.openxmlformats.org/officeDocument/2006/bibliography"/>
  </ds:schemaRefs>
</ds:datastoreItem>
</file>

<file path=customXml/itemProps2.xml><?xml version="1.0" encoding="utf-8"?>
<ds:datastoreItem xmlns:ds="http://schemas.openxmlformats.org/officeDocument/2006/customXml" ds:itemID="{2445249F-6B7F-4140-80F8-EEF184FF1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aa35d-30e5-41d1-9a7b-1c862c539650"/>
    <ds:schemaRef ds:uri="3b788819-7a32-4497-9fc9-19efc375c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82D4D-F40E-4060-B960-E646A53DADD5}">
  <ds:schemaRefs>
    <ds:schemaRef ds:uri="http://schemas.microsoft.com/sharepoint/v3/contenttype/forms"/>
  </ds:schemaRefs>
</ds:datastoreItem>
</file>

<file path=customXml/itemProps4.xml><?xml version="1.0" encoding="utf-8"?>
<ds:datastoreItem xmlns:ds="http://schemas.openxmlformats.org/officeDocument/2006/customXml" ds:itemID="{1C83E6CE-7069-40A3-92FF-694EB8B26691}">
  <ds:schemaRefs>
    <ds:schemaRef ds:uri="http://schemas.microsoft.com/office/2006/metadata/properties"/>
    <ds:schemaRef ds:uri="http://schemas.microsoft.com/office/infopath/2007/PartnerControls"/>
    <ds:schemaRef ds:uri="3b788819-7a32-4497-9fc9-19efc375c7e2"/>
    <ds:schemaRef ds:uri="013aa35d-30e5-41d1-9a7b-1c862c5396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5392</Words>
  <Characters>30790</Characters>
  <Application>Microsoft Office Word</Application>
  <DocSecurity>0</DocSecurity>
  <Lines>427</Lines>
  <Paragraphs>105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STANKOV Daniel (COMP)</dc:creator>
  <cp:keywords/>
  <dc:description/>
  <cp:lastModifiedBy>DELBAER Gerda (SG)</cp:lastModifiedBy>
  <cp:revision>2</cp:revision>
  <cp:lastPrinted>2023-07-13T17:52:00Z</cp:lastPrinted>
  <dcterms:created xsi:type="dcterms:W3CDTF">2023-11-10T13:53:00Z</dcterms:created>
  <dcterms:modified xsi:type="dcterms:W3CDTF">2023-11-10T13:53:00Z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2023-06-22T09:38:16Z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fc6bce81-b19f-4e85-841f-ea8e695addb6</vt:lpwstr>
  </property>
  <property fmtid="{D5CDD505-2E9C-101B-9397-08002B2CF9AE}" pid="8" name="MSIP_Label_6bd9ddd1-4d20-43f6-abfa-fc3c07406f94_ContentBits">
    <vt:lpwstr>0</vt:lpwstr>
  </property>
  <property fmtid="{D5CDD505-2E9C-101B-9397-08002B2CF9AE}" pid="9" name="ContentTypeId">
    <vt:lpwstr>0x0101006AEDB22C517043478B92BE84F04A0156</vt:lpwstr>
  </property>
  <property fmtid="{D5CDD505-2E9C-101B-9397-08002B2CF9AE}" pid="10" name="MediaServiceImageTags">
    <vt:lpwstr/>
  </property>
</Properties>
</file>