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9A08" w14:textId="77777777" w:rsidR="00E654AF" w:rsidRDefault="00E654AF" w:rsidP="00E654AF">
      <w:pPr>
        <w:spacing w:after="600"/>
        <w:jc w:val="center"/>
        <w:rPr>
          <w:rFonts w:ascii="Times New Roman" w:hAnsi="Times New Roman"/>
          <w:b/>
          <w:bCs/>
          <w:color w:val="000000"/>
          <w:szCs w:val="24"/>
        </w:rPr>
      </w:pPr>
      <w:bookmarkStart w:id="0" w:name="Pandora"/>
      <w:r>
        <w:rPr>
          <w:rFonts w:ascii="Times New Roman" w:hAnsi="Times New Roman"/>
          <w:b/>
          <w:color w:val="000000"/>
        </w:rPr>
        <w:t>Suite donnée à la résolution non législative du Parlement européen sur les enseignements tirés de l’affaire des «Pandora Papers» et d’autres révélations</w:t>
      </w:r>
      <w:bookmarkEnd w:id="0"/>
    </w:p>
    <w:p w14:paraId="36DA0D22" w14:textId="77777777" w:rsidR="00E654AF" w:rsidRDefault="00E654AF" w:rsidP="00E654AF">
      <w:pPr>
        <w:numPr>
          <w:ilvl w:val="0"/>
          <w:numId w:val="28"/>
        </w:numPr>
        <w:ind w:left="567" w:hanging="567"/>
        <w:rPr>
          <w:rFonts w:ascii="Times New Roman" w:hAnsi="Times New Roman"/>
          <w:i/>
          <w:color w:val="000000"/>
          <w:szCs w:val="24"/>
        </w:rPr>
      </w:pPr>
      <w:r>
        <w:rPr>
          <w:rFonts w:ascii="Times New Roman" w:hAnsi="Times New Roman"/>
          <w:b/>
          <w:color w:val="000000"/>
        </w:rPr>
        <w:t>Rapporteur:</w:t>
      </w:r>
      <w:r>
        <w:rPr>
          <w:rFonts w:ascii="Times New Roman" w:hAnsi="Times New Roman"/>
          <w:color w:val="000000"/>
        </w:rPr>
        <w:t xml:space="preserve"> Niels FUGLSANG (S&amp;D / DK)</w:t>
      </w:r>
    </w:p>
    <w:p w14:paraId="66369E3A" w14:textId="77777777" w:rsidR="00E654AF" w:rsidRDefault="00E654AF" w:rsidP="00E654AF">
      <w:pPr>
        <w:pStyle w:val="Default"/>
        <w:numPr>
          <w:ilvl w:val="0"/>
          <w:numId w:val="28"/>
        </w:numPr>
        <w:spacing w:after="240"/>
        <w:ind w:left="567" w:hanging="567"/>
        <w:jc w:val="both"/>
      </w:pPr>
      <w:r>
        <w:rPr>
          <w:b/>
        </w:rPr>
        <w:t xml:space="preserve">Numéro de référence: </w:t>
      </w:r>
      <w:r>
        <w:t>2022 / 2080 (INI) / A9-0095/2023 / P9_TA-(2023)0249</w:t>
      </w:r>
    </w:p>
    <w:p w14:paraId="5860FED8" w14:textId="77777777" w:rsidR="00E654AF" w:rsidRDefault="00E654AF" w:rsidP="00E654AF">
      <w:pPr>
        <w:pStyle w:val="Default"/>
        <w:numPr>
          <w:ilvl w:val="0"/>
          <w:numId w:val="28"/>
        </w:numPr>
        <w:spacing w:after="240"/>
        <w:ind w:left="567" w:hanging="567"/>
        <w:jc w:val="both"/>
      </w:pPr>
      <w:r>
        <w:rPr>
          <w:b/>
        </w:rPr>
        <w:t>Date d'adoption de la résolution:</w:t>
      </w:r>
      <w:r>
        <w:t xml:space="preserve"> 15 juin 2023</w:t>
      </w:r>
    </w:p>
    <w:p w14:paraId="1C1D9444" w14:textId="77777777" w:rsidR="00E654AF" w:rsidRDefault="00E654AF" w:rsidP="00E654AF">
      <w:pPr>
        <w:pStyle w:val="Default"/>
        <w:numPr>
          <w:ilvl w:val="0"/>
          <w:numId w:val="28"/>
        </w:numPr>
        <w:spacing w:after="240"/>
        <w:ind w:left="567" w:hanging="567"/>
        <w:jc w:val="both"/>
      </w:pPr>
      <w:r>
        <w:rPr>
          <w:b/>
        </w:rPr>
        <w:t xml:space="preserve">Commission parlementaire compétente: </w:t>
      </w:r>
      <w:r>
        <w:t xml:space="preserve">commission des affaires économiques et monétaires (ECON) et sous-commission des affaires fiscales </w:t>
      </w:r>
    </w:p>
    <w:p w14:paraId="35CDA87B" w14:textId="77777777" w:rsidR="00E654AF" w:rsidRDefault="00E654AF" w:rsidP="00E654AF">
      <w:pPr>
        <w:widowControl w:val="0"/>
        <w:numPr>
          <w:ilvl w:val="0"/>
          <w:numId w:val="28"/>
        </w:numPr>
        <w:ind w:left="567" w:hanging="567"/>
        <w:rPr>
          <w:rFonts w:ascii="Times New Roman" w:hAnsi="Times New Roman"/>
          <w:b/>
          <w:color w:val="000000"/>
          <w:szCs w:val="24"/>
        </w:rPr>
      </w:pPr>
      <w:r>
        <w:rPr>
          <w:rFonts w:ascii="Times New Roman" w:hAnsi="Times New Roman"/>
          <w:b/>
          <w:color w:val="000000"/>
        </w:rPr>
        <w:t>Analyse/évaluation succincte de la résolution et des demandes qu’elle contient:</w:t>
      </w:r>
    </w:p>
    <w:p w14:paraId="2DC53DDE" w14:textId="77777777" w:rsidR="00E654AF" w:rsidRPr="00567746" w:rsidRDefault="00E654AF" w:rsidP="00E654AF">
      <w:pPr>
        <w:pStyle w:val="ListParagraph"/>
        <w:spacing w:after="120" w:line="240" w:lineRule="auto"/>
        <w:ind w:left="0"/>
        <w:contextualSpacing w:val="0"/>
        <w:jc w:val="both"/>
        <w:rPr>
          <w:rFonts w:ascii="Times New Roman" w:eastAsia="Times New Roman" w:hAnsi="Times New Roman"/>
          <w:iCs/>
          <w:color w:val="000000"/>
          <w:sz w:val="24"/>
          <w:szCs w:val="24"/>
        </w:rPr>
      </w:pPr>
      <w:r>
        <w:rPr>
          <w:rFonts w:ascii="Times New Roman" w:hAnsi="Times New Roman"/>
          <w:color w:val="000000"/>
          <w:sz w:val="24"/>
        </w:rPr>
        <w:t>Le rapport formule les demandes suivantes:</w:t>
      </w:r>
    </w:p>
    <w:p w14:paraId="02E3368F" w14:textId="77777777" w:rsidR="00E654AF" w:rsidRPr="00567746" w:rsidRDefault="00E654AF" w:rsidP="00E654AF">
      <w:pPr>
        <w:numPr>
          <w:ilvl w:val="0"/>
          <w:numId w:val="25"/>
        </w:numPr>
        <w:spacing w:after="0"/>
        <w:ind w:left="643"/>
        <w:rPr>
          <w:rFonts w:ascii="Times New Roman" w:hAnsi="Times New Roman"/>
          <w:iCs/>
          <w:color w:val="000000"/>
          <w:szCs w:val="24"/>
        </w:rPr>
      </w:pPr>
      <w:r>
        <w:rPr>
          <w:rFonts w:ascii="Times New Roman" w:hAnsi="Times New Roman"/>
          <w:color w:val="000000"/>
        </w:rPr>
        <w:t>sur le rôle des intermédiaires:</w:t>
      </w:r>
    </w:p>
    <w:p w14:paraId="61B0B54F" w14:textId="77777777" w:rsidR="00E654AF" w:rsidRPr="00567746" w:rsidRDefault="00E654AF" w:rsidP="00E654AF">
      <w:pPr>
        <w:numPr>
          <w:ilvl w:val="0"/>
          <w:numId w:val="24"/>
        </w:numPr>
        <w:spacing w:after="0"/>
        <w:ind w:left="1040"/>
        <w:rPr>
          <w:rFonts w:ascii="Times New Roman" w:hAnsi="Times New Roman"/>
          <w:iCs/>
          <w:color w:val="000000"/>
          <w:szCs w:val="24"/>
        </w:rPr>
      </w:pPr>
      <w:r>
        <w:rPr>
          <w:rFonts w:ascii="Times New Roman" w:hAnsi="Times New Roman"/>
          <w:color w:val="000000"/>
        </w:rPr>
        <w:t>demande un cadre de retenue à la source;</w:t>
      </w:r>
    </w:p>
    <w:p w14:paraId="53287BBB" w14:textId="77777777" w:rsidR="00E654AF" w:rsidRPr="00567746" w:rsidRDefault="00E654AF" w:rsidP="00E654AF">
      <w:pPr>
        <w:numPr>
          <w:ilvl w:val="0"/>
          <w:numId w:val="24"/>
        </w:numPr>
        <w:spacing w:after="0"/>
        <w:ind w:left="1040"/>
        <w:rPr>
          <w:rFonts w:ascii="Times New Roman" w:hAnsi="Times New Roman"/>
          <w:iCs/>
          <w:color w:val="000000"/>
          <w:szCs w:val="24"/>
        </w:rPr>
      </w:pPr>
      <w:r>
        <w:rPr>
          <w:rFonts w:ascii="Times New Roman" w:hAnsi="Times New Roman"/>
          <w:color w:val="000000"/>
        </w:rPr>
        <w:t>invite la Commission à envisager d’introduire des mesures visant à séparer les cabinets d’expertise comptable des prestataires de services financiers ou fiscaux et de services de conseil;</w:t>
      </w:r>
    </w:p>
    <w:p w14:paraId="531F9238" w14:textId="77777777" w:rsidR="00E654AF" w:rsidRPr="00567746" w:rsidRDefault="00E654AF" w:rsidP="00E654AF">
      <w:pPr>
        <w:numPr>
          <w:ilvl w:val="0"/>
          <w:numId w:val="24"/>
        </w:numPr>
        <w:spacing w:after="0"/>
        <w:ind w:left="1040"/>
        <w:rPr>
          <w:rFonts w:ascii="Times New Roman" w:hAnsi="Times New Roman"/>
          <w:iCs/>
          <w:color w:val="000000"/>
          <w:szCs w:val="24"/>
        </w:rPr>
      </w:pPr>
      <w:r>
        <w:rPr>
          <w:rFonts w:ascii="Times New Roman" w:hAnsi="Times New Roman"/>
          <w:color w:val="000000"/>
        </w:rPr>
        <w:t>demande à la Commission de réaliser une étude sur le marché du conseil fiscal afin de disposer d’informations actualisées sur la part de marché des grands cabinets d’expertise comptable;</w:t>
      </w:r>
    </w:p>
    <w:p w14:paraId="7D394DA6" w14:textId="77777777" w:rsidR="00E654AF" w:rsidRPr="00567746" w:rsidRDefault="00E654AF" w:rsidP="00E654AF">
      <w:pPr>
        <w:numPr>
          <w:ilvl w:val="0"/>
          <w:numId w:val="24"/>
        </w:numPr>
        <w:spacing w:after="0"/>
        <w:ind w:left="1040"/>
        <w:rPr>
          <w:rFonts w:ascii="Times New Roman" w:hAnsi="Times New Roman"/>
          <w:iCs/>
          <w:color w:val="000000"/>
        </w:rPr>
      </w:pPr>
      <w:r>
        <w:rPr>
          <w:rFonts w:ascii="Times New Roman" w:hAnsi="Times New Roman"/>
          <w:color w:val="000000"/>
        </w:rPr>
        <w:t>invite la Commission à mettre en œuvre les recommandations formulées dans le rapport de la Cour des comptes sur le recours à des consultants externes par la Commission, ce qui accroît «les risques potentiels de dépendance excessive, d’avantage concurrentiel, de concentration des fournisseurs et de conflits d’intérêts»;</w:t>
      </w:r>
    </w:p>
    <w:p w14:paraId="1A64DB4F" w14:textId="77777777" w:rsidR="00E654AF" w:rsidRPr="00567746" w:rsidRDefault="00E654AF" w:rsidP="00E654AF">
      <w:pPr>
        <w:numPr>
          <w:ilvl w:val="0"/>
          <w:numId w:val="24"/>
        </w:numPr>
        <w:spacing w:after="0"/>
        <w:ind w:left="1040"/>
        <w:rPr>
          <w:rFonts w:ascii="Times New Roman" w:hAnsi="Times New Roman"/>
          <w:iCs/>
          <w:color w:val="000000"/>
          <w:szCs w:val="24"/>
        </w:rPr>
      </w:pPr>
      <w:r>
        <w:rPr>
          <w:rFonts w:ascii="Times New Roman" w:hAnsi="Times New Roman"/>
          <w:color w:val="000000"/>
        </w:rPr>
        <w:t>exhorte la Commission, dans le contexte de la proposition législative qu’elle élabore actuellement sur la réglementation des intermédiaires au moyen d’un acte garantissant le cadre d’activité des facilitateurs (SAFE) de veiller à ce qu’elle comprenne un cadre d’application rigoureux pour traiter la question du rôle des acteurs qui facilitent l’évasion fiscale et la planification fiscale agressive et de veiller à ce que cadre soit proportionné et ciblé;</w:t>
      </w:r>
    </w:p>
    <w:p w14:paraId="2A3E1EDF" w14:textId="77777777" w:rsidR="00E654AF" w:rsidRPr="00567746" w:rsidRDefault="00E654AF" w:rsidP="00E654AF">
      <w:pPr>
        <w:numPr>
          <w:ilvl w:val="0"/>
          <w:numId w:val="25"/>
        </w:numPr>
        <w:spacing w:after="0"/>
        <w:ind w:left="643"/>
        <w:rPr>
          <w:rFonts w:ascii="Times New Roman" w:hAnsi="Times New Roman"/>
          <w:iCs/>
          <w:color w:val="000000"/>
          <w:szCs w:val="24"/>
        </w:rPr>
      </w:pPr>
      <w:r>
        <w:rPr>
          <w:rFonts w:ascii="Times New Roman" w:hAnsi="Times New Roman"/>
          <w:color w:val="000000"/>
        </w:rPr>
        <w:t>sur les pratiques dommageables dans les régimes d’imposition autres que ceux des sociétés:</w:t>
      </w:r>
    </w:p>
    <w:p w14:paraId="2C331B31" w14:textId="77777777" w:rsidR="00E654AF" w:rsidRPr="00567746"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estime qu’il pourrait y avoir une concurrence dommageable dans le domaine des régimes fiscaux visant à attirer des «nomades numériques» étrangers et des personnes fortunées et demande à la Commission d’en évaluer les conséquences;</w:t>
      </w:r>
    </w:p>
    <w:p w14:paraId="3FA6F9E6" w14:textId="77777777" w:rsidR="00E654AF" w:rsidRPr="00567746"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demande à la Commission de prendre les mesures législatives nécessaires pour garantir la sécurité juridique et l’équité fiscale pour les travailleurs transfrontaliers et les travailleurs indépendants dans l’Union;</w:t>
      </w:r>
    </w:p>
    <w:p w14:paraId="03CDB0E5" w14:textId="77777777" w:rsidR="00E654AF" w:rsidRPr="00567746"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invite la Commission à évaluer l’incidence du manque de coordination de la fiscalité immobilière dans l’Union;</w:t>
      </w:r>
    </w:p>
    <w:p w14:paraId="0507E77C" w14:textId="77777777" w:rsidR="00E654AF" w:rsidRPr="00567746" w:rsidRDefault="00E654AF" w:rsidP="00E654AF">
      <w:pPr>
        <w:numPr>
          <w:ilvl w:val="0"/>
          <w:numId w:val="24"/>
        </w:numPr>
        <w:spacing w:after="0"/>
        <w:rPr>
          <w:rFonts w:ascii="Times New Roman" w:hAnsi="Times New Roman"/>
          <w:iCs/>
          <w:color w:val="000000"/>
        </w:rPr>
      </w:pPr>
      <w:r>
        <w:rPr>
          <w:rFonts w:ascii="Times New Roman" w:hAnsi="Times New Roman"/>
          <w:color w:val="000000"/>
        </w:rPr>
        <w:t>invite la Commission à évaluer les effets et la faisabilité d’un mécanisme de contrôle des richesses inexpliquées, visant à détecter les produits des activités criminelles au niveau de l’Union;</w:t>
      </w:r>
    </w:p>
    <w:p w14:paraId="1B482C8F" w14:textId="77777777" w:rsidR="00E654AF" w:rsidRPr="00567746" w:rsidRDefault="00E654AF" w:rsidP="00E654AF">
      <w:pPr>
        <w:numPr>
          <w:ilvl w:val="0"/>
          <w:numId w:val="24"/>
        </w:numPr>
        <w:spacing w:after="0"/>
        <w:rPr>
          <w:rFonts w:ascii="Times New Roman" w:hAnsi="Times New Roman"/>
          <w:iCs/>
          <w:color w:val="000000"/>
        </w:rPr>
      </w:pPr>
      <w:r>
        <w:rPr>
          <w:rFonts w:ascii="Times New Roman" w:hAnsi="Times New Roman"/>
          <w:color w:val="000000"/>
        </w:rPr>
        <w:t>demande à la Commission de publier une liste des avoirs gelés ou confisqués à la suite de l’invasion de l’Ukraine par la Russie;</w:t>
      </w:r>
    </w:p>
    <w:p w14:paraId="3AE21961" w14:textId="77777777" w:rsidR="00E654AF" w:rsidRPr="00567746" w:rsidRDefault="00E654AF" w:rsidP="00E654AF">
      <w:pPr>
        <w:numPr>
          <w:ilvl w:val="0"/>
          <w:numId w:val="25"/>
        </w:numPr>
        <w:spacing w:after="0"/>
        <w:ind w:left="643"/>
        <w:rPr>
          <w:rFonts w:ascii="Times New Roman" w:hAnsi="Times New Roman"/>
          <w:iCs/>
          <w:color w:val="000000"/>
        </w:rPr>
      </w:pPr>
      <w:r>
        <w:rPr>
          <w:rFonts w:ascii="Times New Roman" w:hAnsi="Times New Roman"/>
          <w:color w:val="000000"/>
        </w:rPr>
        <w:t>sur l’utilisation abusive de sociétés-écrans et de structures opaques:</w:t>
      </w:r>
    </w:p>
    <w:p w14:paraId="0EF47742" w14:textId="77777777" w:rsidR="00E654AF" w:rsidRPr="00997428"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 xml:space="preserve">sur le groupe «Code de conduite»: demande une réforme globale du code de conduite, notamment pour inclure la liste automatique des pays et territoires non </w:t>
      </w:r>
      <w:r>
        <w:rPr>
          <w:rFonts w:ascii="Times New Roman" w:hAnsi="Times New Roman"/>
          <w:color w:val="000000"/>
        </w:rPr>
        <w:lastRenderedPageBreak/>
        <w:t>membres de l’UE appliquant un taux d’imposition des sociétés nul ou ne prélevant aucun impôt en tant que critère autonome;</w:t>
      </w:r>
    </w:p>
    <w:p w14:paraId="538FCA5C" w14:textId="77777777" w:rsidR="00E654AF" w:rsidRPr="00567746"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demande d’étendre le mandat du groupe «Code de conduite (fiscalité des entreprises)» aux régimes préférentiels d’imposition du revenu des personnes physiques et du capital ainsi qu’aux régimes d’imposition du revenu des personnes physiques ou du patrimoine qui sont considérés comme préjudiciables;</w:t>
      </w:r>
    </w:p>
    <w:p w14:paraId="4E530BC7" w14:textId="77777777" w:rsidR="00E654AF" w:rsidRPr="00567746" w:rsidRDefault="00E654AF" w:rsidP="00E654AF">
      <w:pPr>
        <w:numPr>
          <w:ilvl w:val="0"/>
          <w:numId w:val="24"/>
        </w:numPr>
        <w:spacing w:after="0"/>
        <w:rPr>
          <w:rFonts w:ascii="Times New Roman" w:hAnsi="Times New Roman"/>
          <w:iCs/>
          <w:color w:val="000000"/>
        </w:rPr>
      </w:pPr>
      <w:r>
        <w:rPr>
          <w:rFonts w:ascii="Times New Roman" w:hAnsi="Times New Roman"/>
          <w:color w:val="000000"/>
        </w:rPr>
        <w:t>sur la liste de l’UE des juridictions non coopératives: demande que le Parlement soit consulté lors de l’élaboration de cette liste et invite à procéder à une révision approfondie des critères d’examen;</w:t>
      </w:r>
    </w:p>
    <w:p w14:paraId="62F7C1C2" w14:textId="77777777" w:rsidR="00E654AF" w:rsidRPr="00567746" w:rsidRDefault="00E654AF" w:rsidP="00E654AF">
      <w:pPr>
        <w:numPr>
          <w:ilvl w:val="0"/>
          <w:numId w:val="24"/>
        </w:numPr>
        <w:spacing w:after="0"/>
        <w:rPr>
          <w:rFonts w:ascii="Times New Roman" w:hAnsi="Times New Roman"/>
          <w:iCs/>
          <w:color w:val="000000"/>
          <w:szCs w:val="24"/>
        </w:rPr>
      </w:pPr>
      <w:r>
        <w:rPr>
          <w:rFonts w:ascii="Times New Roman" w:hAnsi="Times New Roman"/>
          <w:color w:val="000000"/>
        </w:rPr>
        <w:t>critique l’absence de progrès au sein du Conseil en ce qui concerne UnShell;</w:t>
      </w:r>
    </w:p>
    <w:p w14:paraId="55D121F7" w14:textId="77777777" w:rsidR="00E654AF" w:rsidRPr="00567746" w:rsidRDefault="00E654AF" w:rsidP="00E654AF">
      <w:pPr>
        <w:numPr>
          <w:ilvl w:val="0"/>
          <w:numId w:val="25"/>
        </w:numPr>
        <w:spacing w:after="0"/>
        <w:ind w:left="643"/>
        <w:rPr>
          <w:rFonts w:ascii="Times New Roman" w:hAnsi="Times New Roman"/>
          <w:iCs/>
          <w:color w:val="000000"/>
        </w:rPr>
      </w:pPr>
      <w:r>
        <w:rPr>
          <w:rFonts w:ascii="Times New Roman" w:hAnsi="Times New Roman"/>
          <w:color w:val="000000"/>
        </w:rPr>
        <w:t>sur l’unanimité en matière fiscale:</w:t>
      </w:r>
    </w:p>
    <w:p w14:paraId="5310EF8C" w14:textId="77777777" w:rsidR="00E654AF" w:rsidRPr="00567746" w:rsidRDefault="00E654AF" w:rsidP="00E654AF">
      <w:pPr>
        <w:numPr>
          <w:ilvl w:val="0"/>
          <w:numId w:val="24"/>
        </w:numPr>
        <w:spacing w:after="120"/>
        <w:rPr>
          <w:rFonts w:ascii="Times New Roman" w:hAnsi="Times New Roman"/>
          <w:iCs/>
          <w:color w:val="000000"/>
          <w:szCs w:val="24"/>
        </w:rPr>
      </w:pPr>
      <w:r>
        <w:rPr>
          <w:rFonts w:ascii="Times New Roman" w:hAnsi="Times New Roman"/>
          <w:color w:val="000000"/>
        </w:rPr>
        <w:t>la Commission devrait explorer toutes les possibilités offertes par le traité pour rendre la prise de décision plus efficace.</w:t>
      </w:r>
    </w:p>
    <w:p w14:paraId="4BC2C080" w14:textId="77777777" w:rsidR="00E654AF" w:rsidRDefault="00E654AF" w:rsidP="00E654AF">
      <w:pPr>
        <w:widowControl w:val="0"/>
        <w:numPr>
          <w:ilvl w:val="0"/>
          <w:numId w:val="28"/>
        </w:numPr>
        <w:ind w:left="567" w:hanging="567"/>
        <w:rPr>
          <w:rFonts w:ascii="Times New Roman" w:hAnsi="Times New Roman"/>
          <w:i/>
          <w:iCs/>
          <w:color w:val="000000"/>
        </w:rPr>
      </w:pPr>
      <w:r>
        <w:rPr>
          <w:rFonts w:ascii="Times New Roman" w:hAnsi="Times New Roman"/>
          <w:b/>
          <w:color w:val="000000"/>
        </w:rPr>
        <w:t xml:space="preserve">Réponse à ces demandes et aperçu des mesures que la Commission a prises ou envisage de prendre: </w:t>
      </w:r>
    </w:p>
    <w:p w14:paraId="095FC4E5" w14:textId="77777777" w:rsidR="00E654AF" w:rsidRDefault="00E654AF" w:rsidP="00E654AF">
      <w:pPr>
        <w:spacing w:after="120"/>
        <w:rPr>
          <w:rFonts w:ascii="Times New Roman" w:hAnsi="Times New Roman"/>
          <w:b/>
          <w:bCs/>
          <w:color w:val="000000"/>
          <w:szCs w:val="24"/>
        </w:rPr>
      </w:pPr>
      <w:r>
        <w:rPr>
          <w:rFonts w:ascii="Times New Roman" w:hAnsi="Times New Roman"/>
          <w:b/>
          <w:color w:val="000000"/>
        </w:rPr>
        <w:t>Sur la non-transposition, par les États membres, de la directive sur les lanceurs d’alerte (paragraphe 8) et sur le rapport de la Commission sur la transposition de la directive (paragraphe 9)</w:t>
      </w:r>
    </w:p>
    <w:p w14:paraId="3A11493A" w14:textId="77777777" w:rsidR="00E654AF" w:rsidRDefault="00E654AF" w:rsidP="00E654AF">
      <w:pPr>
        <w:spacing w:after="120"/>
        <w:rPr>
          <w:rFonts w:ascii="Times New Roman" w:hAnsi="Times New Roman"/>
          <w:color w:val="000000"/>
          <w:szCs w:val="24"/>
        </w:rPr>
      </w:pPr>
      <w:r>
        <w:rPr>
          <w:rFonts w:ascii="Times New Roman" w:hAnsi="Times New Roman"/>
          <w:color w:val="000000"/>
        </w:rPr>
        <w:t>Le délai de transposition de la directive 2019/1937 dans les législations des États membres a expiré le 17 décembre 2021, après quoi la Commission a ouvert des procédures d’infraction à l’égard de 26 États membres, ceux-ci n’ayant pas transposé les règles dans les délais ou ayant retardé leur entrée en vigueur. La Commission a ensuite adressé des avis motivés à 15 États membres le 15 juillet 2022 et à 4 autres États membres le 29 septembre 2022. En février 2023, la Commission a décidé de renvoyer devant la Cour de justice les États membres qui n’avaient pas encore transposé la directive. La Commission prend toutes les mesures nécessaires pour garantir l’application effective de cet instrument clé de l’UE dans tous les États membres.</w:t>
      </w:r>
    </w:p>
    <w:p w14:paraId="44330D36" w14:textId="77777777" w:rsidR="00E654AF" w:rsidRDefault="00E654AF" w:rsidP="00E654AF">
      <w:pPr>
        <w:spacing w:after="120"/>
        <w:rPr>
          <w:rFonts w:ascii="Times New Roman" w:hAnsi="Times New Roman"/>
          <w:color w:val="000000"/>
          <w:szCs w:val="24"/>
        </w:rPr>
      </w:pPr>
      <w:r>
        <w:rPr>
          <w:rFonts w:ascii="Times New Roman" w:hAnsi="Times New Roman"/>
          <w:color w:val="000000"/>
        </w:rPr>
        <w:t xml:space="preserve">L’évaluation en cours des législations des États membres transposant la directive alimentera l’élaboration du rapport sur la transposition de la directive. </w:t>
      </w:r>
    </w:p>
    <w:p w14:paraId="758EB3F8" w14:textId="77777777" w:rsidR="00E654AF" w:rsidRDefault="00E654AF" w:rsidP="00E654AF">
      <w:pPr>
        <w:spacing w:after="120"/>
        <w:rPr>
          <w:rFonts w:ascii="Times New Roman" w:hAnsi="Times New Roman"/>
          <w:color w:val="000000"/>
          <w:szCs w:val="24"/>
        </w:rPr>
      </w:pPr>
      <w:r>
        <w:rPr>
          <w:rFonts w:ascii="Times New Roman" w:hAnsi="Times New Roman"/>
          <w:b/>
          <w:bCs/>
          <w:color w:val="000000"/>
        </w:rPr>
        <w:t>Sur le soutien aux pays en développement (paragraphes 15 et 80)</w:t>
      </w:r>
    </w:p>
    <w:p w14:paraId="7E9B2BBF" w14:textId="77777777" w:rsidR="00E654AF" w:rsidRDefault="00E654AF" w:rsidP="00E654AF">
      <w:pPr>
        <w:spacing w:after="120"/>
        <w:rPr>
          <w:rFonts w:ascii="Times New Roman" w:hAnsi="Times New Roman"/>
          <w:color w:val="000000"/>
        </w:rPr>
      </w:pPr>
      <w:r>
        <w:rPr>
          <w:rFonts w:ascii="Times New Roman" w:hAnsi="Times New Roman"/>
          <w:color w:val="000000"/>
        </w:rPr>
        <w:t>Conformément aux engagements qu’elle a pris dans le cadre de l’initiative fiscale d’Addis-Abeba</w:t>
      </w:r>
      <w:r>
        <w:rPr>
          <w:rFonts w:ascii="Times New Roman" w:hAnsi="Times New Roman"/>
          <w:color w:val="000000"/>
          <w:vertAlign w:val="superscript"/>
        </w:rPr>
        <w:footnoteReference w:id="2"/>
      </w:r>
      <w:r>
        <w:rPr>
          <w:rFonts w:ascii="Times New Roman" w:hAnsi="Times New Roman"/>
          <w:color w:val="000000"/>
        </w:rPr>
        <w:t>, dans laquelle elle s’est engagée, entre autres, à accroître le soutien aux pays en développement, la Commission a fourni et continue de fournir une aide substantielle, tant technique que financière, aux pays en développement dans le domaine de la mobilisation des recettes nationales, y compris dans le contexte de la bonne gouvernance fiscale. Plusieurs pays en développement ont déjà réussi à s’aligner sur les normes mondiales de bonne gouvernance fiscale, en améliorant leurs cadres nationaux en matière de transparence et d’échange d’informations et en réformant les régimes fiscaux dommageables. La Commission continuera à soutenir les pays en développement, en tirant pleinement parti des possibilités offertes par le cadre financier pluriannuel 2021-2027.</w:t>
      </w:r>
    </w:p>
    <w:p w14:paraId="21EA4BEE"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Un dialogue constructif et des actions de sensibilisation à l’égard des pays en développement, qui sont touchés de manière disproportionnée par la fraude et l’évasion fiscales, sont également au cœur du processus d’inscription sur la liste de l’UE. Une </w:t>
      </w:r>
      <w:r>
        <w:rPr>
          <w:rFonts w:ascii="Times New Roman" w:hAnsi="Times New Roman"/>
          <w:color w:val="000000"/>
        </w:rPr>
        <w:lastRenderedPageBreak/>
        <w:t>approche flexible a été appliquée de manière cohérente aux pays en développement dépourvus de centre financier en ce qui concerne les critères de la liste de l’UE et les délais qu’ils doivent respecter, compte tenu de leurs capacités administratives et financières limitées pour mettre en œuvre les normes de bonne gouvernance fiscale. Par exemple, ces pays et territoires n’ont pas encore été invités à se conformer au critère 1.1 relatif à l’échange automatique d’informations et se sont vu accorder des délais plus longs pour la mise en œuvre d’autres critères.</w:t>
      </w:r>
    </w:p>
    <w:p w14:paraId="346FA195" w14:textId="77777777" w:rsidR="00E654AF" w:rsidRDefault="00E654AF" w:rsidP="00E654AF">
      <w:pPr>
        <w:keepNext/>
        <w:keepLines/>
        <w:spacing w:after="120"/>
        <w:rPr>
          <w:rFonts w:ascii="Times New Roman" w:hAnsi="Times New Roman"/>
          <w:b/>
          <w:bCs/>
          <w:color w:val="000000"/>
        </w:rPr>
      </w:pPr>
      <w:r>
        <w:rPr>
          <w:rFonts w:ascii="Times New Roman" w:hAnsi="Times New Roman"/>
          <w:b/>
          <w:color w:val="000000"/>
        </w:rPr>
        <w:t>Sur la résolution fiscale des Nations unies (paragraphes 16, 17 et 82)</w:t>
      </w:r>
    </w:p>
    <w:p w14:paraId="3996ACD8" w14:textId="77777777" w:rsidR="00E654AF" w:rsidRDefault="00E654AF" w:rsidP="00E654AF">
      <w:pPr>
        <w:keepNext/>
        <w:keepLines/>
        <w:spacing w:after="120"/>
        <w:rPr>
          <w:rFonts w:ascii="Times New Roman" w:hAnsi="Times New Roman"/>
          <w:color w:val="000000"/>
        </w:rPr>
      </w:pPr>
      <w:r>
        <w:rPr>
          <w:rFonts w:ascii="Times New Roman" w:hAnsi="Times New Roman"/>
          <w:color w:val="000000"/>
        </w:rPr>
        <w:t>Les Nations unies jouent un rôle important dans le soutien aux pays en développement en matière de mobilisation des recettes nationales et dans le renforcement de leurs systèmes fiscaux. La Commission encourage les Nations unies et l’Organisation de coopération et de développement économiques (OCDE) à collaborer afin d’éviter les chevauchements, les doubles emplois et les risques d’incohérence des résultats. La Commission s’est engagée à aider les pays en développement à atteindre les objectifs de développement durable, tout en soutenant l’approche à deux piliers du cadre inclusif de l’OCDE sur l’érosion de la base d’imposition et le transfert de bénéfices (BEPS).</w:t>
      </w:r>
    </w:p>
    <w:p w14:paraId="64719A88" w14:textId="77777777" w:rsidR="00E654AF" w:rsidRDefault="00E654AF" w:rsidP="00E654AF">
      <w:pPr>
        <w:spacing w:after="120"/>
        <w:rPr>
          <w:rFonts w:ascii="Times New Roman" w:hAnsi="Times New Roman"/>
          <w:b/>
          <w:bCs/>
          <w:color w:val="000000"/>
        </w:rPr>
      </w:pPr>
      <w:r>
        <w:rPr>
          <w:rFonts w:ascii="Times New Roman" w:hAnsi="Times New Roman"/>
          <w:b/>
          <w:color w:val="000000"/>
        </w:rPr>
        <w:t xml:space="preserve">Sur la réalisation d’une étude sur le marché du conseil fiscal afin de disposer d’informations actualisées sur la part de marché des grands cabinets d’expertise comptable (paragraphe 25) </w:t>
      </w:r>
    </w:p>
    <w:p w14:paraId="754238DB" w14:textId="77777777" w:rsidR="00E654AF" w:rsidRDefault="00E654AF" w:rsidP="00E654AF">
      <w:pPr>
        <w:spacing w:after="120"/>
        <w:rPr>
          <w:rFonts w:ascii="Times New Roman" w:hAnsi="Times New Roman"/>
          <w:color w:val="000000"/>
        </w:rPr>
      </w:pPr>
      <w:r>
        <w:rPr>
          <w:rFonts w:ascii="Times New Roman" w:hAnsi="Times New Roman"/>
          <w:color w:val="000000"/>
        </w:rPr>
        <w:t>La Commission étudie actuellement la possibilité d’établir des ratios de concentration du marché au niveau de l’UE sur la base des informations contenues dans le registre EuroGroups.</w:t>
      </w:r>
    </w:p>
    <w:p w14:paraId="088C2784"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les mesures visant à séparer clairement les cabinets d’expertise comptable des prestataires de services financiers ou fiscaux (paragraphe 30)</w:t>
      </w:r>
    </w:p>
    <w:p w14:paraId="03D4B378" w14:textId="77777777" w:rsidR="00E654AF" w:rsidRDefault="00E654AF" w:rsidP="00E654AF">
      <w:pPr>
        <w:spacing w:after="120"/>
        <w:rPr>
          <w:rFonts w:ascii="Times New Roman" w:hAnsi="Times New Roman"/>
          <w:color w:val="000000"/>
          <w:szCs w:val="24"/>
        </w:rPr>
      </w:pPr>
      <w:r>
        <w:rPr>
          <w:rFonts w:ascii="Times New Roman" w:hAnsi="Times New Roman"/>
          <w:color w:val="000000"/>
        </w:rPr>
        <w:t>Le cadre d’audit actuel est entré en vigueur en juin 2016 et a introduit une liste de services autres que d’audit interdits. Cette liste comprend, entre autres, les services fiscaux. Néanmoins, les États membres ont la possibilité de permettre aux cabinets d’audit de fournir de tels services à leurs clients sous certaines conditions.</w:t>
      </w:r>
    </w:p>
    <w:p w14:paraId="11F5C522" w14:textId="77777777" w:rsidR="00E654AF" w:rsidRDefault="00E654AF" w:rsidP="00E654AF">
      <w:pPr>
        <w:spacing w:after="120"/>
        <w:rPr>
          <w:rFonts w:ascii="Times New Roman" w:hAnsi="Times New Roman"/>
          <w:color w:val="000000"/>
          <w:szCs w:val="24"/>
        </w:rPr>
      </w:pPr>
      <w:r>
        <w:rPr>
          <w:rFonts w:ascii="Times New Roman" w:hAnsi="Times New Roman"/>
          <w:color w:val="000000"/>
        </w:rPr>
        <w:t>Compte tenu de l’évolution du marché à la suite de la mise en œuvre de cette législation, il s’agit d’un sujet à analyser dans le cadre d’un futur réexamen du cadre actuel de contrôle légal des comptes.</w:t>
      </w:r>
    </w:p>
    <w:p w14:paraId="1C986838"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le rapport spécial de la Cour des comptes européenne (CCE) relatif au recours à des consultants externes à la Commission (paragraphe 33)</w:t>
      </w:r>
    </w:p>
    <w:p w14:paraId="1DE2EF08" w14:textId="77777777" w:rsidR="00E654AF" w:rsidRDefault="00E654AF" w:rsidP="00E654AF">
      <w:pPr>
        <w:spacing w:after="120"/>
        <w:rPr>
          <w:rFonts w:ascii="Times New Roman" w:hAnsi="Times New Roman"/>
          <w:color w:val="000000"/>
          <w:szCs w:val="24"/>
        </w:rPr>
      </w:pPr>
      <w:r>
        <w:rPr>
          <w:rFonts w:ascii="Times New Roman" w:hAnsi="Times New Roman"/>
          <w:color w:val="000000"/>
        </w:rPr>
        <w:t>En ce qui concerne le suivi du rapport spécial de la Cour des comptes relatif au recours à des consultants externes à la Commission, si la Cour a constaté que les dix services de la Commission audités respectaient les règles et procédures existantes et veillaient à ce que les consultants fournissent les services requis à un niveau de qualité approprié, elle a également recensé les risques potentiels liés à l’utilisation de services de conseil par la Commission. Elle a donc formulé des recommandations visant à compléter le cadre de gouvernance existant, à améliorer le suivi, l’établissement de rapports et l’atténuation des risques liés au recours aux services de consultants externes, ainsi qu’à mieux utiliser et diffuser les résultats obtenus grâce à ces services. La Commission a accepté toutes les recommandations et les met actuellement en œuvre, en vue de mener à bien les actions dans le délai convenu avec la Cour des comptes (fin 2023).</w:t>
      </w:r>
    </w:p>
    <w:p w14:paraId="25F8D2B6" w14:textId="77777777" w:rsidR="00E654AF" w:rsidRDefault="00E654AF" w:rsidP="00E654AF">
      <w:pPr>
        <w:spacing w:after="120"/>
        <w:rPr>
          <w:rFonts w:ascii="Times New Roman" w:hAnsi="Times New Roman"/>
          <w:color w:val="000000"/>
        </w:rPr>
      </w:pPr>
      <w:r>
        <w:rPr>
          <w:rFonts w:ascii="Times New Roman" w:hAnsi="Times New Roman"/>
          <w:b/>
          <w:color w:val="000000"/>
        </w:rPr>
        <w:t>Sur l’abrogation ou le retrait de la citoyenneté ou des titres de séjour de personnes de nationalité russe ou biélorusse ayant obtenu leur statut grâce à des investissements (paragraphe 44)</w:t>
      </w:r>
    </w:p>
    <w:p w14:paraId="55B84A8F" w14:textId="77777777" w:rsidR="00E654AF" w:rsidRDefault="00E654AF" w:rsidP="00E654AF">
      <w:pPr>
        <w:spacing w:after="120"/>
        <w:rPr>
          <w:color w:val="000000"/>
        </w:rPr>
      </w:pPr>
      <w:r>
        <w:rPr>
          <w:rFonts w:ascii="Times New Roman" w:hAnsi="Times New Roman"/>
          <w:color w:val="000000"/>
        </w:rPr>
        <w:lastRenderedPageBreak/>
        <w:t>Le 28 mars 2022, la Commission a adopté une recommandation sur des mesures immédiates dans le contexte de l’invasion de l’Ukraine par la Russie en ce qui concerne les programmes de citoyenneté par investissement et les programmes de résidence par investissement [C(2022) 2028 final].</w:t>
      </w:r>
    </w:p>
    <w:p w14:paraId="1A1143DE" w14:textId="77777777" w:rsidR="00E654AF" w:rsidRDefault="00E654AF" w:rsidP="00E654AF">
      <w:pPr>
        <w:spacing w:after="120"/>
        <w:rPr>
          <w:rFonts w:ascii="Times New Roman" w:hAnsi="Times New Roman"/>
          <w:color w:val="000000"/>
        </w:rPr>
      </w:pPr>
      <w:r>
        <w:rPr>
          <w:rFonts w:ascii="Times New Roman" w:hAnsi="Times New Roman"/>
          <w:color w:val="000000"/>
        </w:rPr>
        <w:t>La recommandation invitait les États membres qui gèrent ou ont mis en œuvre un programme de citoyenneté ou de résidence par investissement à prendre les mesures suivantes à l’égard des ressortissants russes et biélorusses faisant l’objet de mesures restrictives de l’UE en lien avec la guerre en Ukraine ou qui soutiennent de manière significative, par quelque moyen que ce soit, la guerre en Ukraine ou d’autres activités connexes du gouvernement russe ou du régime de Loukachenko enfreignant le droit international: i) réévaluer les naturalisations précédemment accordées au titre des programmes de citoyenneté par investissement à ces ressortissants russes et biélorusses; ii) retirer et refuser de renouveler les titres de séjour délivrés sur la base de programmes de résidence par investissement à ces ressortissants russes et biélorusses.</w:t>
      </w:r>
    </w:p>
    <w:p w14:paraId="23654F0D" w14:textId="77777777" w:rsidR="00E654AF" w:rsidRDefault="00E654AF" w:rsidP="00E654AF">
      <w:pPr>
        <w:spacing w:after="120"/>
        <w:rPr>
          <w:rFonts w:ascii="Times New Roman" w:hAnsi="Times New Roman"/>
          <w:color w:val="000000"/>
        </w:rPr>
      </w:pPr>
      <w:r>
        <w:rPr>
          <w:rFonts w:ascii="Times New Roman" w:hAnsi="Times New Roman"/>
          <w:color w:val="000000"/>
        </w:rPr>
        <w:t>La Commission a rendu compte au Parlement européen de la manière dont les États membres concernés ont mis en œuvre la recommandation de la Commission en 2022 lors de la réunion d’échange de vues de la commission LIBE du 1</w:t>
      </w:r>
      <w:r>
        <w:rPr>
          <w:rFonts w:ascii="Times New Roman" w:hAnsi="Times New Roman"/>
          <w:color w:val="000000"/>
          <w:vertAlign w:val="superscript"/>
        </w:rPr>
        <w:t>er</w:t>
      </w:r>
      <w:r>
        <w:rPr>
          <w:rFonts w:ascii="Times New Roman" w:hAnsi="Times New Roman"/>
          <w:color w:val="000000"/>
        </w:rPr>
        <w:t xml:space="preserve"> décembre 2022. La Commission a en outre répondu à la deuxième lettre du Parlement européen concernant sa résolution d’initiative en présentant des propositions à la Commission sur les programmes de citoyenneté et de résidence par investissement [2021/2026 (INL)] le 27 février 2023, qui comprend un aperçu écrit de la manière dont les États membres ont mis en œuvre la recommandation de la Commission en 2022.</w:t>
      </w:r>
    </w:p>
    <w:p w14:paraId="0096706E" w14:textId="77777777" w:rsidR="00E654AF" w:rsidRDefault="00E654AF" w:rsidP="00E654AF">
      <w:pPr>
        <w:spacing w:after="120"/>
        <w:rPr>
          <w:rFonts w:ascii="Times New Roman" w:hAnsi="Times New Roman"/>
          <w:color w:val="000000"/>
        </w:rPr>
      </w:pPr>
      <w:r>
        <w:rPr>
          <w:rFonts w:ascii="Times New Roman" w:hAnsi="Times New Roman"/>
          <w:color w:val="000000"/>
        </w:rPr>
        <w:t>La Commission recueille actuellement des informations complémentaires auprès des États membres en vue d’obtenir des éclaircissements sur la mise en œuvre de la recommandation en 2022 ainsi que les informations les plus récentes.</w:t>
      </w:r>
    </w:p>
    <w:p w14:paraId="2663E31C" w14:textId="77777777" w:rsidR="00E654AF" w:rsidRDefault="00E654AF" w:rsidP="00E654AF">
      <w:pPr>
        <w:spacing w:after="120"/>
        <w:rPr>
          <w:rFonts w:ascii="Times New Roman" w:hAnsi="Times New Roman"/>
          <w:color w:val="000000"/>
        </w:rPr>
      </w:pPr>
      <w:r>
        <w:rPr>
          <w:rFonts w:ascii="Times New Roman" w:hAnsi="Times New Roman"/>
          <w:color w:val="000000"/>
        </w:rPr>
        <w:t>Une fois qu’elle aura obtenu toutes les clarifications et informations récentes pertinentes, la Commission fournira au Parlement européen et au Conseil une nouvelle vue d’ensemble de la mise en œuvre.</w:t>
      </w:r>
    </w:p>
    <w:p w14:paraId="610C7706" w14:textId="31A1823A" w:rsidR="00E654AF" w:rsidRDefault="00E654AF" w:rsidP="00E654AF">
      <w:pPr>
        <w:spacing w:after="120"/>
        <w:rPr>
          <w:rFonts w:ascii="Times New Roman" w:hAnsi="Times New Roman"/>
          <w:b/>
          <w:bCs/>
          <w:color w:val="000000"/>
        </w:rPr>
      </w:pPr>
      <w:r>
        <w:rPr>
          <w:rFonts w:ascii="Times New Roman" w:hAnsi="Times New Roman"/>
          <w:b/>
          <w:color w:val="000000"/>
        </w:rPr>
        <w:t>Sur l’évaluation de l’incidence d’un manque de coordination de la fiscalité immobilière dans l’UE et des régimes d’imposition à faible taux de prélèvement, sur la forte hausse des prix de l’immobilier dans l’UE et sur la financiarisation du logement ou la financiarisation du secteur du logement (paragraphes 21 et 54)</w:t>
      </w:r>
    </w:p>
    <w:p w14:paraId="363EFBF5" w14:textId="77777777" w:rsidR="00E654AF" w:rsidRDefault="00E654AF" w:rsidP="00E654AF">
      <w:pPr>
        <w:spacing w:after="120"/>
        <w:rPr>
          <w:rFonts w:ascii="Times New Roman" w:hAnsi="Times New Roman"/>
          <w:i/>
          <w:iCs/>
          <w:color w:val="000000"/>
        </w:rPr>
      </w:pPr>
      <w:r>
        <w:rPr>
          <w:rFonts w:ascii="Times New Roman" w:hAnsi="Times New Roman"/>
          <w:color w:val="000000"/>
        </w:rPr>
        <w:t>Le logement abordable est une question essentielle. La Commission suit de près l’évolution du marché immobilier dans les États membres dans le cadre de ses travaux sur le Semestre européen. Dans le cadre de la procédure concernant les déséquilibres macroéconomiques, il s’agit notamment de mettre l’accent sur les effets du traitement fiscal des biens immobiliers sur l’évolution des prix de l’immobilier et sur les risques potentiels pour la stabilité macroéconomique. La nature intrinsèquement immobilière des biens fonciers permet d’imposer une base d’imposition, car elle réduit également le risque d’érosion de la base d’imposition et permet de déplacer la charge fiscale pesant sur le travail. Au moyen de recommandations par pays et de la facilité pour la reprise et la résilience, la Commission a encouragé plusieurs États membres à utiliser plus efficacement la fiscalité immobilière. Toutefois, il appartient aux États membres de concevoir et d’administrer leurs propres systèmes d’imposition des biens immobiliers, pour autant qu’ils ne créent pas de discrimination à l’égard des contribuables d’autres États membres.</w:t>
      </w:r>
    </w:p>
    <w:p w14:paraId="2954AED6"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La Commission partage le point de vue selon lequel la forte hausse des prix de l’immobilier dans l’UE au cours des dernières années est préoccupante, compte tenu notamment du risque d’une correction significative des prix dans les cas où l’augmentation était potentiellement dissociée des forces économiques sous-jacentes. Avec la hausse des taux d’intérêt, le cycle s’est en effet retourné. Les prix de l’immobilier, tant résidentiel que </w:t>
      </w:r>
      <w:r>
        <w:rPr>
          <w:rFonts w:ascii="Times New Roman" w:hAnsi="Times New Roman"/>
          <w:color w:val="000000"/>
        </w:rPr>
        <w:lastRenderedPageBreak/>
        <w:t xml:space="preserve">commercial, ont commencé à baisser (du moins en termes réels) dans de nombreux États membres, ce qui peut constituer un risque pour la stabilité financière. </w:t>
      </w:r>
    </w:p>
    <w:p w14:paraId="30C41080"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Dès janvier 2023, le Comité européen du risque systémique (CERS) a recommandé aux autorités européennes et nationales d’améliorer le suivi des risques systémiques liés au secteur de l’immobilier commercial. </w:t>
      </w:r>
    </w:p>
    <w:p w14:paraId="6CB9C049"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Fin juin 2023, le conseil général du CERS a noté que la diminution du nombre de transactions et d’indicateurs du crédit reflétait une correction probablement plus large dans le secteur de l’immobilier résidentiel. Le marché de l’immobilier commercial a souffert, entre autres, d’une détérioration du climat des affaires, d’une hausse des coûts de financement et d’un durcissement des critères d’octroi des crédits.  </w:t>
      </w:r>
    </w:p>
    <w:p w14:paraId="2D129CCB" w14:textId="77777777" w:rsidR="00E654AF" w:rsidRDefault="00E654AF" w:rsidP="00E654AF">
      <w:pPr>
        <w:spacing w:after="120"/>
        <w:rPr>
          <w:rFonts w:ascii="Times New Roman" w:hAnsi="Times New Roman"/>
          <w:color w:val="000000"/>
        </w:rPr>
      </w:pPr>
      <w:r>
        <w:rPr>
          <w:rFonts w:ascii="Times New Roman" w:hAnsi="Times New Roman"/>
          <w:color w:val="000000"/>
        </w:rPr>
        <w:t>L’UE a élaboré un ensemble de règles saines en matière de titrisation également en ce qui concerne les sûretés. Le type de titrisation le plus courant est celui des titres adossés à des prêts hypothécaires résidentiels (</w:t>
      </w:r>
      <w:r>
        <w:rPr>
          <w:rFonts w:ascii="Times New Roman" w:hAnsi="Times New Roman"/>
          <w:i/>
          <w:iCs/>
          <w:color w:val="000000"/>
        </w:rPr>
        <w:t>Residential Mortgage Backed Security</w:t>
      </w:r>
      <w:r>
        <w:rPr>
          <w:rFonts w:ascii="Times New Roman" w:hAnsi="Times New Roman"/>
          <w:color w:val="000000"/>
        </w:rPr>
        <w:t xml:space="preserve"> — RMBS), qui regroupe des prêts hypothécaires à des emprunteurs propriétaires occupants et vend les titres qui en résultent à des investisseurs. Cet instrument permet aux banques d’obtenir des financements pour leurs activités de prêt hypothécaire et peut donc avoir une incidence positive sur la propriété en augmentant l’offre de financement pour l’achat de logements. Il ne s’agit pas d’un outil permettant aux investisseurs institutionnels de devenir propriétaires d’actifs immobiliers.</w:t>
      </w:r>
    </w:p>
    <w:p w14:paraId="3E15DD5B" w14:textId="77777777" w:rsidR="00E654AF" w:rsidRDefault="00E654AF" w:rsidP="00E654AF">
      <w:pPr>
        <w:keepNext/>
        <w:keepLines/>
        <w:spacing w:after="120"/>
        <w:rPr>
          <w:rFonts w:ascii="Times New Roman" w:hAnsi="Times New Roman"/>
          <w:b/>
          <w:bCs/>
          <w:color w:val="000000"/>
        </w:rPr>
      </w:pPr>
      <w:r>
        <w:rPr>
          <w:rFonts w:ascii="Times New Roman" w:hAnsi="Times New Roman"/>
          <w:b/>
          <w:color w:val="000000"/>
        </w:rPr>
        <w:t>Sur l’évaluation des effets et de la faisabilité d’un mécanisme de contrôle des richesses inexpliquées visant à détecter les produits des activités criminelles (paragraphe 56)</w:t>
      </w:r>
    </w:p>
    <w:p w14:paraId="67D9BC14" w14:textId="77777777" w:rsidR="00E654AF" w:rsidRDefault="00E654AF" w:rsidP="00E654AF">
      <w:pPr>
        <w:keepNext/>
        <w:keepLines/>
        <w:spacing w:after="120"/>
        <w:rPr>
          <w:rFonts w:ascii="Times New Roman" w:hAnsi="Times New Roman"/>
          <w:color w:val="000000"/>
        </w:rPr>
      </w:pPr>
      <w:r>
        <w:rPr>
          <w:rFonts w:ascii="Times New Roman" w:hAnsi="Times New Roman"/>
          <w:color w:val="000000"/>
        </w:rPr>
        <w:t>Le 25 mai 2022, la Commission a présenté une proposition de directive relative au recouvrement et à la confiscation d’avoirs. L’objectif est de consolider et de renforcer le cadre juridique existant afin d’accroître l’efficacité des efforts de recouvrement et de confiscation d’avoirs dans l’ensemble de l’Union. La proposition vise à permettre la découverte d’un plus grand nombre d’avoirs illicites que par le passé, notamment grâce à des enquêtes financières plus systématiques et à l’accès des bureaux de recouvrement des avoirs à un large éventail de bases de données. En outre, la proposition aborde également la question de la confiscation des richesses inexpliquées, car la Commission considère qu’il s’agit d’un outil efficace dans la lutte contre la criminalité organisée.</w:t>
      </w:r>
    </w:p>
    <w:p w14:paraId="27114B2C" w14:textId="77777777" w:rsidR="00E654AF" w:rsidRDefault="00E654AF" w:rsidP="00E654AF">
      <w:pPr>
        <w:spacing w:after="120"/>
        <w:rPr>
          <w:rFonts w:ascii="Times New Roman" w:hAnsi="Times New Roman"/>
          <w:color w:val="000000"/>
        </w:rPr>
      </w:pPr>
      <w:r>
        <w:rPr>
          <w:rFonts w:ascii="Times New Roman" w:hAnsi="Times New Roman"/>
          <w:color w:val="000000"/>
        </w:rPr>
        <w:t>La directive permettrait la confiscation de biens résultant d’activités de criminalité organisée qui ne peuvent être associées à une infraction spécifique et pour lesquels une condamnation d’une personne déterminée n’est pas possible. La seule condition d’une confiscation serait que les biens aient été gelés au cours d’une enquête sur une infraction pénale et qu’un juge soit convaincu que les biens en question proviennent d’activités de criminalité organisée. Pour déterminer si les biens proviennent d’infractions pénales, il se peut que la valeur des biens soit substantiellement disproportionnée par rapport aux revenus légaux du propriétaire des biens. Si l’action publique est en mesure de convaincre le juge de l’origine illicite des biens, la personne concernée par la confiscation jouit de tous les droits de la défense et peut réfuter et prouver que les biens ont été obtenus légalement pour éviter la confiscation.</w:t>
      </w:r>
    </w:p>
    <w:p w14:paraId="5D7D8CC8"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la publication d’une liste des avoirs gelés ou confisqués à la suite de l’invasion de l’Ukraine par la Russie (paragraphe 57)</w:t>
      </w:r>
    </w:p>
    <w:p w14:paraId="348EBE88" w14:textId="77777777" w:rsidR="00E654AF" w:rsidRDefault="00E654AF" w:rsidP="00E654AF">
      <w:pPr>
        <w:spacing w:after="120"/>
        <w:rPr>
          <w:rFonts w:ascii="Times New Roman" w:hAnsi="Times New Roman"/>
          <w:color w:val="000000"/>
        </w:rPr>
      </w:pPr>
      <w:r>
        <w:rPr>
          <w:rFonts w:ascii="Times New Roman" w:hAnsi="Times New Roman"/>
          <w:color w:val="000000"/>
        </w:rPr>
        <w:t>Les règlements de l’UE en matière de sanctions prévoient certaines obligations de déclaration pour les personnes, entités et acteurs financiers concernés. Par exemple, les personnes et entités soumises à des obligations de gel des avoirs en vertu du règlement (UE) n° 269/2014 doivent notifier leurs avoirs gelés aux autorités nationales compétentes, qui font ensuite rapport à la Commission. En outre, le 10</w:t>
      </w:r>
      <w:r>
        <w:rPr>
          <w:rFonts w:ascii="Times New Roman" w:hAnsi="Times New Roman"/>
          <w:color w:val="000000"/>
          <w:vertAlign w:val="superscript"/>
        </w:rPr>
        <w:t>e</w:t>
      </w:r>
      <w:r>
        <w:rPr>
          <w:rFonts w:ascii="Times New Roman" w:hAnsi="Times New Roman"/>
          <w:color w:val="000000"/>
        </w:rPr>
        <w:t xml:space="preserve"> train de sanctions a introduit une nouvelle obligation pour les opérateurs et les États membres de rendre compte à la Commission des avoirs et réserves immobilisés de la Banque centrale de Russie en vertu du règlement (UE) n° 833/2014. Comme le prévoient ces deux actes juridiques, toute </w:t>
      </w:r>
      <w:r>
        <w:rPr>
          <w:rFonts w:ascii="Times New Roman" w:hAnsi="Times New Roman"/>
          <w:color w:val="000000"/>
        </w:rPr>
        <w:lastRenderedPageBreak/>
        <w:t>information fournie ou reçue par la Commission et les autorités compétentes des États membres ne peut être utilisée qu’aux fins pour lesquelles elle a été fournie ou reçue, empêchant la Commission ou les autorités nationales compétentes de publier la liste des avoirs gelés ou immobilisés.</w:t>
      </w:r>
    </w:p>
    <w:p w14:paraId="63303422" w14:textId="77777777" w:rsidR="00E654AF" w:rsidRDefault="00E654AF" w:rsidP="00E654AF">
      <w:pPr>
        <w:spacing w:after="120"/>
        <w:rPr>
          <w:rFonts w:ascii="Times New Roman" w:hAnsi="Times New Roman"/>
          <w:color w:val="000000"/>
        </w:rPr>
      </w:pPr>
      <w:r>
        <w:rPr>
          <w:rFonts w:ascii="Times New Roman" w:hAnsi="Times New Roman"/>
          <w:color w:val="000000"/>
        </w:rPr>
        <w:t>Néanmoins, la Commission continue de communiquer, également dans le cadre de la task force «Gel et saisie», sur les montants totaux des avoirs gelés et immobilisés. À ce jour, on dénombre plus de 200 milliards d’euros d’actifs souverains immobilisés russes et 24,3 milliards d’euros d’actifs privés gelés dans l’UE.</w:t>
      </w:r>
    </w:p>
    <w:p w14:paraId="4B4CD631" w14:textId="77777777" w:rsidR="00E654AF" w:rsidRDefault="00E654AF" w:rsidP="00E654AF">
      <w:pPr>
        <w:spacing w:after="120"/>
        <w:rPr>
          <w:rFonts w:ascii="Times New Roman" w:hAnsi="Times New Roman"/>
          <w:color w:val="000000"/>
        </w:rPr>
      </w:pPr>
      <w:r>
        <w:rPr>
          <w:rFonts w:ascii="Times New Roman" w:hAnsi="Times New Roman"/>
          <w:b/>
          <w:color w:val="000000"/>
        </w:rPr>
        <w:t>Sur la directive relative à des règles visant à prévenir l’utilisation abusive d’entités écrans à des fins fiscales (UNSHELL) (paragraphe 70) et le rôle des intermédiaires dans la facilitation de l’évasion fiscale et de la planification fiscale agressive et le recours par des particuliers fortunés à des régimes sophistiqués au moyen de services professionnels offshore (paragraphes 34 et 38)</w:t>
      </w:r>
    </w:p>
    <w:p w14:paraId="5DC1E779" w14:textId="77777777" w:rsidR="00E654AF" w:rsidRDefault="00E654AF" w:rsidP="00E654AF">
      <w:pPr>
        <w:spacing w:after="120"/>
        <w:rPr>
          <w:rFonts w:ascii="Times New Roman" w:hAnsi="Times New Roman"/>
          <w:color w:val="000000"/>
        </w:rPr>
      </w:pPr>
      <w:r>
        <w:rPr>
          <w:rFonts w:ascii="Times New Roman" w:hAnsi="Times New Roman"/>
          <w:color w:val="000000"/>
        </w:rPr>
        <w:t>En ce qui concerne l’utilisation abusive d’entités écrans, la proposition de l’UNSHELL est toujours en cours de discussion au sein du Conseil et des progrès significatifs ont été accomplis sous la présidence suédoise. La Commission collaborera avec la présidence espagnole en vue de conclure les négociations cette année. La proposition comporte trois éléments essentiels: i) des critères solides pour l’identification des cas les plus manifestes d’entités écrans au sein de l’UE, ii) un ensemble commun de conséquences fiscales liées à la constatation non réfutée d’une entité écran afin d’éviter la fragmentation du marché intérieur, et iii) l’échange d’informations entre les États membres. La conclusion d’un accord ambitieux sur la proposition UNSHELL est un élément essentiel de nos efforts dans la lutte contre les pratiques fiscales abusives, y compris en ce qui concerne la dimension extérieure du recours aux sociétés écrans. Il importe de parvenir à un tel accord avant de prendre de nouvelles mesures dans la lutte contre l’évasion fiscale et la planification fiscale agressive.</w:t>
      </w:r>
    </w:p>
    <w:p w14:paraId="72D9E658" w14:textId="77777777" w:rsidR="00E654AF" w:rsidRDefault="00E654AF" w:rsidP="00E654AF">
      <w:pPr>
        <w:spacing w:after="120"/>
        <w:rPr>
          <w:rFonts w:ascii="Times New Roman" w:hAnsi="Times New Roman"/>
          <w:color w:val="000000"/>
        </w:rPr>
      </w:pPr>
      <w:r>
        <w:rPr>
          <w:rFonts w:ascii="Times New Roman" w:hAnsi="Times New Roman"/>
          <w:color w:val="000000"/>
        </w:rPr>
        <w:t>La Commission partage le point de vue selon lequel il convient de promouvoir davantage les normes fiscales internationales relatives à la substance minimale. Dans le même ordre d’idées, la Commission collabore avec les États membres pour renforcer les exigences dans le cadre de la liste de l’UE pour les juridictions à fiscalité nulle ou quasi nulle. Le champ d’application des exigences de substance dans ces pays est étendu aux fiducies ou trusts et entités juridiques similaires. En outre, la Commission réfléchit à la manière de renforcer la transparence et l’échange d’informations avec ces juridictions.</w:t>
      </w:r>
    </w:p>
    <w:p w14:paraId="2C66B28F" w14:textId="77777777" w:rsidR="00E654AF" w:rsidRDefault="00E654AF" w:rsidP="00E654AF">
      <w:pPr>
        <w:spacing w:after="120"/>
        <w:rPr>
          <w:rFonts w:ascii="Times New Roman" w:hAnsi="Times New Roman"/>
          <w:color w:val="000000"/>
        </w:rPr>
      </w:pPr>
      <w:r>
        <w:rPr>
          <w:rFonts w:ascii="Times New Roman" w:hAnsi="Times New Roman"/>
          <w:b/>
          <w:color w:val="000000"/>
        </w:rPr>
        <w:t>Sur l’élaboration d’une proposition législative sur la réglementation des intermédiaires au moyen d’un acte garantissant le cadre d’activité des facilitateurs de la planification fiscale agressive et de l’évasion fiscale (SAFE) (paragraphe 34)</w:t>
      </w:r>
    </w:p>
    <w:p w14:paraId="7ADCE3B3" w14:textId="77777777" w:rsidR="00E654AF" w:rsidRDefault="00E654AF" w:rsidP="00E654AF">
      <w:pPr>
        <w:spacing w:after="120"/>
        <w:rPr>
          <w:rFonts w:ascii="Times New Roman" w:hAnsi="Times New Roman"/>
          <w:color w:val="000000"/>
        </w:rPr>
      </w:pPr>
      <w:r>
        <w:rPr>
          <w:rFonts w:ascii="Times New Roman" w:hAnsi="Times New Roman"/>
          <w:color w:val="000000"/>
        </w:rPr>
        <w:t>La Commission a travaillé sur d’éventuels outils supplémentaires pour proposer aux États membres des dispositifs ou des régimes fiscaux dans des pays tiers qui conduisent à l’évasion fiscale ou à la planification fiscale agressive. Toutefois, selon elle, il est essentiel qu’avant d’adopter et de présenter une proposition à ce sujet, les États membres parviennent à un accord politique au sein du Conseil sur la directive UNSHELL, qui traite de l’utilisation abusive d’entités écrans dans l’UE.</w:t>
      </w:r>
    </w:p>
    <w:p w14:paraId="07183C5F"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le partage d’informations (paragraphes 34, 36 et 71)</w:t>
      </w:r>
    </w:p>
    <w:p w14:paraId="47D0C32E" w14:textId="77777777" w:rsidR="00E654AF" w:rsidRDefault="00E654AF" w:rsidP="00E654AF">
      <w:pPr>
        <w:spacing w:after="120"/>
        <w:rPr>
          <w:rFonts w:ascii="Times New Roman" w:hAnsi="Times New Roman"/>
          <w:color w:val="000000"/>
        </w:rPr>
      </w:pPr>
      <w:r>
        <w:rPr>
          <w:rFonts w:ascii="Times New Roman" w:hAnsi="Times New Roman"/>
          <w:color w:val="000000"/>
        </w:rPr>
        <w:t>Les rapports et les échanges au titre de la directive relative à la coopération administrative (DAC6) ont désormais eu lieu pour deux années civiles. Les résultats et l’expérience des premières années seront utilisés pour l’évaluation de la DAC dans son ensemble, qui devrait avoir lieu tous les cinq ans. La Commission a entamé les travaux de préparation de l’évaluation. L’évaluation sera soumise au Parlement européen une fois finalisée.</w:t>
      </w:r>
    </w:p>
    <w:p w14:paraId="2EDC9E2B" w14:textId="77777777" w:rsidR="00E654AF" w:rsidRDefault="00E654AF" w:rsidP="00E654AF">
      <w:pPr>
        <w:spacing w:after="120"/>
        <w:rPr>
          <w:rFonts w:ascii="Times New Roman" w:hAnsi="Times New Roman"/>
          <w:color w:val="000000"/>
          <w:szCs w:val="24"/>
        </w:rPr>
      </w:pPr>
      <w:r>
        <w:rPr>
          <w:rFonts w:ascii="Times New Roman" w:hAnsi="Times New Roman"/>
          <w:color w:val="000000"/>
        </w:rPr>
        <w:lastRenderedPageBreak/>
        <w:t>Les résultats de l’examen par les pairs du Forum mondial sur la mise en œuvre juridique de la norme d’échange automatique d’informations relatives aux comptes financiers (CRS) et les résultats des premiers examens de l’efficacité de la mise en œuvre pratique de la CRS sont pris en compte dans le suivi de l’application des dispositions mettant en œuvre la directive dans les États membres. Ces résultats font également partie de la base des mesures prises dans le cadre du programme Fiscalis pour améliorer le fonctionnement de la DAC. La Commission surveille systématiquement la mise en œuvre des directives DAC dans le droit national.</w:t>
      </w:r>
    </w:p>
    <w:p w14:paraId="60ACA505" w14:textId="77777777" w:rsidR="00E654AF" w:rsidRDefault="00E654AF" w:rsidP="00E654AF">
      <w:pPr>
        <w:spacing w:after="120"/>
        <w:rPr>
          <w:rFonts w:ascii="Times New Roman" w:hAnsi="Times New Roman"/>
          <w:b/>
          <w:color w:val="000000"/>
        </w:rPr>
      </w:pPr>
      <w:r>
        <w:rPr>
          <w:rFonts w:ascii="Times New Roman" w:hAnsi="Times New Roman"/>
          <w:b/>
          <w:color w:val="000000"/>
        </w:rPr>
        <w:t>Sur les retenues à la source et le Semestre européen (paragraphes 40 et 84)</w:t>
      </w:r>
    </w:p>
    <w:p w14:paraId="5A43A301" w14:textId="77777777" w:rsidR="00E654AF" w:rsidRDefault="00E654AF" w:rsidP="00E654AF">
      <w:pPr>
        <w:spacing w:after="120"/>
        <w:rPr>
          <w:rFonts w:ascii="Times New Roman" w:hAnsi="Times New Roman"/>
          <w:color w:val="000000"/>
        </w:rPr>
      </w:pPr>
      <w:r>
        <w:rPr>
          <w:rFonts w:ascii="Times New Roman" w:hAnsi="Times New Roman"/>
          <w:color w:val="000000"/>
        </w:rPr>
        <w:t>La lutte contre la planification fiscale agressive, y compris les retenues à la source sur les paiements sortants, a également été au centre de l’attention dans le contexte du Semestre européen. Plusieurs États membres de l’UE ont reçu des recommandations par pays à ce sujet en 2019 et 2020. À la suite de l’adoption de la législation pertinente et/ou des engagements pertinents dans les plans pour la reprise et la résilience (PRR), certaines de ces recommandations par pays n’ont pas été répétées en 2022 et 2023 (recommandations de la Commission). La Commission suit de près la mise en œuvre des PRR et évalue si les jalons et cibles ont été atteints de manière satisfaisante avant de verser les paiements correspondants, y compris en ce qui concerne les engagements pris pour lutter contre la planification fiscale agressive. En outre, la Commission évalue les progrès accomplis dans la mise en œuvre des recommandations par pays dans le cadre du processus du Semestre européen.</w:t>
      </w:r>
    </w:p>
    <w:p w14:paraId="6FD156AB" w14:textId="77777777" w:rsidR="00E654AF" w:rsidRDefault="00E654AF" w:rsidP="00E654AF">
      <w:pPr>
        <w:widowControl w:val="0"/>
        <w:spacing w:after="120"/>
        <w:rPr>
          <w:rFonts w:ascii="Times New Roman" w:hAnsi="Times New Roman"/>
          <w:b/>
          <w:bCs/>
          <w:i/>
          <w:iCs/>
          <w:color w:val="000000"/>
        </w:rPr>
      </w:pPr>
      <w:r>
        <w:rPr>
          <w:rFonts w:ascii="Times New Roman" w:hAnsi="Times New Roman"/>
          <w:b/>
          <w:color w:val="000000"/>
        </w:rPr>
        <w:t>Sur la proposition relative au dégrèvement plus rapide et plus sûr de l’excédent de retenues à la source (FASTER) (paragraphe 41)</w:t>
      </w:r>
    </w:p>
    <w:p w14:paraId="4CF6E13F" w14:textId="77777777" w:rsidR="00E654AF" w:rsidRDefault="00E654AF" w:rsidP="00E654AF">
      <w:pPr>
        <w:widowControl w:val="0"/>
        <w:spacing w:after="120"/>
        <w:rPr>
          <w:rFonts w:ascii="Times New Roman" w:hAnsi="Times New Roman"/>
          <w:color w:val="000000"/>
        </w:rPr>
      </w:pPr>
      <w:r>
        <w:rPr>
          <w:rFonts w:ascii="Times New Roman" w:hAnsi="Times New Roman"/>
          <w:color w:val="000000"/>
        </w:rPr>
        <w:t>En ce qui concerne la demande d’amélioration du cadre de retenues à la source, la Commission a récemment adopté (le 19 juin 2023) une proposition de directive du Conseil relative au dégrèvement plus rapide et plus sûr de l’excédent de retenues à la source (FASTER).</w:t>
      </w:r>
    </w:p>
    <w:p w14:paraId="362C02EE" w14:textId="77777777" w:rsidR="00E654AF" w:rsidRDefault="00E654AF" w:rsidP="00E654AF">
      <w:pPr>
        <w:widowControl w:val="0"/>
        <w:spacing w:after="120"/>
        <w:rPr>
          <w:rFonts w:ascii="Times New Roman" w:hAnsi="Times New Roman"/>
          <w:color w:val="000000"/>
        </w:rPr>
      </w:pPr>
      <w:r>
        <w:rPr>
          <w:rFonts w:ascii="Times New Roman" w:hAnsi="Times New Roman"/>
          <w:color w:val="000000"/>
        </w:rPr>
        <w:t>Cette initiative vise à établir un cadre européen commun pour les procédures de retenue à la source en introduisant davantage de transparence et de numérisation. Le nouveau cadre permettra d’accélérer les procédures de retenue à la source et fournira des outils pour lutter efficacement contre les pratiques fiscales abusives. L’objectif visé par cette proposition est double: rendre les procédures de retenue à la source plus efficaces tant pour les investisseurs que pour les administrations fiscales (plus rapides et plus rentables) et les rendre plus solides contre les pratiques fiscales abusives (montages Cum/Ex et Cum/Cum).</w:t>
      </w:r>
    </w:p>
    <w:p w14:paraId="51794485" w14:textId="77777777" w:rsidR="00E654AF" w:rsidRDefault="00E654AF" w:rsidP="00E654AF">
      <w:pPr>
        <w:spacing w:after="120"/>
        <w:rPr>
          <w:rFonts w:ascii="Times New Roman" w:hAnsi="Times New Roman"/>
          <w:color w:val="000000"/>
        </w:rPr>
      </w:pPr>
      <w:r>
        <w:rPr>
          <w:rFonts w:ascii="Times New Roman" w:hAnsi="Times New Roman"/>
          <w:color w:val="000000"/>
        </w:rPr>
        <w:t>La proposition FASTER introduit un certificat de résidence fiscale numérique à l’échelle de l’UE, deux procédures normalisées et rapides de retenue à la source — appelées système de dégrèvement à la source et de remboursement rapide — et une norme commune de déclaration. Elle vise donc à rationaliser les procédures par rapport à la mosaïque actuelle de réglementations sur les procédures de retenue à la source en vigueur dans l’ensemble de l’UE.</w:t>
      </w:r>
    </w:p>
    <w:p w14:paraId="344676E9" w14:textId="77777777" w:rsidR="00E654AF" w:rsidRDefault="00E654AF" w:rsidP="00E654AF">
      <w:pPr>
        <w:spacing w:after="120"/>
        <w:rPr>
          <w:color w:val="000000"/>
        </w:rPr>
      </w:pPr>
      <w:r>
        <w:rPr>
          <w:rFonts w:ascii="Times New Roman" w:hAnsi="Times New Roman"/>
          <w:color w:val="000000"/>
        </w:rPr>
        <w:t>En ce qui concerne les cas Cum/Ex et Cum/Cum qui ont touché plusieurs États membres, il convient de noter que l’un des principaux objectifs de la présente proposition est d’améliorer la panoplie d’outils des États membres contre les pratiques fiscales abusives dans l’UE. La norme commune de déclaration donnera aux administrations fiscales une indication sur qui a droit à quel taux de retenue à la source. En outre, la proposition prévoit des garanties spécifiques et des exigences supplémentaires en matière d’information en ce qui concerne les régimes abusifs communs, tels que l’exclusion des contribuables des procédures accélérées lorsqu’ils ont acquis les actions dans les deux jours suivant la date de détachement du dividende ou lorsqu’ils ont conclu des accords financiers liés aux actions sous-jacentes.</w:t>
      </w:r>
    </w:p>
    <w:p w14:paraId="0E4CA542" w14:textId="1C0DB241" w:rsidR="00E654AF" w:rsidRDefault="00E654AF" w:rsidP="00E654AF">
      <w:pPr>
        <w:spacing w:after="120"/>
        <w:rPr>
          <w:rFonts w:ascii="Times New Roman" w:hAnsi="Times New Roman"/>
          <w:b/>
          <w:color w:val="000000"/>
        </w:rPr>
      </w:pPr>
      <w:r>
        <w:rPr>
          <w:rFonts w:ascii="Times New Roman" w:hAnsi="Times New Roman"/>
          <w:b/>
          <w:color w:val="000000"/>
        </w:rPr>
        <w:lastRenderedPageBreak/>
        <w:t>Sur les mesures législatives nécessaires pour garantir la sécurité juridique et l’équité fiscale pour les travailleurs frontaliers et les travailleurs indépendants dans l’UE, ainsi que la concurrence potentiellement dommageable dans le domaine des régimes préférentiels en matière d’imposition du revenu des personnes physiques, visant à attirer les «nomades numériques» et les personnes fortunées étrangères, ainsi que la demande d’évaluer leur incidence (paragraphes 45 à 51)</w:t>
      </w:r>
    </w:p>
    <w:p w14:paraId="2D6C9BEF" w14:textId="77777777" w:rsidR="00E654AF" w:rsidRDefault="00E654AF" w:rsidP="00E654AF">
      <w:pPr>
        <w:pStyle w:val="paragraph"/>
        <w:spacing w:before="0" w:beforeAutospacing="0" w:after="120" w:afterAutospacing="0"/>
        <w:jc w:val="both"/>
        <w:textAlignment w:val="baseline"/>
        <w:rPr>
          <w:rStyle w:val="eop"/>
          <w:color w:val="000000"/>
        </w:rPr>
      </w:pPr>
      <w:r>
        <w:rPr>
          <w:color w:val="000000"/>
        </w:rPr>
        <w:t xml:space="preserve">La Commission suit de près l’évolution récente en matière de régimes d’impôt sur le revenu des personnes physiques et de concurrence fiscale. La Commission examine avec les États membres des sujets allant des régimes de résidence et de citoyenneté par investissement aux législations nouvelles et existantes mettant en œuvre des allègements fiscaux pour attirer les personnes fortunées, les personnes hautement qualifiées et les nomades numériques. Pour lutter contre les pratiques fiscales dommageables dans le domaine de l’impôt sur le revenu des personnes physiques, la Commission avait déjà proposé d’étendre le champ d’application du code de conduite dans le domaine de la fiscalité des entreprises afin d’y inclure des règles spécifiques concernant la résidence fiscale, les régimes spéciaux de citoyenneté et les mesures visant à attirer les expatriés ou les personnes fortunées. Ces propositions n’ont pas été reprises par le groupe «Code de conduite» lors des discussions sur la réforme du mandat du code de conduite. </w:t>
      </w:r>
      <w:r>
        <w:rPr>
          <w:rStyle w:val="normaltextrun"/>
          <w:color w:val="000000"/>
        </w:rPr>
        <w:t>Compte tenu des lacunes dans les connaissances en la matière, les services de la Commission saluent le programme de travail de l’Observatoire européen de la fiscalité et ont suivi l’étude intitulée «Nouvelles formes de concurrence fiscale dans l’Union européenne», qui a été publiée en novembre 2021. Les services de la Commission ont publié l’édition 2023 du rapport annuel sur la fiscalité, qui analyse les systèmes fiscaux des États membres. L’édition 2023 comprend une section spécifique sur les «régimes de résidence non habituelle» dans l’UE, qui entraînent des traitements différents pour des groupes de population similaires et peuvent éroder la base d’imposition de certains États membres.</w:t>
      </w:r>
    </w:p>
    <w:p w14:paraId="3AA6FA30" w14:textId="77777777" w:rsidR="00E654AF" w:rsidRDefault="00E654AF" w:rsidP="00E654AF">
      <w:pPr>
        <w:pStyle w:val="paragraph"/>
        <w:spacing w:before="0" w:beforeAutospacing="0" w:after="120" w:afterAutospacing="0"/>
        <w:jc w:val="both"/>
        <w:textAlignment w:val="baseline"/>
        <w:rPr>
          <w:color w:val="000000"/>
        </w:rPr>
      </w:pPr>
      <w:r>
        <w:rPr>
          <w:color w:val="000000"/>
        </w:rPr>
        <w:t>La Commission discute avec les États membres et d’autres parties prenantes de l’incidence du télétravail pour les travailleurs transfrontaliers sur l’attribution des droits à l’impôt sur le revenu des personnes physiques et de la résidence fiscale dans l’UE afin de trouver des solutions qui éliminent les distorsions sur le marché intérieur.</w:t>
      </w:r>
    </w:p>
    <w:p w14:paraId="32D8DF87" w14:textId="77777777" w:rsidR="00E654AF" w:rsidRDefault="00E654AF" w:rsidP="00E654AF">
      <w:pPr>
        <w:pStyle w:val="paragraph"/>
        <w:spacing w:before="0" w:beforeAutospacing="0" w:after="120" w:afterAutospacing="0"/>
        <w:jc w:val="both"/>
        <w:textAlignment w:val="baseline"/>
        <w:rPr>
          <w:color w:val="000000"/>
        </w:rPr>
      </w:pPr>
      <w:r>
        <w:rPr>
          <w:color w:val="000000"/>
        </w:rPr>
        <w:t>Enfin, par son rôle dans le contexte des infractions en tant que gardienne des traités, la Commission s’attaque régulièrement aux situations dans lesquelles les travailleurs frontaliers non résidents font l’objet d’une discrimination de la part des États membres dans le domaine de la fiscalité directe, contribuant ainsi à la sécurité juridique et à l’équité fiscale pour les citoyens qui font usage des droits à la libre circulation que leur confère le traité.</w:t>
      </w:r>
    </w:p>
    <w:p w14:paraId="4503FA96"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l’imposition des plus-values dans le cadre de l’OCDE et du cadre inclusif (paragraphes 52 et 53)</w:t>
      </w:r>
    </w:p>
    <w:p w14:paraId="44B11D57"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La Commission joue un rôle actif au sein de l’OCDE et du cadre inclusif OCDE/G20 sur tous les dossiers fiscaux pertinents. Il convient de noter que l’imposition des plus-values n’est qu’un élément de la vaste catégorie de l’imposition des revenus du capital et qu’elle devrait être envisagée dans le contexte du bouquet fiscal au sens large. </w:t>
      </w:r>
    </w:p>
    <w:p w14:paraId="59BF6C12" w14:textId="77777777" w:rsidR="00E654AF" w:rsidRDefault="00E654AF" w:rsidP="00E654AF">
      <w:pPr>
        <w:spacing w:after="120"/>
        <w:rPr>
          <w:rFonts w:ascii="Times New Roman" w:hAnsi="Times New Roman"/>
          <w:b/>
          <w:color w:val="000000"/>
        </w:rPr>
      </w:pPr>
      <w:r>
        <w:rPr>
          <w:rFonts w:ascii="Times New Roman" w:hAnsi="Times New Roman"/>
          <w:b/>
          <w:color w:val="000000"/>
        </w:rPr>
        <w:t>Sur la liste de l’UE des pays et territoires non coopératifs à des fins fiscales (paragraphes 40, 52, 68, 72 à 79 et 86)</w:t>
      </w:r>
    </w:p>
    <w:p w14:paraId="1FA1C3BC" w14:textId="77777777" w:rsidR="00E654AF" w:rsidRDefault="00E654AF" w:rsidP="00E654AF">
      <w:pPr>
        <w:spacing w:after="120"/>
        <w:rPr>
          <w:rFonts w:ascii="Times New Roman" w:hAnsi="Times New Roman"/>
          <w:color w:val="000000"/>
          <w:szCs w:val="24"/>
        </w:rPr>
      </w:pPr>
      <w:r>
        <w:rPr>
          <w:rFonts w:ascii="Times New Roman" w:hAnsi="Times New Roman"/>
          <w:color w:val="000000"/>
        </w:rPr>
        <w:t xml:space="preserve">Les travaux du groupe «Code de conduite» de l’UE, en raison de sa nature intergouvernementale, sont menés conformément au mandat donné par les ministres des finances de l’UE. </w:t>
      </w:r>
    </w:p>
    <w:p w14:paraId="1BDECAEE" w14:textId="77777777" w:rsidR="00E654AF" w:rsidRDefault="00E654AF" w:rsidP="00E654AF">
      <w:pPr>
        <w:spacing w:after="120"/>
        <w:rPr>
          <w:rFonts w:ascii="Times New Roman" w:hAnsi="Times New Roman"/>
          <w:color w:val="000000"/>
          <w:szCs w:val="24"/>
        </w:rPr>
      </w:pPr>
      <w:r>
        <w:rPr>
          <w:rFonts w:ascii="Times New Roman" w:hAnsi="Times New Roman"/>
          <w:color w:val="000000"/>
        </w:rPr>
        <w:t xml:space="preserve">Le président du groupe est régulièrement invité au Parlement européen à l’informer des progrès accomplis par le groupe et des informations détaillées sur les résultats des travaux du groupe sont mises à la disposition du public sur le site web du Conseil. La Commission </w:t>
      </w:r>
      <w:r>
        <w:rPr>
          <w:rFonts w:ascii="Times New Roman" w:hAnsi="Times New Roman"/>
          <w:color w:val="000000"/>
        </w:rPr>
        <w:lastRenderedPageBreak/>
        <w:t>continuera de soutenir autant que possible la transparence et la responsabilité en ce qui concerne la liste de l’UE.</w:t>
      </w:r>
    </w:p>
    <w:p w14:paraId="4D1BD8D0" w14:textId="77777777" w:rsidR="00E654AF" w:rsidRDefault="00E654AF" w:rsidP="00E654AF">
      <w:pPr>
        <w:spacing w:after="120"/>
        <w:rPr>
          <w:rFonts w:ascii="Times New Roman" w:hAnsi="Times New Roman"/>
          <w:color w:val="000000"/>
        </w:rPr>
      </w:pPr>
      <w:r>
        <w:rPr>
          <w:rFonts w:ascii="Times New Roman" w:hAnsi="Times New Roman"/>
          <w:color w:val="000000"/>
        </w:rPr>
        <w:t>La Commission convient que les critères de la liste de l’UE devraient rester à jour et ambitieux, évoluer davantage pour tenir compte des dernières évolutions de la situation internationale en matière de lutte contre l’évasion et la fraude fiscales et, le cas échéant, des approches adoptées par les États membres pour inscrire les pays et territoires de pays tiers sur la liste. Ces critères ont été renforcés récemment, conformément à l’évolution des normes fiscales internationales. En particulier, depuis 2021 et 2022 respectivement, le groupe «Code de conduite»  exige la mise en œuvre de la norme minimale mondiale en matière de déclaration pays par pays (DPPP, critère 3.2 de la liste de l’UE), en tenant compte des recommandations formulées par le cadre inclusif G20/OCDE dans les rapports d’examen par les pairs sur la DPPP, ainsi que de la mise en œuvre de l’échange automatique d’informations (critère 1.1), en tenant compte des qualifications juridiques contenues dans les examens par les pairs publiés par le Forum mondial. Il existe également une transparence accrue et un examen plus approfondi dans le cadre de la liste de l’UE des juridictions à fiscalité nulle ou quasi nulle.</w:t>
      </w:r>
    </w:p>
    <w:p w14:paraId="405980EC" w14:textId="77777777" w:rsidR="00E654AF" w:rsidRDefault="00E654AF" w:rsidP="00E654AF">
      <w:pPr>
        <w:spacing w:after="120"/>
        <w:rPr>
          <w:rFonts w:ascii="Times New Roman" w:hAnsi="Times New Roman"/>
          <w:i/>
          <w:iCs/>
          <w:color w:val="000000"/>
        </w:rPr>
      </w:pPr>
      <w:r>
        <w:rPr>
          <w:rFonts w:ascii="Times New Roman" w:hAnsi="Times New Roman"/>
          <w:color w:val="000000"/>
        </w:rPr>
        <w:t xml:space="preserve">Afin de tirer parti des enseignements tirés des révélations des médias dans l’affaire des «Pandora Papers», les services de la Commission ont également proposé, début 2023, une nouvelle approche des informations sur les bénéficiaires effectifs. Sur la base de cette proposition, le groupe «Code de conduite» a repris ses discussions sur le futur critère de transparence, attendu depuis longtemps, de la liste de l’UE. </w:t>
      </w:r>
    </w:p>
    <w:p w14:paraId="44B3C403" w14:textId="77777777" w:rsidR="00E654AF" w:rsidRDefault="00E654AF" w:rsidP="00E654AF">
      <w:pPr>
        <w:spacing w:after="120"/>
        <w:rPr>
          <w:rFonts w:ascii="Times New Roman" w:hAnsi="Times New Roman"/>
          <w:color w:val="000000"/>
        </w:rPr>
      </w:pPr>
      <w:r>
        <w:rPr>
          <w:rFonts w:ascii="Times New Roman" w:hAnsi="Times New Roman"/>
          <w:color w:val="000000"/>
        </w:rPr>
        <w:t>Les recettes provenant de l’UE mais échappant à l’imposition au moyen d’une fiscalité nulle ou quasi nulle constituent une source de préoccupation à laquelle il convient de remédier. C’est pourquoi, dès le début du processus d’inscription sur la liste de l’UE, les juridictions à fiscalité nulle ont été évaluées pour déterminer si leur système d’imposition des sociétés peut être utilisé à des fins de planification fiscale agressive et ont demandé, si nécessaire, d’introduire des exigences de substance pour certaines entités qui y sont établies. Des évaluations négatives de la mise en œuvre des exigences de substance conduisent à l’inscription à l’annexe 1 de la liste de l’UE des pays et territoires non coopératifs à des fins fiscales.</w:t>
      </w:r>
    </w:p>
    <w:p w14:paraId="3F737E9B" w14:textId="77777777" w:rsidR="00E654AF" w:rsidRDefault="00E654AF" w:rsidP="00E654AF">
      <w:pPr>
        <w:spacing w:after="120"/>
        <w:rPr>
          <w:rFonts w:ascii="Times New Roman" w:hAnsi="Times New Roman"/>
          <w:color w:val="000000"/>
        </w:rPr>
      </w:pPr>
      <w:r>
        <w:rPr>
          <w:rFonts w:ascii="Times New Roman" w:hAnsi="Times New Roman"/>
          <w:color w:val="000000"/>
        </w:rPr>
        <w:t>Les régimes de remplacement des régimes fiscaux dommageables abrogés ou modifiés, y compris par un régime d’exonération des revenus de source étrangère (FSIE), sont également évalués. En conséquence, tous les régimes de FSIE dans les pays tiers qui entrent dans le champ d’application de la liste de l’UE ont été modifiés pour les rendre conformes au critère d’imposition équitable de l’UE ou sont en cours de modification. Ces modifications visent à garantir que les entités bénéficiant d’une exonération fiscale sur les éléments de revenus passifs d’origine étrangère respectent des exigences strictes en matière de substance économique et des règles anti-abus.</w:t>
      </w:r>
    </w:p>
    <w:p w14:paraId="4CCCE024"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En 2017, le groupe «Code de conduite» a adopté des orientations sur les mesures de défense fiscale à l’égard des pays et territoires figurant à l’annexe I de la liste de l’UE des pays et territoires non coopératifs à des fins fiscales, qui a été révisée en 2019. Toutefois, le niveau de coordination des mesures de défense fiscale peut être renforcé, tandis que la clarté sur la question de savoir si et comment les mesures de défense fiscale sont effectivement appliquées par les États membres dans la pratique peut être améliorée. C’est pourquoi la Commission collabore avec le groupe «Code de conduite» pour mettre en place un processus de suivi au niveau de l’UE. </w:t>
      </w:r>
    </w:p>
    <w:p w14:paraId="6ABFAB21" w14:textId="77777777" w:rsidR="00E654AF" w:rsidRDefault="00E654AF" w:rsidP="00E654AF">
      <w:pPr>
        <w:keepNext/>
        <w:keepLines/>
        <w:spacing w:after="120"/>
        <w:rPr>
          <w:rFonts w:ascii="Times New Roman" w:hAnsi="Times New Roman"/>
          <w:b/>
          <w:bCs/>
          <w:color w:val="000000"/>
        </w:rPr>
      </w:pPr>
      <w:r>
        <w:rPr>
          <w:rFonts w:ascii="Times New Roman" w:hAnsi="Times New Roman"/>
          <w:b/>
          <w:color w:val="000000"/>
        </w:rPr>
        <w:lastRenderedPageBreak/>
        <w:t>Sur l’unanimité en matière fiscale (paragraphe 85)</w:t>
      </w:r>
    </w:p>
    <w:p w14:paraId="5614F9F6" w14:textId="77777777" w:rsidR="00E654AF" w:rsidRDefault="00E654AF" w:rsidP="00E654AF">
      <w:pPr>
        <w:keepNext/>
        <w:keepLines/>
        <w:spacing w:after="120"/>
        <w:rPr>
          <w:rFonts w:ascii="Times New Roman" w:hAnsi="Times New Roman"/>
          <w:color w:val="000000"/>
        </w:rPr>
      </w:pPr>
      <w:r>
        <w:rPr>
          <w:rFonts w:ascii="Times New Roman" w:hAnsi="Times New Roman"/>
          <w:color w:val="000000"/>
        </w:rPr>
        <w:t xml:space="preserve">Depuis le début de son mandat, la Commission actuelle s’est engagée à faire pleinement usage des clauses des traités qui permettent d’adopter des propositions en matière de fiscalité par codécision et par vote à la majorité qualifiée. </w:t>
      </w:r>
    </w:p>
    <w:p w14:paraId="7DC63E8F" w14:textId="77777777" w:rsidR="00E654AF" w:rsidRDefault="00E654AF" w:rsidP="00E654AF">
      <w:pPr>
        <w:spacing w:after="120"/>
        <w:rPr>
          <w:rFonts w:ascii="Times New Roman" w:hAnsi="Times New Roman"/>
          <w:color w:val="000000"/>
        </w:rPr>
      </w:pPr>
      <w:r>
        <w:rPr>
          <w:rFonts w:ascii="Times New Roman" w:hAnsi="Times New Roman"/>
          <w:color w:val="000000"/>
        </w:rPr>
        <w:t>La Commission continuera d’évaluer et de recenser les moyens de faciliter la prise de décision et de la rendre plus efficace.</w:t>
      </w:r>
    </w:p>
    <w:p w14:paraId="395AFF3E" w14:textId="77777777" w:rsidR="00E654AF" w:rsidRDefault="00E654AF" w:rsidP="00E654AF">
      <w:pPr>
        <w:spacing w:after="120"/>
        <w:rPr>
          <w:rFonts w:ascii="Times New Roman" w:hAnsi="Times New Roman"/>
          <w:b/>
          <w:bCs/>
          <w:color w:val="000000"/>
        </w:rPr>
      </w:pPr>
      <w:r>
        <w:rPr>
          <w:rFonts w:ascii="Times New Roman" w:hAnsi="Times New Roman"/>
          <w:b/>
          <w:color w:val="000000"/>
        </w:rPr>
        <w:t>Sur la lutte contre le blanchiment de capitaux et le financement du terrorisme (paragraphes 54, 55 et 58 à 65)</w:t>
      </w:r>
    </w:p>
    <w:p w14:paraId="72FEBAC6" w14:textId="77777777" w:rsidR="00E654AF" w:rsidRDefault="00E654AF" w:rsidP="00E654AF">
      <w:pPr>
        <w:spacing w:after="120"/>
        <w:rPr>
          <w:rFonts w:ascii="Times New Roman" w:hAnsi="Times New Roman"/>
          <w:color w:val="000000"/>
        </w:rPr>
      </w:pPr>
      <w:r>
        <w:rPr>
          <w:rFonts w:ascii="Times New Roman" w:hAnsi="Times New Roman"/>
          <w:color w:val="000000"/>
        </w:rPr>
        <w:t>La Commission partage le point de vue selon lequel le secteur immobilier est exposé à des risques très élevés de blanchiment de capitaux, comme indiqué également dans la dernière évaluation supranationale des risques. Afin d’atténuer ces risques, la Commission a proposé, dans le train de mesures de 2021 sur la lutte contre le blanchiment de capitaux et le financement du terrorisme (LBC/FT), d’exiger des entités juridiques étrangères qui possèdent des biens immobiliers dans l’UE qu’elles enregistrent leurs bénéficiaires effectifs et d’accorder aux autorités compétentes un accès aux informations financières relatives aux biens immobiliers qui leur permettraient d’analyser, d’enquêter et de poursuivre les cas potentiels d’utilisation abusive des fonds à des fins délictueuses dans ce secteur.</w:t>
      </w:r>
    </w:p>
    <w:p w14:paraId="3150222F" w14:textId="77777777" w:rsidR="00E654AF" w:rsidRDefault="00E654AF" w:rsidP="00E654AF">
      <w:pPr>
        <w:spacing w:after="120"/>
        <w:rPr>
          <w:rFonts w:ascii="Times New Roman" w:hAnsi="Times New Roman"/>
          <w:color w:val="000000"/>
        </w:rPr>
      </w:pPr>
      <w:r>
        <w:rPr>
          <w:rFonts w:ascii="Times New Roman" w:hAnsi="Times New Roman"/>
          <w:color w:val="000000"/>
        </w:rPr>
        <w:t>La Commission partage le point de vue selon lequel une des principales difficultés recensée pour l’application de la directive (UE) 2015/849 relative à la prévention de l’utilisation du système financier aux fins du blanchiment de capitaux ou du financement du terrorisme est l’absence d’applicabilité directe de ces règles et la fragmentation résultant de mises en œuvre nationales divergentes. Pour y remédier, la Commission a adopté en juillet 2021 un ensemble complet de propositions législatives visant à renforcer les règles de l’UE en matière de lutte contre le blanchiment de capitaux et le financement du terrorisme. Ce train de mesures, actuellement en cours de négociation avec les colégislateurs, comprend un nouveau règlement qui contient des règles directement applicables, y compris les domaines de la vigilance à l’égard de la clientèle et des bénéficiaires effectifs. Il prévoit également la création d’une nouvelle autorité de l’UE en matière de lutte contre le blanchiment de capitaux qui garantira une surveillance cohérente de la lutte contre le blanchiment de capitaux et le financement du terrorisme dans l’UE et renforcera la coopération entre les cellules de renseignement financier (CRF) de l’UE.</w:t>
      </w:r>
    </w:p>
    <w:p w14:paraId="6A3C4069" w14:textId="77777777" w:rsidR="00E654AF" w:rsidRDefault="00E654AF" w:rsidP="00E654AF">
      <w:pPr>
        <w:spacing w:after="120"/>
        <w:rPr>
          <w:rFonts w:ascii="Times New Roman" w:hAnsi="Times New Roman"/>
          <w:color w:val="000000"/>
        </w:rPr>
      </w:pPr>
      <w:r>
        <w:rPr>
          <w:rFonts w:ascii="Times New Roman" w:hAnsi="Times New Roman"/>
          <w:color w:val="000000"/>
        </w:rPr>
        <w:t>La Commission rappelle l’utilisation qui a été faite de sa méthode révisée pour recenser les pays tiers à haut risque au titre de la directive (UE) 2015/849. La méthodologie a tenu compte des décisions relatives aux inscriptions et aux déréférencements qui ont été prises par les sessions plénières du Groupe d’action financière (GAFI) dans le cadre du règlement délégué (UE) 2022/229, du règlement délégué (UE) 2023/410 et du règlement délégué (UE) 2023/1219. Dans le même temps, la méthode maintient la possibilité de répertorier les juridictions de pays tiers de manière autonome si des manquements stratégiques devaient être constatés.</w:t>
      </w:r>
    </w:p>
    <w:p w14:paraId="247FE618" w14:textId="77777777" w:rsidR="00E654AF" w:rsidRDefault="00E654AF" w:rsidP="00E654AF">
      <w:pPr>
        <w:spacing w:after="120"/>
        <w:rPr>
          <w:rFonts w:ascii="Times New Roman" w:hAnsi="Times New Roman"/>
          <w:color w:val="000000"/>
        </w:rPr>
      </w:pPr>
      <w:r>
        <w:rPr>
          <w:rFonts w:ascii="Times New Roman" w:hAnsi="Times New Roman"/>
          <w:color w:val="000000"/>
        </w:rPr>
        <w:t>La Commission convient que l’accès des autorités compétentes aux informations pertinentes est essentiel pour leur permettre de s’acquitter efficacement de leurs tâches. À cette fin, la Commission a prévu des approches plus harmonisées en ce qui concerne les informations administratives, financières et répressives auxquelles les cellules de renseignement financier peuvent avoir accès pour effectuer des analyses financières. Une approche similaire a été adoptée afin de permettre aux bureaux de recouvrement des avoirs de repérer et de localiser efficacement les avoirs.</w:t>
      </w:r>
    </w:p>
    <w:p w14:paraId="59AAFA6A" w14:textId="77777777" w:rsidR="00E654AF" w:rsidRDefault="00E654AF" w:rsidP="00E654AF">
      <w:pPr>
        <w:spacing w:after="120"/>
        <w:rPr>
          <w:rFonts w:ascii="Times New Roman" w:hAnsi="Times New Roman"/>
          <w:color w:val="000000"/>
        </w:rPr>
      </w:pPr>
      <w:r>
        <w:rPr>
          <w:rFonts w:ascii="Times New Roman" w:hAnsi="Times New Roman"/>
          <w:color w:val="000000"/>
        </w:rPr>
        <w:t xml:space="preserve">La Commission rappelle que la publication de la première version du système d’interconnexion des registres de bénéficiaires effectifs (BORIS) en octobre 2021 a constitué une étape importante dans les travaux d’interconnexion, qui ont principalement démontré que le système était prêt à créer des «liens» efficaces avec les registres nationaux. </w:t>
      </w:r>
      <w:r>
        <w:rPr>
          <w:rFonts w:ascii="Times New Roman" w:hAnsi="Times New Roman"/>
          <w:color w:val="000000"/>
        </w:rPr>
        <w:lastRenderedPageBreak/>
        <w:t>Depuis cette première publication, plusieurs autres étapes ont été franchies et le système permet désormais aux autorités compétentes d’y accéder. Toutefois, avant que les autorités compétentes des États membres puissent accéder aux informations par l’intermédiaire de BORIS, tous les États membres doivent achever la mise au point et les essais de leur côté afin d’autoriser leurs propres autorités compétentes et de restituer les informations sur les bénéficiaires effectifs aux autorités compétentes d’autres États membres. La Commission rappelle que l’interconnexion est un processus juridique et technique complexe qui nécessite des efforts continus tant de la part des États membres que de la Commission.</w:t>
      </w:r>
    </w:p>
    <w:p w14:paraId="0F558A3B" w14:textId="547C3085" w:rsidR="00E654AF" w:rsidRDefault="00E654AF" w:rsidP="00E654AF">
      <w:pPr>
        <w:spacing w:after="120"/>
        <w:rPr>
          <w:rFonts w:ascii="Times New Roman" w:hAnsi="Times New Roman"/>
          <w:color w:val="000000"/>
        </w:rPr>
      </w:pPr>
      <w:r>
        <w:rPr>
          <w:rFonts w:ascii="Times New Roman" w:hAnsi="Times New Roman"/>
          <w:color w:val="000000"/>
        </w:rPr>
        <w:t>La Commission partage l’avis selon lequel la révision de la recommandation 24 concernant la transparence des informations sur les bénéficiaires effectifs des personnes morales par le Groupe d’action financière (GAFI) a constitué un pas positif dans la bonne direction. En outre, la Commission note que la révision de la recommandation 25 sur la transparence des bénéficiaires effectifs des constructions juridiques a été adoptée en février 2023, ce qui renforcera la transparence des constructions juridiques. Bien que la Commission ait espéré une approche plus ambitieuse pour la révision de ces recommandations, la Commission rappelle que la législation de l’UE dans ces deux domaines est déjà plus avancée et exige que les informations sur les bénéficiaires effectifs des personnes morales et des constructions juridiques soient conservées dans un registre.</w:t>
      </w:r>
    </w:p>
    <w:p w14:paraId="59139326" w14:textId="5FA4A51D" w:rsidR="0094193F" w:rsidRPr="00E654AF" w:rsidRDefault="00E654AF" w:rsidP="00E654AF">
      <w:r>
        <w:rPr>
          <w:rFonts w:ascii="Times New Roman" w:hAnsi="Times New Roman"/>
          <w:color w:val="000000"/>
        </w:rPr>
        <w:t>Enfin, immédiatement après le prononcé de l’arrêt rendu par la Cour de justice de l’Union européenne dans les affaires jointes C-37/20 et C-601/20 du 22 novembre 2022, la Commission a fait part de son intention de le mettre pleinement en œuvre et de collaborer avec les États membres à cette fin. La Commission a également fait part de sa volonté d’assister le Parlement européen et le Conseil dans les négociations de la future directive sur la lutte contre le blanchiment de capitaux afin de garantir la mise en œuvre de l’accès du public aux informations sur les bénéficiaires effectifs conformément à l’arrêt de la Cour.</w:t>
      </w:r>
    </w:p>
    <w:sectPr w:rsidR="0094193F" w:rsidRPr="00E654AF"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FE6A" w14:textId="77777777" w:rsidR="005C3D63" w:rsidRDefault="005C3D63">
      <w:r>
        <w:separator/>
      </w:r>
    </w:p>
  </w:endnote>
  <w:endnote w:type="continuationSeparator" w:id="0">
    <w:p w14:paraId="362B35CF" w14:textId="77777777" w:rsidR="005C3D63" w:rsidRDefault="005C3D63">
      <w:r>
        <w:continuationSeparator/>
      </w:r>
    </w:p>
  </w:endnote>
  <w:endnote w:type="continuationNotice" w:id="1">
    <w:p w14:paraId="7748443D" w14:textId="77777777" w:rsidR="005C3D63" w:rsidRDefault="005C3D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872D" w14:textId="77777777" w:rsidR="002C540D" w:rsidRDefault="002C540D"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B1FC114" w14:textId="77777777" w:rsidR="002C540D" w:rsidRDefault="002C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E7C0" w14:textId="4D31C0F5" w:rsidR="002C540D" w:rsidRDefault="002C540D"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3659A018" w14:textId="77777777" w:rsidR="002C540D" w:rsidRPr="008A6623" w:rsidRDefault="002C540D"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4ECC" w14:textId="20005C58" w:rsidR="002C540D" w:rsidRDefault="002C540D"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7C2A687" w14:textId="77777777" w:rsidR="002C540D" w:rsidRDefault="002C540D"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20EF" w14:textId="77777777" w:rsidR="005C3D63" w:rsidRDefault="005C3D63">
      <w:r>
        <w:separator/>
      </w:r>
    </w:p>
  </w:footnote>
  <w:footnote w:type="continuationSeparator" w:id="0">
    <w:p w14:paraId="27E3091B" w14:textId="77777777" w:rsidR="005C3D63" w:rsidRDefault="005C3D63">
      <w:r>
        <w:continuationSeparator/>
      </w:r>
    </w:p>
  </w:footnote>
  <w:footnote w:type="continuationNotice" w:id="1">
    <w:p w14:paraId="180B7588" w14:textId="77777777" w:rsidR="005C3D63" w:rsidRDefault="005C3D63">
      <w:pPr>
        <w:spacing w:after="0"/>
      </w:pPr>
    </w:p>
  </w:footnote>
  <w:footnote w:id="2">
    <w:p w14:paraId="4A5F45C4" w14:textId="77777777" w:rsidR="00E654AF" w:rsidRDefault="00E654AF" w:rsidP="00E654AF">
      <w:pPr>
        <w:pStyle w:val="FootnoteText"/>
        <w:spacing w:after="0"/>
        <w:rPr>
          <w:rFonts w:ascii="Times New Roman" w:hAnsi="Times New Roman"/>
        </w:rPr>
      </w:pPr>
      <w:r>
        <w:rPr>
          <w:rStyle w:val="FootnoteReference"/>
        </w:rPr>
        <w:footnoteRef/>
      </w:r>
      <w:r>
        <w:rPr>
          <w:rFonts w:ascii="Times New Roman" w:hAnsi="Times New Roman"/>
        </w:rPr>
        <w:t xml:space="preserve"> </w:t>
      </w:r>
      <w:r>
        <w:tab/>
      </w:r>
      <w:r>
        <w:rPr>
          <w:rFonts w:ascii="Times New Roman" w:hAnsi="Times New Roman"/>
        </w:rPr>
        <w:t xml:space="preserve">Une initiative spécifique dans le cadre du programme d’action d’Addis-Abeba, qui promeut une mobilisation équitable et efficace des recettes nationales et qui s’engage à accroître ou maintenir un niveau élevé d’aide au développement pour les capacités fiscales et à promouvoir la cohérence des politiques au service du développement. Voir: </w:t>
      </w:r>
      <w:hyperlink r:id="rId1" w:history="1">
        <w:r>
          <w:rPr>
            <w:rStyle w:val="Hyperlink"/>
            <w:rFonts w:ascii="Times New Roman" w:hAnsi="Times New Roman"/>
          </w:rPr>
          <w:t>http://www.addistaxinitiative.net/</w:t>
        </w:r>
      </w:hyperlink>
    </w:p>
    <w:p w14:paraId="44045030" w14:textId="77777777" w:rsidR="00E654AF" w:rsidRPr="00326269" w:rsidRDefault="00E654AF" w:rsidP="00E654AF">
      <w:pPr>
        <w:pStyle w:val="FootnoteText"/>
        <w:spacing w:after="0"/>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93029"/>
    <w:multiLevelType w:val="hybridMultilevel"/>
    <w:tmpl w:val="9DF09A94"/>
    <w:lvl w:ilvl="0" w:tplc="FFFFFFFF">
      <w:start w:val="1"/>
      <w:numFmt w:val="decimal"/>
      <w:lvlText w:val="%1."/>
      <w:lvlJc w:val="left"/>
      <w:pPr>
        <w:ind w:left="1429" w:hanging="360"/>
      </w:pPr>
      <w:rPr>
        <w:b/>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E210839"/>
    <w:multiLevelType w:val="hybridMultilevel"/>
    <w:tmpl w:val="6F5823DC"/>
    <w:lvl w:ilvl="0" w:tplc="9A38F3C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662B51"/>
    <w:multiLevelType w:val="hybridMultilevel"/>
    <w:tmpl w:val="EC5AD32C"/>
    <w:lvl w:ilvl="0" w:tplc="97A8A532">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5"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B53327"/>
    <w:multiLevelType w:val="hybridMultilevel"/>
    <w:tmpl w:val="23B2BEAC"/>
    <w:lvl w:ilvl="0" w:tplc="FFFFFFFF">
      <w:start w:val="1"/>
      <w:numFmt w:val="bullet"/>
      <w:lvlText w:val="-"/>
      <w:lvlJc w:val="left"/>
      <w:pPr>
        <w:ind w:left="1080" w:hanging="360"/>
      </w:pPr>
      <w:rPr>
        <w:rFonts w:ascii="Times New Roman" w:hAnsi="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4"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27"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01951607">
    <w:abstractNumId w:val="6"/>
  </w:num>
  <w:num w:numId="2" w16cid:durableId="8726016">
    <w:abstractNumId w:val="1"/>
  </w:num>
  <w:num w:numId="3" w16cid:durableId="911506709">
    <w:abstractNumId w:val="27"/>
  </w:num>
  <w:num w:numId="4" w16cid:durableId="299384893">
    <w:abstractNumId w:val="12"/>
  </w:num>
  <w:num w:numId="5" w16cid:durableId="714427900">
    <w:abstractNumId w:val="23"/>
  </w:num>
  <w:num w:numId="6" w16cid:durableId="386075523">
    <w:abstractNumId w:val="8"/>
  </w:num>
  <w:num w:numId="7" w16cid:durableId="745147176">
    <w:abstractNumId w:val="5"/>
  </w:num>
  <w:num w:numId="8" w16cid:durableId="1698505936">
    <w:abstractNumId w:val="14"/>
  </w:num>
  <w:num w:numId="9" w16cid:durableId="1159807555">
    <w:abstractNumId w:val="26"/>
  </w:num>
  <w:num w:numId="10" w16cid:durableId="2094668399">
    <w:abstractNumId w:val="20"/>
  </w:num>
  <w:num w:numId="11" w16cid:durableId="246116581">
    <w:abstractNumId w:val="21"/>
  </w:num>
  <w:num w:numId="12" w16cid:durableId="859391682">
    <w:abstractNumId w:val="11"/>
  </w:num>
  <w:num w:numId="13" w16cid:durableId="1956905281">
    <w:abstractNumId w:val="15"/>
  </w:num>
  <w:num w:numId="14" w16cid:durableId="40638494">
    <w:abstractNumId w:val="24"/>
  </w:num>
  <w:num w:numId="15" w16cid:durableId="1534341211">
    <w:abstractNumId w:val="13"/>
  </w:num>
  <w:num w:numId="16" w16cid:durableId="236984988">
    <w:abstractNumId w:val="28"/>
  </w:num>
  <w:num w:numId="17" w16cid:durableId="1721053045">
    <w:abstractNumId w:val="25"/>
  </w:num>
  <w:num w:numId="18" w16cid:durableId="564218426">
    <w:abstractNumId w:val="18"/>
  </w:num>
  <w:num w:numId="19" w16cid:durableId="520902091">
    <w:abstractNumId w:val="19"/>
  </w:num>
  <w:num w:numId="20" w16cid:durableId="1438019258">
    <w:abstractNumId w:val="22"/>
  </w:num>
  <w:num w:numId="21" w16cid:durableId="615140588">
    <w:abstractNumId w:val="2"/>
  </w:num>
  <w:num w:numId="22" w16cid:durableId="2103791079">
    <w:abstractNumId w:val="3"/>
  </w:num>
  <w:num w:numId="23" w16cid:durableId="2100327282">
    <w:abstractNumId w:val="17"/>
  </w:num>
  <w:num w:numId="24" w16cid:durableId="1580486191">
    <w:abstractNumId w:val="16"/>
  </w:num>
  <w:num w:numId="25" w16cid:durableId="878662060">
    <w:abstractNumId w:val="10"/>
  </w:num>
  <w:num w:numId="26" w16cid:durableId="287318179">
    <w:abstractNumId w:val="9"/>
  </w:num>
  <w:num w:numId="27" w16cid:durableId="460921423">
    <w:abstractNumId w:val="9"/>
    <w:lvlOverride w:ilvl="0">
      <w:lvl w:ilvl="0" w:tplc="9A38F3C4">
        <w:start w:val="1"/>
        <w:numFmt w:val="upperRoman"/>
        <w:lvlText w:val="%1."/>
        <w:lvlJc w:val="left"/>
        <w:pPr>
          <w:ind w:left="1080" w:hanging="720"/>
        </w:pPr>
        <w:rPr>
          <w:rFonts w:hint="default"/>
        </w:rPr>
      </w:lvl>
    </w:lvlOverride>
    <w:lvlOverride w:ilvl="1">
      <w:lvl w:ilvl="1" w:tplc="080C0019" w:tentative="1">
        <w:start w:val="1"/>
        <w:numFmt w:val="lowerLetter"/>
        <w:lvlText w:val="%2."/>
        <w:lvlJc w:val="left"/>
        <w:pPr>
          <w:ind w:left="1440" w:hanging="360"/>
        </w:pPr>
      </w:lvl>
    </w:lvlOverride>
    <w:lvlOverride w:ilvl="2">
      <w:lvl w:ilvl="2" w:tplc="080C001B" w:tentative="1">
        <w:start w:val="1"/>
        <w:numFmt w:val="lowerRoman"/>
        <w:lvlText w:val="%3."/>
        <w:lvlJc w:val="right"/>
        <w:pPr>
          <w:ind w:left="2160" w:hanging="180"/>
        </w:pPr>
      </w:lvl>
    </w:lvlOverride>
    <w:lvlOverride w:ilvl="3">
      <w:lvl w:ilvl="3" w:tplc="080C000F" w:tentative="1">
        <w:start w:val="1"/>
        <w:numFmt w:val="decimal"/>
        <w:lvlText w:val="%4."/>
        <w:lvlJc w:val="left"/>
        <w:pPr>
          <w:ind w:left="2880" w:hanging="360"/>
        </w:pPr>
      </w:lvl>
    </w:lvlOverride>
    <w:lvlOverride w:ilvl="4">
      <w:lvl w:ilvl="4" w:tplc="080C0019" w:tentative="1">
        <w:start w:val="1"/>
        <w:numFmt w:val="lowerLetter"/>
        <w:lvlText w:val="%5."/>
        <w:lvlJc w:val="left"/>
        <w:pPr>
          <w:ind w:left="3600" w:hanging="360"/>
        </w:pPr>
      </w:lvl>
    </w:lvlOverride>
    <w:lvlOverride w:ilvl="5">
      <w:lvl w:ilvl="5" w:tplc="080C001B" w:tentative="1">
        <w:start w:val="1"/>
        <w:numFmt w:val="lowerRoman"/>
        <w:lvlText w:val="%6."/>
        <w:lvlJc w:val="right"/>
        <w:pPr>
          <w:ind w:left="4320" w:hanging="180"/>
        </w:pPr>
      </w:lvl>
    </w:lvlOverride>
    <w:lvlOverride w:ilvl="6">
      <w:lvl w:ilvl="6" w:tplc="080C000F" w:tentative="1">
        <w:start w:val="1"/>
        <w:numFmt w:val="decimal"/>
        <w:lvlText w:val="%7."/>
        <w:lvlJc w:val="left"/>
        <w:pPr>
          <w:ind w:left="5040" w:hanging="360"/>
        </w:pPr>
      </w:lvl>
    </w:lvlOverride>
    <w:lvlOverride w:ilvl="7">
      <w:lvl w:ilvl="7" w:tplc="080C0019" w:tentative="1">
        <w:start w:val="1"/>
        <w:numFmt w:val="lowerLetter"/>
        <w:lvlText w:val="%8."/>
        <w:lvlJc w:val="left"/>
        <w:pPr>
          <w:ind w:left="5760" w:hanging="360"/>
        </w:pPr>
      </w:lvl>
    </w:lvlOverride>
    <w:lvlOverride w:ilvl="8">
      <w:lvl w:ilvl="8" w:tplc="080C001B" w:tentative="1">
        <w:start w:val="1"/>
        <w:numFmt w:val="lowerRoman"/>
        <w:lvlText w:val="%9."/>
        <w:lvlJc w:val="right"/>
        <w:pPr>
          <w:ind w:left="6480" w:hanging="180"/>
        </w:pPr>
      </w:lvl>
    </w:lvlOverride>
  </w:num>
  <w:num w:numId="28" w16cid:durableId="40777271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817"/>
    <w:rsid w:val="00001CDC"/>
    <w:rsid w:val="000021E5"/>
    <w:rsid w:val="000023BA"/>
    <w:rsid w:val="000024E2"/>
    <w:rsid w:val="0000279C"/>
    <w:rsid w:val="00002CF6"/>
    <w:rsid w:val="000031B6"/>
    <w:rsid w:val="0000340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143"/>
    <w:rsid w:val="000061F3"/>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62D"/>
    <w:rsid w:val="00012EFD"/>
    <w:rsid w:val="000130BE"/>
    <w:rsid w:val="00013716"/>
    <w:rsid w:val="00013997"/>
    <w:rsid w:val="000139D8"/>
    <w:rsid w:val="00013D92"/>
    <w:rsid w:val="00013EE5"/>
    <w:rsid w:val="0001448B"/>
    <w:rsid w:val="000145A2"/>
    <w:rsid w:val="000146F4"/>
    <w:rsid w:val="000149EF"/>
    <w:rsid w:val="00014A71"/>
    <w:rsid w:val="00014CE1"/>
    <w:rsid w:val="0001500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CA8"/>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B05"/>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5E4"/>
    <w:rsid w:val="0002561D"/>
    <w:rsid w:val="00025D8A"/>
    <w:rsid w:val="00025EB9"/>
    <w:rsid w:val="000260DC"/>
    <w:rsid w:val="000261DA"/>
    <w:rsid w:val="0002630E"/>
    <w:rsid w:val="000265AD"/>
    <w:rsid w:val="000265DD"/>
    <w:rsid w:val="00026B29"/>
    <w:rsid w:val="00026CA1"/>
    <w:rsid w:val="00026D00"/>
    <w:rsid w:val="00026E21"/>
    <w:rsid w:val="0002725A"/>
    <w:rsid w:val="00027918"/>
    <w:rsid w:val="00027AA0"/>
    <w:rsid w:val="00030058"/>
    <w:rsid w:val="000300B4"/>
    <w:rsid w:val="00030676"/>
    <w:rsid w:val="00030996"/>
    <w:rsid w:val="00030E3E"/>
    <w:rsid w:val="000310AA"/>
    <w:rsid w:val="000310C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2C1"/>
    <w:rsid w:val="0003633B"/>
    <w:rsid w:val="00036B62"/>
    <w:rsid w:val="00037004"/>
    <w:rsid w:val="00037224"/>
    <w:rsid w:val="000372EF"/>
    <w:rsid w:val="0003737B"/>
    <w:rsid w:val="0003745C"/>
    <w:rsid w:val="0003758E"/>
    <w:rsid w:val="000375BA"/>
    <w:rsid w:val="00037990"/>
    <w:rsid w:val="00037AA2"/>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869"/>
    <w:rsid w:val="00042A8B"/>
    <w:rsid w:val="00042F4E"/>
    <w:rsid w:val="000434BD"/>
    <w:rsid w:val="000436A8"/>
    <w:rsid w:val="00043B7B"/>
    <w:rsid w:val="00043E36"/>
    <w:rsid w:val="000443C3"/>
    <w:rsid w:val="0004455F"/>
    <w:rsid w:val="00044806"/>
    <w:rsid w:val="00044A42"/>
    <w:rsid w:val="00044AA1"/>
    <w:rsid w:val="00044AB8"/>
    <w:rsid w:val="000454B2"/>
    <w:rsid w:val="00045738"/>
    <w:rsid w:val="000457EE"/>
    <w:rsid w:val="00045976"/>
    <w:rsid w:val="00045CE2"/>
    <w:rsid w:val="00045E41"/>
    <w:rsid w:val="00045F5F"/>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16D"/>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9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348"/>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08"/>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6D7E"/>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4F1"/>
    <w:rsid w:val="00072A56"/>
    <w:rsid w:val="00072D12"/>
    <w:rsid w:val="00072E6E"/>
    <w:rsid w:val="00072F6B"/>
    <w:rsid w:val="00073100"/>
    <w:rsid w:val="00073283"/>
    <w:rsid w:val="000732A8"/>
    <w:rsid w:val="00073445"/>
    <w:rsid w:val="0007349A"/>
    <w:rsid w:val="000735B6"/>
    <w:rsid w:val="000736A0"/>
    <w:rsid w:val="00073A3E"/>
    <w:rsid w:val="00073D03"/>
    <w:rsid w:val="0007403A"/>
    <w:rsid w:val="000744AE"/>
    <w:rsid w:val="000744BA"/>
    <w:rsid w:val="00074A10"/>
    <w:rsid w:val="00074BA2"/>
    <w:rsid w:val="00074D75"/>
    <w:rsid w:val="00074DB5"/>
    <w:rsid w:val="00074E52"/>
    <w:rsid w:val="00074FA3"/>
    <w:rsid w:val="000751AC"/>
    <w:rsid w:val="000752DB"/>
    <w:rsid w:val="00075595"/>
    <w:rsid w:val="0007575A"/>
    <w:rsid w:val="00075847"/>
    <w:rsid w:val="00075908"/>
    <w:rsid w:val="00075952"/>
    <w:rsid w:val="00075C60"/>
    <w:rsid w:val="00076DB6"/>
    <w:rsid w:val="00077252"/>
    <w:rsid w:val="000776B1"/>
    <w:rsid w:val="000776D8"/>
    <w:rsid w:val="000778BF"/>
    <w:rsid w:val="00077912"/>
    <w:rsid w:val="00077B88"/>
    <w:rsid w:val="00077BFB"/>
    <w:rsid w:val="00080063"/>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0F2"/>
    <w:rsid w:val="0008526A"/>
    <w:rsid w:val="00085484"/>
    <w:rsid w:val="000856F6"/>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45"/>
    <w:rsid w:val="00090EA4"/>
    <w:rsid w:val="000910D7"/>
    <w:rsid w:val="0009166A"/>
    <w:rsid w:val="000918B2"/>
    <w:rsid w:val="00091CE2"/>
    <w:rsid w:val="0009205D"/>
    <w:rsid w:val="00092407"/>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205"/>
    <w:rsid w:val="000A0424"/>
    <w:rsid w:val="000A05BC"/>
    <w:rsid w:val="000A06AB"/>
    <w:rsid w:val="000A077D"/>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1E2"/>
    <w:rsid w:val="000A44D4"/>
    <w:rsid w:val="000A4524"/>
    <w:rsid w:val="000A4554"/>
    <w:rsid w:val="000A4A38"/>
    <w:rsid w:val="000A4B74"/>
    <w:rsid w:val="000A508F"/>
    <w:rsid w:val="000A52E7"/>
    <w:rsid w:val="000A5446"/>
    <w:rsid w:val="000A544B"/>
    <w:rsid w:val="000A591E"/>
    <w:rsid w:val="000A5A20"/>
    <w:rsid w:val="000A5A43"/>
    <w:rsid w:val="000A5BE8"/>
    <w:rsid w:val="000A5D40"/>
    <w:rsid w:val="000A5DAF"/>
    <w:rsid w:val="000A6107"/>
    <w:rsid w:val="000A6195"/>
    <w:rsid w:val="000A64E1"/>
    <w:rsid w:val="000A6500"/>
    <w:rsid w:val="000A65ED"/>
    <w:rsid w:val="000A6ADD"/>
    <w:rsid w:val="000A6ECC"/>
    <w:rsid w:val="000A7121"/>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DA5"/>
    <w:rsid w:val="000B2FAD"/>
    <w:rsid w:val="000B307A"/>
    <w:rsid w:val="000B30CD"/>
    <w:rsid w:val="000B3373"/>
    <w:rsid w:val="000B3478"/>
    <w:rsid w:val="000B37E6"/>
    <w:rsid w:val="000B391F"/>
    <w:rsid w:val="000B3BA4"/>
    <w:rsid w:val="000B3BDA"/>
    <w:rsid w:val="000B3E6B"/>
    <w:rsid w:val="000B3FC1"/>
    <w:rsid w:val="000B414C"/>
    <w:rsid w:val="000B41C6"/>
    <w:rsid w:val="000B43C6"/>
    <w:rsid w:val="000B47A7"/>
    <w:rsid w:val="000B48FF"/>
    <w:rsid w:val="000B497E"/>
    <w:rsid w:val="000B4C66"/>
    <w:rsid w:val="000B4D57"/>
    <w:rsid w:val="000B4EBD"/>
    <w:rsid w:val="000B52D0"/>
    <w:rsid w:val="000B54AE"/>
    <w:rsid w:val="000B58B6"/>
    <w:rsid w:val="000B595A"/>
    <w:rsid w:val="000B5C5B"/>
    <w:rsid w:val="000B5FF0"/>
    <w:rsid w:val="000B607D"/>
    <w:rsid w:val="000B6139"/>
    <w:rsid w:val="000B61F1"/>
    <w:rsid w:val="000B641A"/>
    <w:rsid w:val="000B64EA"/>
    <w:rsid w:val="000B6551"/>
    <w:rsid w:val="000B66DF"/>
    <w:rsid w:val="000B67EE"/>
    <w:rsid w:val="000B6A5E"/>
    <w:rsid w:val="000B6D6D"/>
    <w:rsid w:val="000B70BC"/>
    <w:rsid w:val="000B739A"/>
    <w:rsid w:val="000B73B7"/>
    <w:rsid w:val="000B7631"/>
    <w:rsid w:val="000B776B"/>
    <w:rsid w:val="000B7910"/>
    <w:rsid w:val="000B7A0E"/>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9C"/>
    <w:rsid w:val="000C1EEB"/>
    <w:rsid w:val="000C1F70"/>
    <w:rsid w:val="000C2046"/>
    <w:rsid w:val="000C2A98"/>
    <w:rsid w:val="000C2CC9"/>
    <w:rsid w:val="000C2E50"/>
    <w:rsid w:val="000C3067"/>
    <w:rsid w:val="000C30DD"/>
    <w:rsid w:val="000C317E"/>
    <w:rsid w:val="000C323C"/>
    <w:rsid w:val="000C34E5"/>
    <w:rsid w:val="000C34F0"/>
    <w:rsid w:val="000C3512"/>
    <w:rsid w:val="000C3534"/>
    <w:rsid w:val="000C379E"/>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6CF3"/>
    <w:rsid w:val="000C71A3"/>
    <w:rsid w:val="000C728E"/>
    <w:rsid w:val="000C741E"/>
    <w:rsid w:val="000C755B"/>
    <w:rsid w:val="000C7600"/>
    <w:rsid w:val="000C7646"/>
    <w:rsid w:val="000C7708"/>
    <w:rsid w:val="000C77DC"/>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32"/>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640"/>
    <w:rsid w:val="000E68CA"/>
    <w:rsid w:val="000E690A"/>
    <w:rsid w:val="000E695D"/>
    <w:rsid w:val="000E699A"/>
    <w:rsid w:val="000E6FA8"/>
    <w:rsid w:val="000E702D"/>
    <w:rsid w:val="000E7187"/>
    <w:rsid w:val="000E719A"/>
    <w:rsid w:val="000E72A8"/>
    <w:rsid w:val="000E7303"/>
    <w:rsid w:val="000E75D1"/>
    <w:rsid w:val="000E7707"/>
    <w:rsid w:val="000E7C38"/>
    <w:rsid w:val="000E7FD0"/>
    <w:rsid w:val="000F0118"/>
    <w:rsid w:val="000F023F"/>
    <w:rsid w:val="000F0582"/>
    <w:rsid w:val="000F0603"/>
    <w:rsid w:val="000F08AF"/>
    <w:rsid w:val="000F0B16"/>
    <w:rsid w:val="000F0B77"/>
    <w:rsid w:val="000F1404"/>
    <w:rsid w:val="000F1480"/>
    <w:rsid w:val="000F1A32"/>
    <w:rsid w:val="000F1D40"/>
    <w:rsid w:val="000F1D43"/>
    <w:rsid w:val="000F21C5"/>
    <w:rsid w:val="000F24AC"/>
    <w:rsid w:val="000F2713"/>
    <w:rsid w:val="000F2788"/>
    <w:rsid w:val="000F2E1A"/>
    <w:rsid w:val="000F343E"/>
    <w:rsid w:val="000F3948"/>
    <w:rsid w:val="000F39AA"/>
    <w:rsid w:val="000F3B1E"/>
    <w:rsid w:val="000F3CF6"/>
    <w:rsid w:val="000F3D65"/>
    <w:rsid w:val="000F3F15"/>
    <w:rsid w:val="000F4058"/>
    <w:rsid w:val="000F41D3"/>
    <w:rsid w:val="000F4213"/>
    <w:rsid w:val="000F43EC"/>
    <w:rsid w:val="000F454E"/>
    <w:rsid w:val="000F46D8"/>
    <w:rsid w:val="000F47D5"/>
    <w:rsid w:val="000F48A0"/>
    <w:rsid w:val="000F49CB"/>
    <w:rsid w:val="000F49EA"/>
    <w:rsid w:val="000F4A60"/>
    <w:rsid w:val="000F4D76"/>
    <w:rsid w:val="000F4E7E"/>
    <w:rsid w:val="000F514F"/>
    <w:rsid w:val="000F52C9"/>
    <w:rsid w:val="000F54AD"/>
    <w:rsid w:val="000F59D4"/>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969"/>
    <w:rsid w:val="00101B5C"/>
    <w:rsid w:val="00101BA0"/>
    <w:rsid w:val="00101DA2"/>
    <w:rsid w:val="00101E67"/>
    <w:rsid w:val="00101ED4"/>
    <w:rsid w:val="001020E1"/>
    <w:rsid w:val="001021D2"/>
    <w:rsid w:val="00102311"/>
    <w:rsid w:val="0010247B"/>
    <w:rsid w:val="001026A3"/>
    <w:rsid w:val="001028DE"/>
    <w:rsid w:val="00102B0B"/>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324"/>
    <w:rsid w:val="0010440E"/>
    <w:rsid w:val="00104824"/>
    <w:rsid w:val="00104835"/>
    <w:rsid w:val="001048AE"/>
    <w:rsid w:val="00104CC5"/>
    <w:rsid w:val="00104E16"/>
    <w:rsid w:val="0010517D"/>
    <w:rsid w:val="0010525A"/>
    <w:rsid w:val="001053BA"/>
    <w:rsid w:val="001054F9"/>
    <w:rsid w:val="001055C5"/>
    <w:rsid w:val="0010582B"/>
    <w:rsid w:val="00105A47"/>
    <w:rsid w:val="00105ABA"/>
    <w:rsid w:val="00105C4F"/>
    <w:rsid w:val="00105C65"/>
    <w:rsid w:val="0010606B"/>
    <w:rsid w:val="0010634A"/>
    <w:rsid w:val="00106376"/>
    <w:rsid w:val="001069D6"/>
    <w:rsid w:val="00106D10"/>
    <w:rsid w:val="001070FD"/>
    <w:rsid w:val="00107244"/>
    <w:rsid w:val="0010748A"/>
    <w:rsid w:val="001074E6"/>
    <w:rsid w:val="00107718"/>
    <w:rsid w:val="0010780F"/>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3FB"/>
    <w:rsid w:val="00112486"/>
    <w:rsid w:val="00112539"/>
    <w:rsid w:val="00112579"/>
    <w:rsid w:val="00112A1C"/>
    <w:rsid w:val="00112ED5"/>
    <w:rsid w:val="00113072"/>
    <w:rsid w:val="001131C6"/>
    <w:rsid w:val="0011325C"/>
    <w:rsid w:val="0011381F"/>
    <w:rsid w:val="00113B42"/>
    <w:rsid w:val="00113E69"/>
    <w:rsid w:val="00113F1A"/>
    <w:rsid w:val="00114480"/>
    <w:rsid w:val="00114568"/>
    <w:rsid w:val="0011485F"/>
    <w:rsid w:val="001148C2"/>
    <w:rsid w:val="00114954"/>
    <w:rsid w:val="00114C21"/>
    <w:rsid w:val="00115048"/>
    <w:rsid w:val="00115521"/>
    <w:rsid w:val="0011582E"/>
    <w:rsid w:val="001158F2"/>
    <w:rsid w:val="00115B02"/>
    <w:rsid w:val="00115E85"/>
    <w:rsid w:val="001160F8"/>
    <w:rsid w:val="00116169"/>
    <w:rsid w:val="001162A0"/>
    <w:rsid w:val="001163D1"/>
    <w:rsid w:val="00116539"/>
    <w:rsid w:val="001166A1"/>
    <w:rsid w:val="00116766"/>
    <w:rsid w:val="00116823"/>
    <w:rsid w:val="00116AC9"/>
    <w:rsid w:val="00116B75"/>
    <w:rsid w:val="00116F65"/>
    <w:rsid w:val="001176DE"/>
    <w:rsid w:val="00117781"/>
    <w:rsid w:val="0011799C"/>
    <w:rsid w:val="00117E41"/>
    <w:rsid w:val="00117F86"/>
    <w:rsid w:val="00120043"/>
    <w:rsid w:val="00120230"/>
    <w:rsid w:val="00120411"/>
    <w:rsid w:val="00120713"/>
    <w:rsid w:val="0012079D"/>
    <w:rsid w:val="00120ADC"/>
    <w:rsid w:val="00120E34"/>
    <w:rsid w:val="00120E8D"/>
    <w:rsid w:val="0012121E"/>
    <w:rsid w:val="00121335"/>
    <w:rsid w:val="00121382"/>
    <w:rsid w:val="00121541"/>
    <w:rsid w:val="00121B5E"/>
    <w:rsid w:val="00121E93"/>
    <w:rsid w:val="00121EDE"/>
    <w:rsid w:val="00121F5D"/>
    <w:rsid w:val="00122266"/>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4F99"/>
    <w:rsid w:val="00125393"/>
    <w:rsid w:val="00125666"/>
    <w:rsid w:val="001257EB"/>
    <w:rsid w:val="0012594D"/>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82"/>
    <w:rsid w:val="00132DA0"/>
    <w:rsid w:val="00132E24"/>
    <w:rsid w:val="00132F4C"/>
    <w:rsid w:val="00132F88"/>
    <w:rsid w:val="001331B5"/>
    <w:rsid w:val="001332BB"/>
    <w:rsid w:val="001332DE"/>
    <w:rsid w:val="001334FF"/>
    <w:rsid w:val="001337ED"/>
    <w:rsid w:val="00133885"/>
    <w:rsid w:val="00133938"/>
    <w:rsid w:val="0013397A"/>
    <w:rsid w:val="00133BE8"/>
    <w:rsid w:val="00133FAD"/>
    <w:rsid w:val="00134114"/>
    <w:rsid w:val="001341EF"/>
    <w:rsid w:val="001341F9"/>
    <w:rsid w:val="001343DF"/>
    <w:rsid w:val="0013462F"/>
    <w:rsid w:val="0013494F"/>
    <w:rsid w:val="001349BA"/>
    <w:rsid w:val="00134AAE"/>
    <w:rsid w:val="00134DB4"/>
    <w:rsid w:val="00134E51"/>
    <w:rsid w:val="00134F5D"/>
    <w:rsid w:val="00134FA5"/>
    <w:rsid w:val="0013524C"/>
    <w:rsid w:val="001354C7"/>
    <w:rsid w:val="00135DC8"/>
    <w:rsid w:val="00135F3C"/>
    <w:rsid w:val="001361C2"/>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E09"/>
    <w:rsid w:val="00144F48"/>
    <w:rsid w:val="00145AB8"/>
    <w:rsid w:val="00145BBD"/>
    <w:rsid w:val="00145CA1"/>
    <w:rsid w:val="00145D7D"/>
    <w:rsid w:val="00145F7E"/>
    <w:rsid w:val="001463CA"/>
    <w:rsid w:val="00146572"/>
    <w:rsid w:val="00146971"/>
    <w:rsid w:val="00146B2D"/>
    <w:rsid w:val="00146DEA"/>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64E"/>
    <w:rsid w:val="001538A6"/>
    <w:rsid w:val="00153952"/>
    <w:rsid w:val="00153AD9"/>
    <w:rsid w:val="00153C3E"/>
    <w:rsid w:val="00153D76"/>
    <w:rsid w:val="00153F3C"/>
    <w:rsid w:val="001540D4"/>
    <w:rsid w:val="00154153"/>
    <w:rsid w:val="00154223"/>
    <w:rsid w:val="00154492"/>
    <w:rsid w:val="001545E0"/>
    <w:rsid w:val="00154908"/>
    <w:rsid w:val="00154E3C"/>
    <w:rsid w:val="00155050"/>
    <w:rsid w:val="001551C6"/>
    <w:rsid w:val="00155265"/>
    <w:rsid w:val="001559B7"/>
    <w:rsid w:val="00155DAE"/>
    <w:rsid w:val="0015615D"/>
    <w:rsid w:val="001561D4"/>
    <w:rsid w:val="00156301"/>
    <w:rsid w:val="001565BD"/>
    <w:rsid w:val="00156775"/>
    <w:rsid w:val="00156BB9"/>
    <w:rsid w:val="001572AC"/>
    <w:rsid w:val="00157383"/>
    <w:rsid w:val="0015754F"/>
    <w:rsid w:val="00157717"/>
    <w:rsid w:val="001577FE"/>
    <w:rsid w:val="00157826"/>
    <w:rsid w:val="001579BF"/>
    <w:rsid w:val="001579E7"/>
    <w:rsid w:val="00157B10"/>
    <w:rsid w:val="00157FEA"/>
    <w:rsid w:val="00160197"/>
    <w:rsid w:val="00160355"/>
    <w:rsid w:val="00160A74"/>
    <w:rsid w:val="00160B1A"/>
    <w:rsid w:val="00160EB3"/>
    <w:rsid w:val="0016111A"/>
    <w:rsid w:val="001616F0"/>
    <w:rsid w:val="00161826"/>
    <w:rsid w:val="00161B04"/>
    <w:rsid w:val="00161DD3"/>
    <w:rsid w:val="00162094"/>
    <w:rsid w:val="001623A4"/>
    <w:rsid w:val="001625B7"/>
    <w:rsid w:val="0016261F"/>
    <w:rsid w:val="001630F8"/>
    <w:rsid w:val="0016323F"/>
    <w:rsid w:val="00163676"/>
    <w:rsid w:val="001636EE"/>
    <w:rsid w:val="001637E5"/>
    <w:rsid w:val="00163810"/>
    <w:rsid w:val="001638B6"/>
    <w:rsid w:val="00163961"/>
    <w:rsid w:val="00163A47"/>
    <w:rsid w:val="00163BF8"/>
    <w:rsid w:val="00163F92"/>
    <w:rsid w:val="001642FB"/>
    <w:rsid w:val="00164681"/>
    <w:rsid w:val="00164721"/>
    <w:rsid w:val="00164785"/>
    <w:rsid w:val="00164CE6"/>
    <w:rsid w:val="00164DD5"/>
    <w:rsid w:val="001650A6"/>
    <w:rsid w:val="001651D5"/>
    <w:rsid w:val="00165345"/>
    <w:rsid w:val="0016542A"/>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8A"/>
    <w:rsid w:val="001676ED"/>
    <w:rsid w:val="001700A5"/>
    <w:rsid w:val="001700B5"/>
    <w:rsid w:val="001702E0"/>
    <w:rsid w:val="001705FC"/>
    <w:rsid w:val="001706DD"/>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A24"/>
    <w:rsid w:val="00174CD1"/>
    <w:rsid w:val="001750CD"/>
    <w:rsid w:val="001752C8"/>
    <w:rsid w:val="0017543A"/>
    <w:rsid w:val="001754EE"/>
    <w:rsid w:val="00175520"/>
    <w:rsid w:val="001755D6"/>
    <w:rsid w:val="001755FC"/>
    <w:rsid w:val="001757E7"/>
    <w:rsid w:val="00175935"/>
    <w:rsid w:val="00175A18"/>
    <w:rsid w:val="00175C34"/>
    <w:rsid w:val="0017633D"/>
    <w:rsid w:val="001763B3"/>
    <w:rsid w:val="0017648C"/>
    <w:rsid w:val="001764A5"/>
    <w:rsid w:val="00176697"/>
    <w:rsid w:val="001766DB"/>
    <w:rsid w:val="00176734"/>
    <w:rsid w:val="00176748"/>
    <w:rsid w:val="0017693D"/>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9E"/>
    <w:rsid w:val="001807A9"/>
    <w:rsid w:val="00180812"/>
    <w:rsid w:val="0018082C"/>
    <w:rsid w:val="00180C02"/>
    <w:rsid w:val="00180C73"/>
    <w:rsid w:val="00180CA5"/>
    <w:rsid w:val="00180DB8"/>
    <w:rsid w:val="00180DD5"/>
    <w:rsid w:val="001810AC"/>
    <w:rsid w:val="0018161C"/>
    <w:rsid w:val="0018176E"/>
    <w:rsid w:val="001818CE"/>
    <w:rsid w:val="00181DFD"/>
    <w:rsid w:val="00181FE8"/>
    <w:rsid w:val="001821DE"/>
    <w:rsid w:val="00182429"/>
    <w:rsid w:val="001824D3"/>
    <w:rsid w:val="001824FF"/>
    <w:rsid w:val="00182D7D"/>
    <w:rsid w:val="00182F24"/>
    <w:rsid w:val="001831CD"/>
    <w:rsid w:val="001832C4"/>
    <w:rsid w:val="001832C7"/>
    <w:rsid w:val="00183592"/>
    <w:rsid w:val="0018363F"/>
    <w:rsid w:val="00183764"/>
    <w:rsid w:val="001839A0"/>
    <w:rsid w:val="00183A22"/>
    <w:rsid w:val="00183DE7"/>
    <w:rsid w:val="00183EF3"/>
    <w:rsid w:val="001843EF"/>
    <w:rsid w:val="001844BB"/>
    <w:rsid w:val="001844C3"/>
    <w:rsid w:val="00184870"/>
    <w:rsid w:val="00184950"/>
    <w:rsid w:val="00184FD0"/>
    <w:rsid w:val="00185069"/>
    <w:rsid w:val="001852B6"/>
    <w:rsid w:val="00185546"/>
    <w:rsid w:val="00185816"/>
    <w:rsid w:val="00185CCB"/>
    <w:rsid w:val="00185D07"/>
    <w:rsid w:val="0018613F"/>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AB7"/>
    <w:rsid w:val="00187AC4"/>
    <w:rsid w:val="00187B9B"/>
    <w:rsid w:val="00187E15"/>
    <w:rsid w:val="00187E5B"/>
    <w:rsid w:val="00187E74"/>
    <w:rsid w:val="00187F9D"/>
    <w:rsid w:val="00187FBE"/>
    <w:rsid w:val="00190163"/>
    <w:rsid w:val="001908F8"/>
    <w:rsid w:val="00190A1E"/>
    <w:rsid w:val="001912E2"/>
    <w:rsid w:val="00191673"/>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2A3"/>
    <w:rsid w:val="00195512"/>
    <w:rsid w:val="00196088"/>
    <w:rsid w:val="001962D1"/>
    <w:rsid w:val="00196902"/>
    <w:rsid w:val="00196BE4"/>
    <w:rsid w:val="00196BE9"/>
    <w:rsid w:val="00196CC1"/>
    <w:rsid w:val="00196D9F"/>
    <w:rsid w:val="001970C6"/>
    <w:rsid w:val="00197163"/>
    <w:rsid w:val="00197294"/>
    <w:rsid w:val="001973A1"/>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6D4"/>
    <w:rsid w:val="001A183D"/>
    <w:rsid w:val="001A1BBF"/>
    <w:rsid w:val="001A1CA7"/>
    <w:rsid w:val="001A1DC1"/>
    <w:rsid w:val="001A2019"/>
    <w:rsid w:val="001A2024"/>
    <w:rsid w:val="001A2787"/>
    <w:rsid w:val="001A2A80"/>
    <w:rsid w:val="001A2B29"/>
    <w:rsid w:val="001A2C40"/>
    <w:rsid w:val="001A2D05"/>
    <w:rsid w:val="001A2D8B"/>
    <w:rsid w:val="001A3205"/>
    <w:rsid w:val="001A3266"/>
    <w:rsid w:val="001A332F"/>
    <w:rsid w:val="001A3653"/>
    <w:rsid w:val="001A3A1C"/>
    <w:rsid w:val="001A3A62"/>
    <w:rsid w:val="001A3C4B"/>
    <w:rsid w:val="001A3FF6"/>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123"/>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57F7"/>
    <w:rsid w:val="001B627A"/>
    <w:rsid w:val="001B6448"/>
    <w:rsid w:val="001B6B7E"/>
    <w:rsid w:val="001B6BAD"/>
    <w:rsid w:val="001B6DB3"/>
    <w:rsid w:val="001B6F81"/>
    <w:rsid w:val="001B6FC8"/>
    <w:rsid w:val="001B70A1"/>
    <w:rsid w:val="001B76B5"/>
    <w:rsid w:val="001B7802"/>
    <w:rsid w:val="001B7D87"/>
    <w:rsid w:val="001B7E2E"/>
    <w:rsid w:val="001B7E7B"/>
    <w:rsid w:val="001C0463"/>
    <w:rsid w:val="001C04FE"/>
    <w:rsid w:val="001C099D"/>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6B"/>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84"/>
    <w:rsid w:val="001D03B9"/>
    <w:rsid w:val="001D091B"/>
    <w:rsid w:val="001D0AC4"/>
    <w:rsid w:val="001D0D78"/>
    <w:rsid w:val="001D0FE7"/>
    <w:rsid w:val="001D112C"/>
    <w:rsid w:val="001D11F0"/>
    <w:rsid w:val="001D1F54"/>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041"/>
    <w:rsid w:val="001D5301"/>
    <w:rsid w:val="001D5466"/>
    <w:rsid w:val="001D585C"/>
    <w:rsid w:val="001D5903"/>
    <w:rsid w:val="001D595B"/>
    <w:rsid w:val="001D59BC"/>
    <w:rsid w:val="001D5B41"/>
    <w:rsid w:val="001D5C65"/>
    <w:rsid w:val="001D5D1B"/>
    <w:rsid w:val="001D6396"/>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2C19"/>
    <w:rsid w:val="001E3584"/>
    <w:rsid w:val="001E3895"/>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345"/>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38F"/>
    <w:rsid w:val="001F2403"/>
    <w:rsid w:val="001F25EF"/>
    <w:rsid w:val="001F28BF"/>
    <w:rsid w:val="001F28DC"/>
    <w:rsid w:val="001F3188"/>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B9"/>
    <w:rsid w:val="001F57FF"/>
    <w:rsid w:val="001F58F5"/>
    <w:rsid w:val="001F5956"/>
    <w:rsid w:val="001F5A25"/>
    <w:rsid w:val="001F5A4A"/>
    <w:rsid w:val="001F5AE6"/>
    <w:rsid w:val="001F5B4A"/>
    <w:rsid w:val="001F5C00"/>
    <w:rsid w:val="001F5C54"/>
    <w:rsid w:val="001F5D90"/>
    <w:rsid w:val="001F611F"/>
    <w:rsid w:val="001F61D7"/>
    <w:rsid w:val="001F6B23"/>
    <w:rsid w:val="001F6BCF"/>
    <w:rsid w:val="001F6D8B"/>
    <w:rsid w:val="001F7077"/>
    <w:rsid w:val="001F72B2"/>
    <w:rsid w:val="001F7666"/>
    <w:rsid w:val="001F7668"/>
    <w:rsid w:val="001F7CC6"/>
    <w:rsid w:val="001F7DD5"/>
    <w:rsid w:val="00200026"/>
    <w:rsid w:val="002000A1"/>
    <w:rsid w:val="0020021A"/>
    <w:rsid w:val="00200333"/>
    <w:rsid w:val="002003F9"/>
    <w:rsid w:val="0020057E"/>
    <w:rsid w:val="00200AD5"/>
    <w:rsid w:val="00200D57"/>
    <w:rsid w:val="00200EA2"/>
    <w:rsid w:val="00200EC8"/>
    <w:rsid w:val="0020101D"/>
    <w:rsid w:val="00201036"/>
    <w:rsid w:val="00201DC2"/>
    <w:rsid w:val="0020232A"/>
    <w:rsid w:val="002026BF"/>
    <w:rsid w:val="00202A30"/>
    <w:rsid w:val="00202A5F"/>
    <w:rsid w:val="00202DA7"/>
    <w:rsid w:val="00202EB7"/>
    <w:rsid w:val="00202F74"/>
    <w:rsid w:val="0020318B"/>
    <w:rsid w:val="002031AB"/>
    <w:rsid w:val="00203310"/>
    <w:rsid w:val="0020347A"/>
    <w:rsid w:val="00203B39"/>
    <w:rsid w:val="00203B3C"/>
    <w:rsid w:val="00203D52"/>
    <w:rsid w:val="00203E7E"/>
    <w:rsid w:val="00204005"/>
    <w:rsid w:val="002040C7"/>
    <w:rsid w:val="002044AA"/>
    <w:rsid w:val="00204843"/>
    <w:rsid w:val="00204B36"/>
    <w:rsid w:val="00204BAA"/>
    <w:rsid w:val="00204CEC"/>
    <w:rsid w:val="00204D40"/>
    <w:rsid w:val="00205236"/>
    <w:rsid w:val="0020559E"/>
    <w:rsid w:val="00205B3A"/>
    <w:rsid w:val="00205F58"/>
    <w:rsid w:val="0020610A"/>
    <w:rsid w:val="002064C9"/>
    <w:rsid w:val="00206676"/>
    <w:rsid w:val="0020672E"/>
    <w:rsid w:val="0020687E"/>
    <w:rsid w:val="00206A85"/>
    <w:rsid w:val="00206CA4"/>
    <w:rsid w:val="002070EA"/>
    <w:rsid w:val="00207700"/>
    <w:rsid w:val="00207853"/>
    <w:rsid w:val="002079D9"/>
    <w:rsid w:val="00207C3A"/>
    <w:rsid w:val="00210269"/>
    <w:rsid w:val="002105BF"/>
    <w:rsid w:val="00210A01"/>
    <w:rsid w:val="00210B93"/>
    <w:rsid w:val="00210F5F"/>
    <w:rsid w:val="00210FDF"/>
    <w:rsid w:val="00210FF4"/>
    <w:rsid w:val="00211074"/>
    <w:rsid w:val="002110E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B56"/>
    <w:rsid w:val="00213D21"/>
    <w:rsid w:val="00213D55"/>
    <w:rsid w:val="0021407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864"/>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2EFC"/>
    <w:rsid w:val="0022357E"/>
    <w:rsid w:val="00223715"/>
    <w:rsid w:val="002238D6"/>
    <w:rsid w:val="0022399B"/>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4EB"/>
    <w:rsid w:val="00225690"/>
    <w:rsid w:val="002256F7"/>
    <w:rsid w:val="002258B4"/>
    <w:rsid w:val="00225AAA"/>
    <w:rsid w:val="00225AEA"/>
    <w:rsid w:val="00225C2F"/>
    <w:rsid w:val="0022613D"/>
    <w:rsid w:val="002263AF"/>
    <w:rsid w:val="0022658F"/>
    <w:rsid w:val="00226612"/>
    <w:rsid w:val="00226668"/>
    <w:rsid w:val="002267B2"/>
    <w:rsid w:val="002268EA"/>
    <w:rsid w:val="00226C21"/>
    <w:rsid w:val="00226D46"/>
    <w:rsid w:val="00227056"/>
    <w:rsid w:val="00227511"/>
    <w:rsid w:val="002276B7"/>
    <w:rsid w:val="00227749"/>
    <w:rsid w:val="00227794"/>
    <w:rsid w:val="002279FB"/>
    <w:rsid w:val="00227D0E"/>
    <w:rsid w:val="00227EC2"/>
    <w:rsid w:val="00230277"/>
    <w:rsid w:val="0023029C"/>
    <w:rsid w:val="002302FC"/>
    <w:rsid w:val="002303C6"/>
    <w:rsid w:val="00230D30"/>
    <w:rsid w:val="00230DC9"/>
    <w:rsid w:val="00230F07"/>
    <w:rsid w:val="0023153C"/>
    <w:rsid w:val="0023194F"/>
    <w:rsid w:val="002319B1"/>
    <w:rsid w:val="00231C38"/>
    <w:rsid w:val="00231DFE"/>
    <w:rsid w:val="00232166"/>
    <w:rsid w:val="00232359"/>
    <w:rsid w:val="00232AC5"/>
    <w:rsid w:val="00232BAA"/>
    <w:rsid w:val="00232DF2"/>
    <w:rsid w:val="00232E14"/>
    <w:rsid w:val="00232E5E"/>
    <w:rsid w:val="00233298"/>
    <w:rsid w:val="0023356F"/>
    <w:rsid w:val="00233656"/>
    <w:rsid w:val="00233749"/>
    <w:rsid w:val="002338E8"/>
    <w:rsid w:val="00233B5C"/>
    <w:rsid w:val="00233E26"/>
    <w:rsid w:val="00233E5C"/>
    <w:rsid w:val="00233ED8"/>
    <w:rsid w:val="00233FD6"/>
    <w:rsid w:val="002346D9"/>
    <w:rsid w:val="00234E56"/>
    <w:rsid w:val="00234EB2"/>
    <w:rsid w:val="0023552E"/>
    <w:rsid w:val="002356CE"/>
    <w:rsid w:val="00235968"/>
    <w:rsid w:val="00235B35"/>
    <w:rsid w:val="00235BFB"/>
    <w:rsid w:val="00235D31"/>
    <w:rsid w:val="00235EA5"/>
    <w:rsid w:val="00236008"/>
    <w:rsid w:val="00236124"/>
    <w:rsid w:val="00236259"/>
    <w:rsid w:val="00236570"/>
    <w:rsid w:val="00236722"/>
    <w:rsid w:val="002367F0"/>
    <w:rsid w:val="002368A0"/>
    <w:rsid w:val="00237015"/>
    <w:rsid w:val="00237507"/>
    <w:rsid w:val="0023752E"/>
    <w:rsid w:val="0023757C"/>
    <w:rsid w:val="002375FF"/>
    <w:rsid w:val="00237677"/>
    <w:rsid w:val="00237701"/>
    <w:rsid w:val="00237C25"/>
    <w:rsid w:val="00237C85"/>
    <w:rsid w:val="00237D02"/>
    <w:rsid w:val="00237EEE"/>
    <w:rsid w:val="0024032B"/>
    <w:rsid w:val="002406E1"/>
    <w:rsid w:val="00240932"/>
    <w:rsid w:val="00240A59"/>
    <w:rsid w:val="00240D88"/>
    <w:rsid w:val="00240DBC"/>
    <w:rsid w:val="0024116F"/>
    <w:rsid w:val="00241806"/>
    <w:rsid w:val="002419E1"/>
    <w:rsid w:val="00241AD7"/>
    <w:rsid w:val="00241BC3"/>
    <w:rsid w:val="002422D1"/>
    <w:rsid w:val="00242379"/>
    <w:rsid w:val="002425C0"/>
    <w:rsid w:val="00242766"/>
    <w:rsid w:val="00242767"/>
    <w:rsid w:val="00242878"/>
    <w:rsid w:val="00242C50"/>
    <w:rsid w:val="00242CCC"/>
    <w:rsid w:val="00242EB7"/>
    <w:rsid w:val="00243051"/>
    <w:rsid w:val="002432D1"/>
    <w:rsid w:val="002436AB"/>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73"/>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28A"/>
    <w:rsid w:val="0025093D"/>
    <w:rsid w:val="002509CE"/>
    <w:rsid w:val="002509FE"/>
    <w:rsid w:val="00250A36"/>
    <w:rsid w:val="00250E62"/>
    <w:rsid w:val="002512AA"/>
    <w:rsid w:val="002513B1"/>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18D"/>
    <w:rsid w:val="002533BC"/>
    <w:rsid w:val="00253A58"/>
    <w:rsid w:val="00253D1B"/>
    <w:rsid w:val="00253F47"/>
    <w:rsid w:val="00253F7D"/>
    <w:rsid w:val="00253FB8"/>
    <w:rsid w:val="00254470"/>
    <w:rsid w:val="0025459C"/>
    <w:rsid w:val="002546A9"/>
    <w:rsid w:val="00254E2E"/>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6FA7"/>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06"/>
    <w:rsid w:val="002656F4"/>
    <w:rsid w:val="002658EF"/>
    <w:rsid w:val="00265BA7"/>
    <w:rsid w:val="00265CD1"/>
    <w:rsid w:val="00266140"/>
    <w:rsid w:val="0026615E"/>
    <w:rsid w:val="002664D5"/>
    <w:rsid w:val="00266567"/>
    <w:rsid w:val="00266588"/>
    <w:rsid w:val="0026689A"/>
    <w:rsid w:val="002668EB"/>
    <w:rsid w:val="00266B0F"/>
    <w:rsid w:val="002671AB"/>
    <w:rsid w:val="002671D5"/>
    <w:rsid w:val="0026730F"/>
    <w:rsid w:val="002673CC"/>
    <w:rsid w:val="00267928"/>
    <w:rsid w:val="00267B57"/>
    <w:rsid w:val="00267C0D"/>
    <w:rsid w:val="00270014"/>
    <w:rsid w:val="00270017"/>
    <w:rsid w:val="00270719"/>
    <w:rsid w:val="0027096B"/>
    <w:rsid w:val="00270B0A"/>
    <w:rsid w:val="00270E3C"/>
    <w:rsid w:val="00271269"/>
    <w:rsid w:val="002712AD"/>
    <w:rsid w:val="0027150C"/>
    <w:rsid w:val="002717B1"/>
    <w:rsid w:val="00271B32"/>
    <w:rsid w:val="00271C81"/>
    <w:rsid w:val="00271E5E"/>
    <w:rsid w:val="00271EC6"/>
    <w:rsid w:val="00271FDE"/>
    <w:rsid w:val="00272266"/>
    <w:rsid w:val="00272751"/>
    <w:rsid w:val="00272A3D"/>
    <w:rsid w:val="00272B88"/>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5B8"/>
    <w:rsid w:val="002756D4"/>
    <w:rsid w:val="00275BAA"/>
    <w:rsid w:val="00275E50"/>
    <w:rsid w:val="002762B6"/>
    <w:rsid w:val="00276514"/>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07B"/>
    <w:rsid w:val="002811E7"/>
    <w:rsid w:val="002814AE"/>
    <w:rsid w:val="002816AF"/>
    <w:rsid w:val="00281957"/>
    <w:rsid w:val="00281C23"/>
    <w:rsid w:val="00281D74"/>
    <w:rsid w:val="0028211D"/>
    <w:rsid w:val="002822DD"/>
    <w:rsid w:val="002829CC"/>
    <w:rsid w:val="00282E90"/>
    <w:rsid w:val="00282F78"/>
    <w:rsid w:val="00282FDF"/>
    <w:rsid w:val="0028302D"/>
    <w:rsid w:val="002830A2"/>
    <w:rsid w:val="00283270"/>
    <w:rsid w:val="0028348C"/>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3C0B"/>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56C"/>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BBD"/>
    <w:rsid w:val="002A1C16"/>
    <w:rsid w:val="002A252B"/>
    <w:rsid w:val="002A25BC"/>
    <w:rsid w:val="002A2787"/>
    <w:rsid w:val="002A2B61"/>
    <w:rsid w:val="002A2DE3"/>
    <w:rsid w:val="002A313A"/>
    <w:rsid w:val="002A3179"/>
    <w:rsid w:val="002A3257"/>
    <w:rsid w:val="002A3292"/>
    <w:rsid w:val="002A3A49"/>
    <w:rsid w:val="002A3A68"/>
    <w:rsid w:val="002A3CFD"/>
    <w:rsid w:val="002A4132"/>
    <w:rsid w:val="002A4221"/>
    <w:rsid w:val="002A466C"/>
    <w:rsid w:val="002A46B9"/>
    <w:rsid w:val="002A4EA4"/>
    <w:rsid w:val="002A5068"/>
    <w:rsid w:val="002A512D"/>
    <w:rsid w:val="002A52D1"/>
    <w:rsid w:val="002A5B34"/>
    <w:rsid w:val="002A5BCC"/>
    <w:rsid w:val="002A648C"/>
    <w:rsid w:val="002A6530"/>
    <w:rsid w:val="002A6A37"/>
    <w:rsid w:val="002A728E"/>
    <w:rsid w:val="002A7347"/>
    <w:rsid w:val="002A75AE"/>
    <w:rsid w:val="002A7744"/>
    <w:rsid w:val="002A7A3E"/>
    <w:rsid w:val="002A7B9D"/>
    <w:rsid w:val="002A7F12"/>
    <w:rsid w:val="002B02A3"/>
    <w:rsid w:val="002B038F"/>
    <w:rsid w:val="002B0486"/>
    <w:rsid w:val="002B0BA4"/>
    <w:rsid w:val="002B0E1C"/>
    <w:rsid w:val="002B0FE7"/>
    <w:rsid w:val="002B113E"/>
    <w:rsid w:val="002B165A"/>
    <w:rsid w:val="002B1709"/>
    <w:rsid w:val="002B1740"/>
    <w:rsid w:val="002B1820"/>
    <w:rsid w:val="002B19FE"/>
    <w:rsid w:val="002B1A67"/>
    <w:rsid w:val="002B1BA3"/>
    <w:rsid w:val="002B2485"/>
    <w:rsid w:val="002B2627"/>
    <w:rsid w:val="002B26A2"/>
    <w:rsid w:val="002B2751"/>
    <w:rsid w:val="002B2DB8"/>
    <w:rsid w:val="002B3151"/>
    <w:rsid w:val="002B366D"/>
    <w:rsid w:val="002B3BD7"/>
    <w:rsid w:val="002B3C56"/>
    <w:rsid w:val="002B3D3B"/>
    <w:rsid w:val="002B3E4F"/>
    <w:rsid w:val="002B3F77"/>
    <w:rsid w:val="002B4078"/>
    <w:rsid w:val="002B413C"/>
    <w:rsid w:val="002B4185"/>
    <w:rsid w:val="002B45F9"/>
    <w:rsid w:val="002B4722"/>
    <w:rsid w:val="002B47A1"/>
    <w:rsid w:val="002B5080"/>
    <w:rsid w:val="002B521A"/>
    <w:rsid w:val="002B534A"/>
    <w:rsid w:val="002B558F"/>
    <w:rsid w:val="002B5875"/>
    <w:rsid w:val="002B5992"/>
    <w:rsid w:val="002B606D"/>
    <w:rsid w:val="002B60CB"/>
    <w:rsid w:val="002B627D"/>
    <w:rsid w:val="002B6350"/>
    <w:rsid w:val="002B649E"/>
    <w:rsid w:val="002B64A3"/>
    <w:rsid w:val="002B65C7"/>
    <w:rsid w:val="002B66A3"/>
    <w:rsid w:val="002B6882"/>
    <w:rsid w:val="002B6B06"/>
    <w:rsid w:val="002B6B4F"/>
    <w:rsid w:val="002B6C64"/>
    <w:rsid w:val="002B6CFB"/>
    <w:rsid w:val="002B6D3A"/>
    <w:rsid w:val="002B6E97"/>
    <w:rsid w:val="002B72C1"/>
    <w:rsid w:val="002B787A"/>
    <w:rsid w:val="002B7AD5"/>
    <w:rsid w:val="002B7B82"/>
    <w:rsid w:val="002B7BAF"/>
    <w:rsid w:val="002B7BEB"/>
    <w:rsid w:val="002B7CCD"/>
    <w:rsid w:val="002C0046"/>
    <w:rsid w:val="002C00E0"/>
    <w:rsid w:val="002C05F0"/>
    <w:rsid w:val="002C0661"/>
    <w:rsid w:val="002C089B"/>
    <w:rsid w:val="002C093A"/>
    <w:rsid w:val="002C0C05"/>
    <w:rsid w:val="002C0FF0"/>
    <w:rsid w:val="002C1656"/>
    <w:rsid w:val="002C17DF"/>
    <w:rsid w:val="002C18D3"/>
    <w:rsid w:val="002C1C93"/>
    <w:rsid w:val="002C1D99"/>
    <w:rsid w:val="002C1E56"/>
    <w:rsid w:val="002C2151"/>
    <w:rsid w:val="002C2279"/>
    <w:rsid w:val="002C230C"/>
    <w:rsid w:val="002C2311"/>
    <w:rsid w:val="002C24F2"/>
    <w:rsid w:val="002C2802"/>
    <w:rsid w:val="002C2CDB"/>
    <w:rsid w:val="002C2E02"/>
    <w:rsid w:val="002C2ECE"/>
    <w:rsid w:val="002C2F3D"/>
    <w:rsid w:val="002C2F8D"/>
    <w:rsid w:val="002C30C5"/>
    <w:rsid w:val="002C33B4"/>
    <w:rsid w:val="002C33B8"/>
    <w:rsid w:val="002C3623"/>
    <w:rsid w:val="002C3AE6"/>
    <w:rsid w:val="002C3C14"/>
    <w:rsid w:val="002C3CD0"/>
    <w:rsid w:val="002C3FDC"/>
    <w:rsid w:val="002C4BB7"/>
    <w:rsid w:val="002C4CF3"/>
    <w:rsid w:val="002C530A"/>
    <w:rsid w:val="002C540D"/>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2F5"/>
    <w:rsid w:val="002D2454"/>
    <w:rsid w:val="002D29DA"/>
    <w:rsid w:val="002D2A80"/>
    <w:rsid w:val="002D2C46"/>
    <w:rsid w:val="002D2C48"/>
    <w:rsid w:val="002D2D7A"/>
    <w:rsid w:val="002D30A9"/>
    <w:rsid w:val="002D3157"/>
    <w:rsid w:val="002D333B"/>
    <w:rsid w:val="002D347A"/>
    <w:rsid w:val="002D3499"/>
    <w:rsid w:val="002D3704"/>
    <w:rsid w:val="002D385E"/>
    <w:rsid w:val="002D387A"/>
    <w:rsid w:val="002D38A3"/>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D17"/>
    <w:rsid w:val="002D5E62"/>
    <w:rsid w:val="002D5FFF"/>
    <w:rsid w:val="002D62A4"/>
    <w:rsid w:val="002D62A9"/>
    <w:rsid w:val="002D6CF0"/>
    <w:rsid w:val="002D6FFE"/>
    <w:rsid w:val="002D7047"/>
    <w:rsid w:val="002D70C1"/>
    <w:rsid w:val="002D7748"/>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0C"/>
    <w:rsid w:val="002E37B5"/>
    <w:rsid w:val="002E380E"/>
    <w:rsid w:val="002E3B41"/>
    <w:rsid w:val="002E3DF0"/>
    <w:rsid w:val="002E4608"/>
    <w:rsid w:val="002E4671"/>
    <w:rsid w:val="002E48B7"/>
    <w:rsid w:val="002E4907"/>
    <w:rsid w:val="002E4B88"/>
    <w:rsid w:val="002E4E82"/>
    <w:rsid w:val="002E4EE2"/>
    <w:rsid w:val="002E5016"/>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E7EB5"/>
    <w:rsid w:val="002F0567"/>
    <w:rsid w:val="002F077D"/>
    <w:rsid w:val="002F087E"/>
    <w:rsid w:val="002F08DC"/>
    <w:rsid w:val="002F0A6D"/>
    <w:rsid w:val="002F1017"/>
    <w:rsid w:val="002F121B"/>
    <w:rsid w:val="002F1306"/>
    <w:rsid w:val="002F13EB"/>
    <w:rsid w:val="002F140F"/>
    <w:rsid w:val="002F182E"/>
    <w:rsid w:val="002F1B67"/>
    <w:rsid w:val="002F20D3"/>
    <w:rsid w:val="002F2568"/>
    <w:rsid w:val="002F25C7"/>
    <w:rsid w:val="002F2624"/>
    <w:rsid w:val="002F29CB"/>
    <w:rsid w:val="002F2B44"/>
    <w:rsid w:val="002F2EEA"/>
    <w:rsid w:val="002F314D"/>
    <w:rsid w:val="002F334C"/>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94F"/>
    <w:rsid w:val="002F6268"/>
    <w:rsid w:val="002F688E"/>
    <w:rsid w:val="002F6B0D"/>
    <w:rsid w:val="002F6B84"/>
    <w:rsid w:val="002F6CD1"/>
    <w:rsid w:val="002F6D2F"/>
    <w:rsid w:val="002F6D5F"/>
    <w:rsid w:val="002F70D1"/>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580"/>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46E"/>
    <w:rsid w:val="0030679B"/>
    <w:rsid w:val="003067B0"/>
    <w:rsid w:val="00306914"/>
    <w:rsid w:val="00306DA0"/>
    <w:rsid w:val="00306FED"/>
    <w:rsid w:val="003076A7"/>
    <w:rsid w:val="003077D5"/>
    <w:rsid w:val="003078FC"/>
    <w:rsid w:val="00307C81"/>
    <w:rsid w:val="003100B4"/>
    <w:rsid w:val="00310475"/>
    <w:rsid w:val="003107E7"/>
    <w:rsid w:val="00310AF2"/>
    <w:rsid w:val="00310CE4"/>
    <w:rsid w:val="0031100E"/>
    <w:rsid w:val="003110E1"/>
    <w:rsid w:val="00311194"/>
    <w:rsid w:val="0031125F"/>
    <w:rsid w:val="0031136C"/>
    <w:rsid w:val="0031177F"/>
    <w:rsid w:val="00311B7B"/>
    <w:rsid w:val="00311F51"/>
    <w:rsid w:val="003122E8"/>
    <w:rsid w:val="00312635"/>
    <w:rsid w:val="00312B96"/>
    <w:rsid w:val="00312F7F"/>
    <w:rsid w:val="003139F8"/>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34C"/>
    <w:rsid w:val="00316755"/>
    <w:rsid w:val="003169B6"/>
    <w:rsid w:val="00316A97"/>
    <w:rsid w:val="00316AEF"/>
    <w:rsid w:val="00316C4B"/>
    <w:rsid w:val="00316C69"/>
    <w:rsid w:val="003171CB"/>
    <w:rsid w:val="00317261"/>
    <w:rsid w:val="0031736F"/>
    <w:rsid w:val="00317766"/>
    <w:rsid w:val="003179CF"/>
    <w:rsid w:val="00317E3D"/>
    <w:rsid w:val="00320010"/>
    <w:rsid w:val="003201FF"/>
    <w:rsid w:val="0032033B"/>
    <w:rsid w:val="00320682"/>
    <w:rsid w:val="00320862"/>
    <w:rsid w:val="00320881"/>
    <w:rsid w:val="003214CE"/>
    <w:rsid w:val="00321665"/>
    <w:rsid w:val="0032187C"/>
    <w:rsid w:val="00321A5B"/>
    <w:rsid w:val="00321D00"/>
    <w:rsid w:val="00321D56"/>
    <w:rsid w:val="00321F48"/>
    <w:rsid w:val="00321FB7"/>
    <w:rsid w:val="003220F3"/>
    <w:rsid w:val="0032220B"/>
    <w:rsid w:val="0032238A"/>
    <w:rsid w:val="0032242A"/>
    <w:rsid w:val="00322A19"/>
    <w:rsid w:val="00322B6A"/>
    <w:rsid w:val="00322BE5"/>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498"/>
    <w:rsid w:val="00327607"/>
    <w:rsid w:val="00327618"/>
    <w:rsid w:val="00327764"/>
    <w:rsid w:val="003279D2"/>
    <w:rsid w:val="00327C5F"/>
    <w:rsid w:val="00327FFA"/>
    <w:rsid w:val="00330315"/>
    <w:rsid w:val="003308CB"/>
    <w:rsid w:val="00330B4B"/>
    <w:rsid w:val="00330F5F"/>
    <w:rsid w:val="003313FF"/>
    <w:rsid w:val="00331867"/>
    <w:rsid w:val="00331871"/>
    <w:rsid w:val="003319F5"/>
    <w:rsid w:val="00331AB5"/>
    <w:rsid w:val="00331E1C"/>
    <w:rsid w:val="0033227C"/>
    <w:rsid w:val="003322F4"/>
    <w:rsid w:val="0033265D"/>
    <w:rsid w:val="0033272D"/>
    <w:rsid w:val="003328DC"/>
    <w:rsid w:val="00332BE1"/>
    <w:rsid w:val="00332D95"/>
    <w:rsid w:val="00333054"/>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C43"/>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DDF"/>
    <w:rsid w:val="00340ED5"/>
    <w:rsid w:val="00340F9F"/>
    <w:rsid w:val="00341359"/>
    <w:rsid w:val="003413D6"/>
    <w:rsid w:val="003414B3"/>
    <w:rsid w:val="0034152B"/>
    <w:rsid w:val="003416C2"/>
    <w:rsid w:val="00341878"/>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4ED0"/>
    <w:rsid w:val="0034500C"/>
    <w:rsid w:val="003450B8"/>
    <w:rsid w:val="00345185"/>
    <w:rsid w:val="0034534A"/>
    <w:rsid w:val="003458B8"/>
    <w:rsid w:val="00345B6E"/>
    <w:rsid w:val="003461F2"/>
    <w:rsid w:val="00346411"/>
    <w:rsid w:val="003466AD"/>
    <w:rsid w:val="003469AA"/>
    <w:rsid w:val="00346F1B"/>
    <w:rsid w:val="00347337"/>
    <w:rsid w:val="003473BB"/>
    <w:rsid w:val="003473FB"/>
    <w:rsid w:val="00347438"/>
    <w:rsid w:val="00347505"/>
    <w:rsid w:val="00347690"/>
    <w:rsid w:val="00347719"/>
    <w:rsid w:val="00347A1E"/>
    <w:rsid w:val="00347C45"/>
    <w:rsid w:val="00347D45"/>
    <w:rsid w:val="00347DF7"/>
    <w:rsid w:val="00347F2F"/>
    <w:rsid w:val="00347FD5"/>
    <w:rsid w:val="003501D0"/>
    <w:rsid w:val="003502F1"/>
    <w:rsid w:val="003503E7"/>
    <w:rsid w:val="00350557"/>
    <w:rsid w:val="00350967"/>
    <w:rsid w:val="00350D13"/>
    <w:rsid w:val="00350EDC"/>
    <w:rsid w:val="003510D7"/>
    <w:rsid w:val="0035152F"/>
    <w:rsid w:val="00351630"/>
    <w:rsid w:val="00351C0B"/>
    <w:rsid w:val="00351FC7"/>
    <w:rsid w:val="003520DC"/>
    <w:rsid w:val="00352187"/>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5DB4"/>
    <w:rsid w:val="003560EA"/>
    <w:rsid w:val="0035616C"/>
    <w:rsid w:val="00356450"/>
    <w:rsid w:val="00356A2D"/>
    <w:rsid w:val="00356ADE"/>
    <w:rsid w:val="00356DB8"/>
    <w:rsid w:val="00356E7C"/>
    <w:rsid w:val="00356EF5"/>
    <w:rsid w:val="00357466"/>
    <w:rsid w:val="00357681"/>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1"/>
    <w:rsid w:val="0036335B"/>
    <w:rsid w:val="003636C9"/>
    <w:rsid w:val="003637F5"/>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490"/>
    <w:rsid w:val="00366932"/>
    <w:rsid w:val="00366965"/>
    <w:rsid w:val="00366E98"/>
    <w:rsid w:val="003671D4"/>
    <w:rsid w:val="00367409"/>
    <w:rsid w:val="00367433"/>
    <w:rsid w:val="0036748C"/>
    <w:rsid w:val="00367716"/>
    <w:rsid w:val="00367745"/>
    <w:rsid w:val="00367816"/>
    <w:rsid w:val="00367ACE"/>
    <w:rsid w:val="00367B01"/>
    <w:rsid w:val="00367DCF"/>
    <w:rsid w:val="00367F9B"/>
    <w:rsid w:val="003700CC"/>
    <w:rsid w:val="00370536"/>
    <w:rsid w:val="00370AB4"/>
    <w:rsid w:val="00370E4B"/>
    <w:rsid w:val="00370F6E"/>
    <w:rsid w:val="00371062"/>
    <w:rsid w:val="00371091"/>
    <w:rsid w:val="0037128C"/>
    <w:rsid w:val="003714B2"/>
    <w:rsid w:val="00371518"/>
    <w:rsid w:val="0037158B"/>
    <w:rsid w:val="003717F1"/>
    <w:rsid w:val="00371BC0"/>
    <w:rsid w:val="00371ECA"/>
    <w:rsid w:val="0037209F"/>
    <w:rsid w:val="003726B7"/>
    <w:rsid w:val="003727B4"/>
    <w:rsid w:val="00372984"/>
    <w:rsid w:val="00372AE1"/>
    <w:rsid w:val="00372B4A"/>
    <w:rsid w:val="00372C6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401"/>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4FB"/>
    <w:rsid w:val="003805D6"/>
    <w:rsid w:val="0038069F"/>
    <w:rsid w:val="003806E4"/>
    <w:rsid w:val="0038082A"/>
    <w:rsid w:val="00380AC1"/>
    <w:rsid w:val="00380B33"/>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ED2"/>
    <w:rsid w:val="00383F4D"/>
    <w:rsid w:val="003843D7"/>
    <w:rsid w:val="0038452B"/>
    <w:rsid w:val="0038459E"/>
    <w:rsid w:val="00384611"/>
    <w:rsid w:val="00384ABB"/>
    <w:rsid w:val="00384AE0"/>
    <w:rsid w:val="00384C20"/>
    <w:rsid w:val="00384E52"/>
    <w:rsid w:val="0038500C"/>
    <w:rsid w:val="00385295"/>
    <w:rsid w:val="0038532C"/>
    <w:rsid w:val="003853D0"/>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1F"/>
    <w:rsid w:val="00391378"/>
    <w:rsid w:val="003914C8"/>
    <w:rsid w:val="003915B0"/>
    <w:rsid w:val="003915F3"/>
    <w:rsid w:val="003917A8"/>
    <w:rsid w:val="00391914"/>
    <w:rsid w:val="00391CD1"/>
    <w:rsid w:val="003922BF"/>
    <w:rsid w:val="00392E4E"/>
    <w:rsid w:val="00392FE9"/>
    <w:rsid w:val="003930EB"/>
    <w:rsid w:val="003931D8"/>
    <w:rsid w:val="00393229"/>
    <w:rsid w:val="00393509"/>
    <w:rsid w:val="00393569"/>
    <w:rsid w:val="00393C42"/>
    <w:rsid w:val="00393D6C"/>
    <w:rsid w:val="00393E53"/>
    <w:rsid w:val="00393EFB"/>
    <w:rsid w:val="00394172"/>
    <w:rsid w:val="003942F1"/>
    <w:rsid w:val="00394705"/>
    <w:rsid w:val="0039480F"/>
    <w:rsid w:val="00394A47"/>
    <w:rsid w:val="00394B28"/>
    <w:rsid w:val="00395151"/>
    <w:rsid w:val="0039525E"/>
    <w:rsid w:val="00395514"/>
    <w:rsid w:val="0039554E"/>
    <w:rsid w:val="003957BB"/>
    <w:rsid w:val="003959D0"/>
    <w:rsid w:val="00395C25"/>
    <w:rsid w:val="00395C2B"/>
    <w:rsid w:val="00395C4B"/>
    <w:rsid w:val="00395C7A"/>
    <w:rsid w:val="00395CC6"/>
    <w:rsid w:val="00395E22"/>
    <w:rsid w:val="00395FEF"/>
    <w:rsid w:val="003961B5"/>
    <w:rsid w:val="0039638D"/>
    <w:rsid w:val="00396828"/>
    <w:rsid w:val="00396CB4"/>
    <w:rsid w:val="00396E02"/>
    <w:rsid w:val="00397119"/>
    <w:rsid w:val="0039723A"/>
    <w:rsid w:val="003975C0"/>
    <w:rsid w:val="00397D6F"/>
    <w:rsid w:val="00397DBD"/>
    <w:rsid w:val="00397F6B"/>
    <w:rsid w:val="003A0146"/>
    <w:rsid w:val="003A03F0"/>
    <w:rsid w:val="003A0583"/>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C6A"/>
    <w:rsid w:val="003A3EF6"/>
    <w:rsid w:val="003A4264"/>
    <w:rsid w:val="003A4296"/>
    <w:rsid w:val="003A42CC"/>
    <w:rsid w:val="003A4319"/>
    <w:rsid w:val="003A442F"/>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8E"/>
    <w:rsid w:val="003B16D2"/>
    <w:rsid w:val="003B192B"/>
    <w:rsid w:val="003B1B21"/>
    <w:rsid w:val="003B1C17"/>
    <w:rsid w:val="003B1CB6"/>
    <w:rsid w:val="003B1CDC"/>
    <w:rsid w:val="003B202F"/>
    <w:rsid w:val="003B206D"/>
    <w:rsid w:val="003B209A"/>
    <w:rsid w:val="003B20B8"/>
    <w:rsid w:val="003B2198"/>
    <w:rsid w:val="003B2498"/>
    <w:rsid w:val="003B28BC"/>
    <w:rsid w:val="003B29FE"/>
    <w:rsid w:val="003B2B5D"/>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74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4C"/>
    <w:rsid w:val="003B7ECE"/>
    <w:rsid w:val="003C004B"/>
    <w:rsid w:val="003C00AB"/>
    <w:rsid w:val="003C00E4"/>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5F2A"/>
    <w:rsid w:val="003C6073"/>
    <w:rsid w:val="003C6198"/>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59A"/>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B74"/>
    <w:rsid w:val="003D3E70"/>
    <w:rsid w:val="003D41F2"/>
    <w:rsid w:val="003D4937"/>
    <w:rsid w:val="003D4B9D"/>
    <w:rsid w:val="003D4E2B"/>
    <w:rsid w:val="003D4F92"/>
    <w:rsid w:val="003D56FB"/>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15E"/>
    <w:rsid w:val="003E325E"/>
    <w:rsid w:val="003E3331"/>
    <w:rsid w:val="003E33DF"/>
    <w:rsid w:val="003E35BF"/>
    <w:rsid w:val="003E3637"/>
    <w:rsid w:val="003E37EE"/>
    <w:rsid w:val="003E3860"/>
    <w:rsid w:val="003E3A1D"/>
    <w:rsid w:val="003E3A8B"/>
    <w:rsid w:val="003E3B82"/>
    <w:rsid w:val="003E3CC2"/>
    <w:rsid w:val="003E4096"/>
    <w:rsid w:val="003E4527"/>
    <w:rsid w:val="003E468D"/>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F41"/>
    <w:rsid w:val="003F01F6"/>
    <w:rsid w:val="003F020C"/>
    <w:rsid w:val="003F033C"/>
    <w:rsid w:val="003F03C4"/>
    <w:rsid w:val="003F04C5"/>
    <w:rsid w:val="003F066F"/>
    <w:rsid w:val="003F07C3"/>
    <w:rsid w:val="003F0C9B"/>
    <w:rsid w:val="003F110B"/>
    <w:rsid w:val="003F1186"/>
    <w:rsid w:val="003F1299"/>
    <w:rsid w:val="003F1C0F"/>
    <w:rsid w:val="003F1F1D"/>
    <w:rsid w:val="003F232B"/>
    <w:rsid w:val="003F2A8C"/>
    <w:rsid w:val="003F2CB0"/>
    <w:rsid w:val="003F2CEF"/>
    <w:rsid w:val="003F2DEE"/>
    <w:rsid w:val="003F307C"/>
    <w:rsid w:val="003F31AE"/>
    <w:rsid w:val="003F325F"/>
    <w:rsid w:val="003F3282"/>
    <w:rsid w:val="003F34C8"/>
    <w:rsid w:val="003F3650"/>
    <w:rsid w:val="003F3733"/>
    <w:rsid w:val="003F3919"/>
    <w:rsid w:val="003F39F1"/>
    <w:rsid w:val="003F3A33"/>
    <w:rsid w:val="003F3B8F"/>
    <w:rsid w:val="003F3CE3"/>
    <w:rsid w:val="003F416F"/>
    <w:rsid w:val="003F41F2"/>
    <w:rsid w:val="003F441C"/>
    <w:rsid w:val="003F443F"/>
    <w:rsid w:val="003F44C8"/>
    <w:rsid w:val="003F45EB"/>
    <w:rsid w:val="003F46B8"/>
    <w:rsid w:val="003F4D21"/>
    <w:rsid w:val="003F4DA7"/>
    <w:rsid w:val="003F576C"/>
    <w:rsid w:val="003F57D9"/>
    <w:rsid w:val="003F57F4"/>
    <w:rsid w:val="003F5BB3"/>
    <w:rsid w:val="003F5C88"/>
    <w:rsid w:val="003F609D"/>
    <w:rsid w:val="003F62DB"/>
    <w:rsid w:val="003F62DE"/>
    <w:rsid w:val="003F62ED"/>
    <w:rsid w:val="003F6321"/>
    <w:rsid w:val="003F647C"/>
    <w:rsid w:val="003F6545"/>
    <w:rsid w:val="003F66F8"/>
    <w:rsid w:val="003F68FD"/>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4FC"/>
    <w:rsid w:val="00401A04"/>
    <w:rsid w:val="00401A6B"/>
    <w:rsid w:val="00401C60"/>
    <w:rsid w:val="00401D05"/>
    <w:rsid w:val="00401FCB"/>
    <w:rsid w:val="0040203A"/>
    <w:rsid w:val="00402B30"/>
    <w:rsid w:val="00402C69"/>
    <w:rsid w:val="0040305F"/>
    <w:rsid w:val="004030CE"/>
    <w:rsid w:val="004034C1"/>
    <w:rsid w:val="004034E5"/>
    <w:rsid w:val="00403504"/>
    <w:rsid w:val="00403563"/>
    <w:rsid w:val="00403573"/>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D04"/>
    <w:rsid w:val="00406F6F"/>
    <w:rsid w:val="004073A8"/>
    <w:rsid w:val="00407428"/>
    <w:rsid w:val="004074FF"/>
    <w:rsid w:val="004077F4"/>
    <w:rsid w:val="00407840"/>
    <w:rsid w:val="0040796E"/>
    <w:rsid w:val="004079E9"/>
    <w:rsid w:val="0041021F"/>
    <w:rsid w:val="004103F2"/>
    <w:rsid w:val="00410543"/>
    <w:rsid w:val="00410619"/>
    <w:rsid w:val="0041073C"/>
    <w:rsid w:val="004107D2"/>
    <w:rsid w:val="00410AB1"/>
    <w:rsid w:val="004112AE"/>
    <w:rsid w:val="004115FA"/>
    <w:rsid w:val="00411903"/>
    <w:rsid w:val="00411CCB"/>
    <w:rsid w:val="00411E7E"/>
    <w:rsid w:val="00411F4F"/>
    <w:rsid w:val="00412042"/>
    <w:rsid w:val="004124B3"/>
    <w:rsid w:val="00412535"/>
    <w:rsid w:val="004126DB"/>
    <w:rsid w:val="00412A7B"/>
    <w:rsid w:val="00412B5E"/>
    <w:rsid w:val="00412C6D"/>
    <w:rsid w:val="00412C90"/>
    <w:rsid w:val="00412D0B"/>
    <w:rsid w:val="0041303A"/>
    <w:rsid w:val="00413097"/>
    <w:rsid w:val="004134C0"/>
    <w:rsid w:val="00413846"/>
    <w:rsid w:val="00413C08"/>
    <w:rsid w:val="00413FFE"/>
    <w:rsid w:val="00414299"/>
    <w:rsid w:val="004145B4"/>
    <w:rsid w:val="00414967"/>
    <w:rsid w:val="00414B5B"/>
    <w:rsid w:val="00414C19"/>
    <w:rsid w:val="00414CAD"/>
    <w:rsid w:val="004150F4"/>
    <w:rsid w:val="004153A6"/>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E1E"/>
    <w:rsid w:val="00420F40"/>
    <w:rsid w:val="0042114F"/>
    <w:rsid w:val="00421840"/>
    <w:rsid w:val="00421975"/>
    <w:rsid w:val="00421BB3"/>
    <w:rsid w:val="00421F35"/>
    <w:rsid w:val="0042208B"/>
    <w:rsid w:val="004223EF"/>
    <w:rsid w:val="00422404"/>
    <w:rsid w:val="004229AD"/>
    <w:rsid w:val="00422C05"/>
    <w:rsid w:val="0042304A"/>
    <w:rsid w:val="004232DA"/>
    <w:rsid w:val="004238F9"/>
    <w:rsid w:val="00423967"/>
    <w:rsid w:val="00423B8D"/>
    <w:rsid w:val="004240E0"/>
    <w:rsid w:val="00424879"/>
    <w:rsid w:val="00424A78"/>
    <w:rsid w:val="00424B6C"/>
    <w:rsid w:val="00424BC8"/>
    <w:rsid w:val="00424C9B"/>
    <w:rsid w:val="00424E78"/>
    <w:rsid w:val="00424F79"/>
    <w:rsid w:val="0042523D"/>
    <w:rsid w:val="0042527E"/>
    <w:rsid w:val="004252FB"/>
    <w:rsid w:val="00425683"/>
    <w:rsid w:val="00425907"/>
    <w:rsid w:val="00425987"/>
    <w:rsid w:val="00425A2C"/>
    <w:rsid w:val="00425A69"/>
    <w:rsid w:val="00425B72"/>
    <w:rsid w:val="00425E08"/>
    <w:rsid w:val="00425F1B"/>
    <w:rsid w:val="00425F46"/>
    <w:rsid w:val="004260FD"/>
    <w:rsid w:val="004266A3"/>
    <w:rsid w:val="004266B1"/>
    <w:rsid w:val="00427696"/>
    <w:rsid w:val="00427865"/>
    <w:rsid w:val="00427876"/>
    <w:rsid w:val="004278E6"/>
    <w:rsid w:val="004279C4"/>
    <w:rsid w:val="00427AE2"/>
    <w:rsid w:val="00427CA5"/>
    <w:rsid w:val="00427D09"/>
    <w:rsid w:val="00430012"/>
    <w:rsid w:val="004302B7"/>
    <w:rsid w:val="0043054F"/>
    <w:rsid w:val="00430567"/>
    <w:rsid w:val="004308E5"/>
    <w:rsid w:val="004309E8"/>
    <w:rsid w:val="00430DFD"/>
    <w:rsid w:val="00431096"/>
    <w:rsid w:val="004312A9"/>
    <w:rsid w:val="00431809"/>
    <w:rsid w:val="004322D4"/>
    <w:rsid w:val="00432570"/>
    <w:rsid w:val="0043269D"/>
    <w:rsid w:val="00432A76"/>
    <w:rsid w:val="00432F05"/>
    <w:rsid w:val="004330BC"/>
    <w:rsid w:val="00433783"/>
    <w:rsid w:val="0043396B"/>
    <w:rsid w:val="00433AD1"/>
    <w:rsid w:val="00433C0B"/>
    <w:rsid w:val="00433C52"/>
    <w:rsid w:val="00433F21"/>
    <w:rsid w:val="00434174"/>
    <w:rsid w:val="0043417D"/>
    <w:rsid w:val="0043459C"/>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735"/>
    <w:rsid w:val="004378EC"/>
    <w:rsid w:val="004379D0"/>
    <w:rsid w:val="00440018"/>
    <w:rsid w:val="0044040B"/>
    <w:rsid w:val="00440604"/>
    <w:rsid w:val="0044061E"/>
    <w:rsid w:val="00440CB3"/>
    <w:rsid w:val="00440DFC"/>
    <w:rsid w:val="00440E5B"/>
    <w:rsid w:val="00440FD7"/>
    <w:rsid w:val="0044129B"/>
    <w:rsid w:val="004412D1"/>
    <w:rsid w:val="0044130F"/>
    <w:rsid w:val="00441AFE"/>
    <w:rsid w:val="00441C3C"/>
    <w:rsid w:val="00442386"/>
    <w:rsid w:val="00442490"/>
    <w:rsid w:val="00442813"/>
    <w:rsid w:val="00442B2E"/>
    <w:rsid w:val="00442BD9"/>
    <w:rsid w:val="00442D21"/>
    <w:rsid w:val="00442FB1"/>
    <w:rsid w:val="00443182"/>
    <w:rsid w:val="004431E9"/>
    <w:rsid w:val="00443287"/>
    <w:rsid w:val="00443392"/>
    <w:rsid w:val="004433C5"/>
    <w:rsid w:val="00443630"/>
    <w:rsid w:val="0044365B"/>
    <w:rsid w:val="0044368D"/>
    <w:rsid w:val="00443ADC"/>
    <w:rsid w:val="00443EC8"/>
    <w:rsid w:val="004442DD"/>
    <w:rsid w:val="004443AF"/>
    <w:rsid w:val="00444631"/>
    <w:rsid w:val="00444B3D"/>
    <w:rsid w:val="00444C12"/>
    <w:rsid w:val="00444D1D"/>
    <w:rsid w:val="00444E76"/>
    <w:rsid w:val="00444EA8"/>
    <w:rsid w:val="00445089"/>
    <w:rsid w:val="00445144"/>
    <w:rsid w:val="0044536C"/>
    <w:rsid w:val="00445832"/>
    <w:rsid w:val="0044585A"/>
    <w:rsid w:val="00445B21"/>
    <w:rsid w:val="00445CC2"/>
    <w:rsid w:val="00445CCE"/>
    <w:rsid w:val="00445E44"/>
    <w:rsid w:val="00445EB0"/>
    <w:rsid w:val="00445FD4"/>
    <w:rsid w:val="00446095"/>
    <w:rsid w:val="004460FE"/>
    <w:rsid w:val="0044680C"/>
    <w:rsid w:val="00446A40"/>
    <w:rsid w:val="00446CE8"/>
    <w:rsid w:val="004470D4"/>
    <w:rsid w:val="004477EF"/>
    <w:rsid w:val="00447895"/>
    <w:rsid w:val="00447A38"/>
    <w:rsid w:val="00447BCF"/>
    <w:rsid w:val="00447E01"/>
    <w:rsid w:val="00450446"/>
    <w:rsid w:val="004504D6"/>
    <w:rsid w:val="004507E5"/>
    <w:rsid w:val="00450AC0"/>
    <w:rsid w:val="00450C39"/>
    <w:rsid w:val="00450D71"/>
    <w:rsid w:val="004512E4"/>
    <w:rsid w:val="004516D6"/>
    <w:rsid w:val="004516F2"/>
    <w:rsid w:val="004519F1"/>
    <w:rsid w:val="00451ED2"/>
    <w:rsid w:val="004521DD"/>
    <w:rsid w:val="004525C1"/>
    <w:rsid w:val="004526DF"/>
    <w:rsid w:val="00452A17"/>
    <w:rsid w:val="00452C4A"/>
    <w:rsid w:val="00452E1E"/>
    <w:rsid w:val="00452E70"/>
    <w:rsid w:val="00453037"/>
    <w:rsid w:val="00453106"/>
    <w:rsid w:val="00453314"/>
    <w:rsid w:val="0045334B"/>
    <w:rsid w:val="00453A19"/>
    <w:rsid w:val="00453B7D"/>
    <w:rsid w:val="00453ED9"/>
    <w:rsid w:val="00454173"/>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6F0D"/>
    <w:rsid w:val="00457027"/>
    <w:rsid w:val="004571A5"/>
    <w:rsid w:val="004577BF"/>
    <w:rsid w:val="0045781E"/>
    <w:rsid w:val="00457AFC"/>
    <w:rsid w:val="00457CFF"/>
    <w:rsid w:val="004600CC"/>
    <w:rsid w:val="00460494"/>
    <w:rsid w:val="004605BC"/>
    <w:rsid w:val="00460628"/>
    <w:rsid w:val="00460AD1"/>
    <w:rsid w:val="00461003"/>
    <w:rsid w:val="004618B8"/>
    <w:rsid w:val="004619CE"/>
    <w:rsid w:val="00461B72"/>
    <w:rsid w:val="00462001"/>
    <w:rsid w:val="00462117"/>
    <w:rsid w:val="00462400"/>
    <w:rsid w:val="004624B9"/>
    <w:rsid w:val="004627BC"/>
    <w:rsid w:val="00462C57"/>
    <w:rsid w:val="00462F8E"/>
    <w:rsid w:val="004630A2"/>
    <w:rsid w:val="00463226"/>
    <w:rsid w:val="0046333A"/>
    <w:rsid w:val="004635B5"/>
    <w:rsid w:val="00463629"/>
    <w:rsid w:val="00463769"/>
    <w:rsid w:val="00463BA9"/>
    <w:rsid w:val="00463C42"/>
    <w:rsid w:val="00463F28"/>
    <w:rsid w:val="004643B9"/>
    <w:rsid w:val="0046458A"/>
    <w:rsid w:val="004646EE"/>
    <w:rsid w:val="004648AF"/>
    <w:rsid w:val="004649AB"/>
    <w:rsid w:val="004649B8"/>
    <w:rsid w:val="00464DCD"/>
    <w:rsid w:val="00464DED"/>
    <w:rsid w:val="00464FC4"/>
    <w:rsid w:val="004650A5"/>
    <w:rsid w:val="004651D0"/>
    <w:rsid w:val="0046566C"/>
    <w:rsid w:val="0046581F"/>
    <w:rsid w:val="00465877"/>
    <w:rsid w:val="00465A90"/>
    <w:rsid w:val="00465AEB"/>
    <w:rsid w:val="00465CC2"/>
    <w:rsid w:val="00466357"/>
    <w:rsid w:val="00466428"/>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32D"/>
    <w:rsid w:val="0047041D"/>
    <w:rsid w:val="004707D6"/>
    <w:rsid w:val="00470B1D"/>
    <w:rsid w:val="00470D18"/>
    <w:rsid w:val="00470F57"/>
    <w:rsid w:val="0047101A"/>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78"/>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A1"/>
    <w:rsid w:val="004753C4"/>
    <w:rsid w:val="004753F4"/>
    <w:rsid w:val="0047574E"/>
    <w:rsid w:val="00475849"/>
    <w:rsid w:val="0047592B"/>
    <w:rsid w:val="004759EC"/>
    <w:rsid w:val="00475AFC"/>
    <w:rsid w:val="00475D63"/>
    <w:rsid w:val="00475E7A"/>
    <w:rsid w:val="0047635D"/>
    <w:rsid w:val="00476425"/>
    <w:rsid w:val="00476666"/>
    <w:rsid w:val="00476711"/>
    <w:rsid w:val="004767B9"/>
    <w:rsid w:val="004767BE"/>
    <w:rsid w:val="0047689B"/>
    <w:rsid w:val="00476AB0"/>
    <w:rsid w:val="00476BB5"/>
    <w:rsid w:val="00477402"/>
    <w:rsid w:val="00477631"/>
    <w:rsid w:val="00477975"/>
    <w:rsid w:val="00477D9B"/>
    <w:rsid w:val="0048001E"/>
    <w:rsid w:val="00480173"/>
    <w:rsid w:val="004802EB"/>
    <w:rsid w:val="00480B68"/>
    <w:rsid w:val="00480B72"/>
    <w:rsid w:val="00480E45"/>
    <w:rsid w:val="00480E46"/>
    <w:rsid w:val="004810F6"/>
    <w:rsid w:val="00481225"/>
    <w:rsid w:val="0048131F"/>
    <w:rsid w:val="004813B3"/>
    <w:rsid w:val="004814A1"/>
    <w:rsid w:val="004816B2"/>
    <w:rsid w:val="0048198B"/>
    <w:rsid w:val="00481A23"/>
    <w:rsid w:val="00481C46"/>
    <w:rsid w:val="00481F6B"/>
    <w:rsid w:val="00481F8D"/>
    <w:rsid w:val="00482001"/>
    <w:rsid w:val="00482138"/>
    <w:rsid w:val="004824C5"/>
    <w:rsid w:val="004829E6"/>
    <w:rsid w:val="00482BD5"/>
    <w:rsid w:val="00482BDE"/>
    <w:rsid w:val="00482C59"/>
    <w:rsid w:val="00482CB3"/>
    <w:rsid w:val="00482E4F"/>
    <w:rsid w:val="00483022"/>
    <w:rsid w:val="004830C8"/>
    <w:rsid w:val="004831A9"/>
    <w:rsid w:val="0048338F"/>
    <w:rsid w:val="004836B8"/>
    <w:rsid w:val="004838D7"/>
    <w:rsid w:val="00483B40"/>
    <w:rsid w:val="00483C6D"/>
    <w:rsid w:val="00483D75"/>
    <w:rsid w:val="0048412E"/>
    <w:rsid w:val="00484273"/>
    <w:rsid w:val="004847CB"/>
    <w:rsid w:val="00484937"/>
    <w:rsid w:val="00484A58"/>
    <w:rsid w:val="00484AB0"/>
    <w:rsid w:val="00485181"/>
    <w:rsid w:val="004852F4"/>
    <w:rsid w:val="0048534A"/>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5FC"/>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5AB"/>
    <w:rsid w:val="00497671"/>
    <w:rsid w:val="0049782B"/>
    <w:rsid w:val="00497C2A"/>
    <w:rsid w:val="00497C74"/>
    <w:rsid w:val="00497CAB"/>
    <w:rsid w:val="004A0116"/>
    <w:rsid w:val="004A011E"/>
    <w:rsid w:val="004A03A0"/>
    <w:rsid w:val="004A03D9"/>
    <w:rsid w:val="004A05E1"/>
    <w:rsid w:val="004A07DF"/>
    <w:rsid w:val="004A09C8"/>
    <w:rsid w:val="004A0AFA"/>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307"/>
    <w:rsid w:val="004A33F7"/>
    <w:rsid w:val="004A34F8"/>
    <w:rsid w:val="004A3719"/>
    <w:rsid w:val="004A3878"/>
    <w:rsid w:val="004A3E7B"/>
    <w:rsid w:val="004A3FB2"/>
    <w:rsid w:val="004A429F"/>
    <w:rsid w:val="004A4356"/>
    <w:rsid w:val="004A4627"/>
    <w:rsid w:val="004A4629"/>
    <w:rsid w:val="004A4774"/>
    <w:rsid w:val="004A4B32"/>
    <w:rsid w:val="004A4CFD"/>
    <w:rsid w:val="004A537E"/>
    <w:rsid w:val="004A545D"/>
    <w:rsid w:val="004A5541"/>
    <w:rsid w:val="004A5660"/>
    <w:rsid w:val="004A58D6"/>
    <w:rsid w:val="004A5E07"/>
    <w:rsid w:val="004A5F03"/>
    <w:rsid w:val="004A5F07"/>
    <w:rsid w:val="004A610E"/>
    <w:rsid w:val="004A6334"/>
    <w:rsid w:val="004A643D"/>
    <w:rsid w:val="004A6459"/>
    <w:rsid w:val="004A681E"/>
    <w:rsid w:val="004A713E"/>
    <w:rsid w:val="004A72C3"/>
    <w:rsid w:val="004A73E9"/>
    <w:rsid w:val="004A7680"/>
    <w:rsid w:val="004A77AA"/>
    <w:rsid w:val="004A77B4"/>
    <w:rsid w:val="004A79E6"/>
    <w:rsid w:val="004B028E"/>
    <w:rsid w:val="004B038D"/>
    <w:rsid w:val="004B06B6"/>
    <w:rsid w:val="004B06F6"/>
    <w:rsid w:val="004B08AB"/>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424"/>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5F17"/>
    <w:rsid w:val="004B60AC"/>
    <w:rsid w:val="004B612E"/>
    <w:rsid w:val="004B612F"/>
    <w:rsid w:val="004B6485"/>
    <w:rsid w:val="004B65DA"/>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5E6"/>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2EB"/>
    <w:rsid w:val="004C44E0"/>
    <w:rsid w:val="004C44E5"/>
    <w:rsid w:val="004C4550"/>
    <w:rsid w:val="004C4814"/>
    <w:rsid w:val="004C48EC"/>
    <w:rsid w:val="004C4A8E"/>
    <w:rsid w:val="004C4C99"/>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21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9"/>
    <w:rsid w:val="004D3A2C"/>
    <w:rsid w:val="004D3B94"/>
    <w:rsid w:val="004D3BF7"/>
    <w:rsid w:val="004D3FDF"/>
    <w:rsid w:val="004D4312"/>
    <w:rsid w:val="004D4485"/>
    <w:rsid w:val="004D4544"/>
    <w:rsid w:val="004D4647"/>
    <w:rsid w:val="004D4C47"/>
    <w:rsid w:val="004D5477"/>
    <w:rsid w:val="004D5745"/>
    <w:rsid w:val="004D593D"/>
    <w:rsid w:val="004D5CD9"/>
    <w:rsid w:val="004D5E82"/>
    <w:rsid w:val="004D5F42"/>
    <w:rsid w:val="004D602D"/>
    <w:rsid w:val="004D6CF4"/>
    <w:rsid w:val="004D6E44"/>
    <w:rsid w:val="004D6EDA"/>
    <w:rsid w:val="004D6F60"/>
    <w:rsid w:val="004D6F65"/>
    <w:rsid w:val="004D76BF"/>
    <w:rsid w:val="004D771F"/>
    <w:rsid w:val="004D7841"/>
    <w:rsid w:val="004D79F3"/>
    <w:rsid w:val="004D7B81"/>
    <w:rsid w:val="004E0016"/>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86"/>
    <w:rsid w:val="004E22A4"/>
    <w:rsid w:val="004E2726"/>
    <w:rsid w:val="004E281C"/>
    <w:rsid w:val="004E283A"/>
    <w:rsid w:val="004E2A17"/>
    <w:rsid w:val="004E2ADF"/>
    <w:rsid w:val="004E2CE5"/>
    <w:rsid w:val="004E2D2D"/>
    <w:rsid w:val="004E2E35"/>
    <w:rsid w:val="004E318B"/>
    <w:rsid w:val="004E3415"/>
    <w:rsid w:val="004E3543"/>
    <w:rsid w:val="004E366E"/>
    <w:rsid w:val="004E371B"/>
    <w:rsid w:val="004E39FA"/>
    <w:rsid w:val="004E3AE0"/>
    <w:rsid w:val="004E3C70"/>
    <w:rsid w:val="004E3EFB"/>
    <w:rsid w:val="004E4161"/>
    <w:rsid w:val="004E438B"/>
    <w:rsid w:val="004E443C"/>
    <w:rsid w:val="004E451A"/>
    <w:rsid w:val="004E4B90"/>
    <w:rsid w:val="004E4F11"/>
    <w:rsid w:val="004E505F"/>
    <w:rsid w:val="004E53E0"/>
    <w:rsid w:val="004E5A51"/>
    <w:rsid w:val="004E5A77"/>
    <w:rsid w:val="004E5AD2"/>
    <w:rsid w:val="004E5C72"/>
    <w:rsid w:val="004E5FFF"/>
    <w:rsid w:val="004E6091"/>
    <w:rsid w:val="004E6617"/>
    <w:rsid w:val="004E6625"/>
    <w:rsid w:val="004E683D"/>
    <w:rsid w:val="004E6929"/>
    <w:rsid w:val="004E698C"/>
    <w:rsid w:val="004E6EB9"/>
    <w:rsid w:val="004E74E2"/>
    <w:rsid w:val="004E7725"/>
    <w:rsid w:val="004E7CA9"/>
    <w:rsid w:val="004E7CE1"/>
    <w:rsid w:val="004E7D7E"/>
    <w:rsid w:val="004E7FA9"/>
    <w:rsid w:val="004F0057"/>
    <w:rsid w:val="004F0062"/>
    <w:rsid w:val="004F0144"/>
    <w:rsid w:val="004F01C3"/>
    <w:rsid w:val="004F01DD"/>
    <w:rsid w:val="004F0318"/>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9E2"/>
    <w:rsid w:val="004F3B07"/>
    <w:rsid w:val="004F3B17"/>
    <w:rsid w:val="004F3D83"/>
    <w:rsid w:val="004F3E36"/>
    <w:rsid w:val="004F3E85"/>
    <w:rsid w:val="004F4071"/>
    <w:rsid w:val="004F41DE"/>
    <w:rsid w:val="004F4638"/>
    <w:rsid w:val="004F4655"/>
    <w:rsid w:val="004F481D"/>
    <w:rsid w:val="004F498B"/>
    <w:rsid w:val="004F4C1A"/>
    <w:rsid w:val="004F4D58"/>
    <w:rsid w:val="004F4ED4"/>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6E"/>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4F3E"/>
    <w:rsid w:val="005052B3"/>
    <w:rsid w:val="005055E5"/>
    <w:rsid w:val="005057EA"/>
    <w:rsid w:val="00505A5D"/>
    <w:rsid w:val="00505B38"/>
    <w:rsid w:val="00505D76"/>
    <w:rsid w:val="0050627E"/>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B7"/>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373"/>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0D0"/>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286"/>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27F5D"/>
    <w:rsid w:val="005300DA"/>
    <w:rsid w:val="00530157"/>
    <w:rsid w:val="00530208"/>
    <w:rsid w:val="00530472"/>
    <w:rsid w:val="005308E1"/>
    <w:rsid w:val="0053091E"/>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4997"/>
    <w:rsid w:val="00535205"/>
    <w:rsid w:val="00535232"/>
    <w:rsid w:val="00535388"/>
    <w:rsid w:val="005358B3"/>
    <w:rsid w:val="00535900"/>
    <w:rsid w:val="00535B25"/>
    <w:rsid w:val="00535C32"/>
    <w:rsid w:val="00536069"/>
    <w:rsid w:val="0053639C"/>
    <w:rsid w:val="005365AA"/>
    <w:rsid w:val="00536692"/>
    <w:rsid w:val="00536975"/>
    <w:rsid w:val="0053698E"/>
    <w:rsid w:val="00536B68"/>
    <w:rsid w:val="00536B76"/>
    <w:rsid w:val="00536D4D"/>
    <w:rsid w:val="00537035"/>
    <w:rsid w:val="00537769"/>
    <w:rsid w:val="0053779B"/>
    <w:rsid w:val="00537854"/>
    <w:rsid w:val="005378AA"/>
    <w:rsid w:val="00537BDF"/>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D75"/>
    <w:rsid w:val="00543F46"/>
    <w:rsid w:val="00543F92"/>
    <w:rsid w:val="00544082"/>
    <w:rsid w:val="00544555"/>
    <w:rsid w:val="00544918"/>
    <w:rsid w:val="00544928"/>
    <w:rsid w:val="0054498D"/>
    <w:rsid w:val="00544B77"/>
    <w:rsid w:val="00544CFA"/>
    <w:rsid w:val="00544E23"/>
    <w:rsid w:val="00545062"/>
    <w:rsid w:val="0054534A"/>
    <w:rsid w:val="0054540D"/>
    <w:rsid w:val="005459D3"/>
    <w:rsid w:val="00545C38"/>
    <w:rsid w:val="00545D61"/>
    <w:rsid w:val="005462CB"/>
    <w:rsid w:val="00546375"/>
    <w:rsid w:val="005463FA"/>
    <w:rsid w:val="0054653E"/>
    <w:rsid w:val="00546B02"/>
    <w:rsid w:val="00546D0E"/>
    <w:rsid w:val="00546D78"/>
    <w:rsid w:val="0054707A"/>
    <w:rsid w:val="005473EA"/>
    <w:rsid w:val="005475E1"/>
    <w:rsid w:val="0054763F"/>
    <w:rsid w:val="00547841"/>
    <w:rsid w:val="00547A50"/>
    <w:rsid w:val="00547DF0"/>
    <w:rsid w:val="00547F6E"/>
    <w:rsid w:val="005501E1"/>
    <w:rsid w:val="005502FC"/>
    <w:rsid w:val="0055043E"/>
    <w:rsid w:val="0055050E"/>
    <w:rsid w:val="005508DC"/>
    <w:rsid w:val="00550BFF"/>
    <w:rsid w:val="00550CF4"/>
    <w:rsid w:val="00550F07"/>
    <w:rsid w:val="00550FC4"/>
    <w:rsid w:val="00551288"/>
    <w:rsid w:val="005513E0"/>
    <w:rsid w:val="005514EE"/>
    <w:rsid w:val="005516B2"/>
    <w:rsid w:val="0055194B"/>
    <w:rsid w:val="00551A60"/>
    <w:rsid w:val="00551A85"/>
    <w:rsid w:val="00551B63"/>
    <w:rsid w:val="00551EB0"/>
    <w:rsid w:val="00551FED"/>
    <w:rsid w:val="00552C06"/>
    <w:rsid w:val="00552C21"/>
    <w:rsid w:val="00552DB9"/>
    <w:rsid w:val="00553081"/>
    <w:rsid w:val="005535AA"/>
    <w:rsid w:val="0055362B"/>
    <w:rsid w:val="005536A7"/>
    <w:rsid w:val="005537A2"/>
    <w:rsid w:val="00553DAD"/>
    <w:rsid w:val="005542EB"/>
    <w:rsid w:val="00554758"/>
    <w:rsid w:val="00554ACD"/>
    <w:rsid w:val="00554C20"/>
    <w:rsid w:val="00554D72"/>
    <w:rsid w:val="00554DAD"/>
    <w:rsid w:val="00554FA2"/>
    <w:rsid w:val="005550E6"/>
    <w:rsid w:val="00555184"/>
    <w:rsid w:val="0055520C"/>
    <w:rsid w:val="005554BC"/>
    <w:rsid w:val="005558D9"/>
    <w:rsid w:val="00555B72"/>
    <w:rsid w:val="00555BD7"/>
    <w:rsid w:val="00555CF6"/>
    <w:rsid w:val="00556361"/>
    <w:rsid w:val="005564B8"/>
    <w:rsid w:val="0055659A"/>
    <w:rsid w:val="005569FC"/>
    <w:rsid w:val="00556A21"/>
    <w:rsid w:val="00556BE0"/>
    <w:rsid w:val="00556CE5"/>
    <w:rsid w:val="00556E35"/>
    <w:rsid w:val="00556F11"/>
    <w:rsid w:val="00556FD5"/>
    <w:rsid w:val="005570F7"/>
    <w:rsid w:val="0055711F"/>
    <w:rsid w:val="00557270"/>
    <w:rsid w:val="00557359"/>
    <w:rsid w:val="005576AC"/>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4F12"/>
    <w:rsid w:val="00565272"/>
    <w:rsid w:val="00565921"/>
    <w:rsid w:val="00565D02"/>
    <w:rsid w:val="00565F56"/>
    <w:rsid w:val="005662EA"/>
    <w:rsid w:val="0056637F"/>
    <w:rsid w:val="00566803"/>
    <w:rsid w:val="005668BB"/>
    <w:rsid w:val="0056697E"/>
    <w:rsid w:val="00566AB4"/>
    <w:rsid w:val="00566CD4"/>
    <w:rsid w:val="005670DA"/>
    <w:rsid w:val="0056743F"/>
    <w:rsid w:val="005675E9"/>
    <w:rsid w:val="00567746"/>
    <w:rsid w:val="0056777A"/>
    <w:rsid w:val="00567783"/>
    <w:rsid w:val="00567877"/>
    <w:rsid w:val="00567949"/>
    <w:rsid w:val="00567C85"/>
    <w:rsid w:val="00567E2F"/>
    <w:rsid w:val="00567FC5"/>
    <w:rsid w:val="00570010"/>
    <w:rsid w:val="00570129"/>
    <w:rsid w:val="00570147"/>
    <w:rsid w:val="00570304"/>
    <w:rsid w:val="005704F0"/>
    <w:rsid w:val="00570623"/>
    <w:rsid w:val="005708AD"/>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135"/>
    <w:rsid w:val="00575284"/>
    <w:rsid w:val="0057546D"/>
    <w:rsid w:val="0057554A"/>
    <w:rsid w:val="005755E8"/>
    <w:rsid w:val="0057577D"/>
    <w:rsid w:val="00575822"/>
    <w:rsid w:val="00575E87"/>
    <w:rsid w:val="0057604C"/>
    <w:rsid w:val="005760F9"/>
    <w:rsid w:val="00576147"/>
    <w:rsid w:val="00576436"/>
    <w:rsid w:val="00576564"/>
    <w:rsid w:val="00576620"/>
    <w:rsid w:val="005767C0"/>
    <w:rsid w:val="00576DD5"/>
    <w:rsid w:val="00576E83"/>
    <w:rsid w:val="00576EAA"/>
    <w:rsid w:val="00576FFD"/>
    <w:rsid w:val="005773DC"/>
    <w:rsid w:val="00577618"/>
    <w:rsid w:val="005776CB"/>
    <w:rsid w:val="00577812"/>
    <w:rsid w:val="005779D6"/>
    <w:rsid w:val="00577DE7"/>
    <w:rsid w:val="00577F8D"/>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CFA"/>
    <w:rsid w:val="00583E5F"/>
    <w:rsid w:val="00584205"/>
    <w:rsid w:val="00584757"/>
    <w:rsid w:val="00584BFE"/>
    <w:rsid w:val="00584D23"/>
    <w:rsid w:val="00584D41"/>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99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7"/>
    <w:rsid w:val="0059629E"/>
    <w:rsid w:val="005967D4"/>
    <w:rsid w:val="0059681A"/>
    <w:rsid w:val="00596B26"/>
    <w:rsid w:val="00596B65"/>
    <w:rsid w:val="00596CA5"/>
    <w:rsid w:val="00596DEF"/>
    <w:rsid w:val="00596F8C"/>
    <w:rsid w:val="00597096"/>
    <w:rsid w:val="0059734D"/>
    <w:rsid w:val="00597394"/>
    <w:rsid w:val="0059741D"/>
    <w:rsid w:val="0059783C"/>
    <w:rsid w:val="00597C14"/>
    <w:rsid w:val="005A01AB"/>
    <w:rsid w:val="005A03A0"/>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7D"/>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46E"/>
    <w:rsid w:val="005B08D3"/>
    <w:rsid w:val="005B0963"/>
    <w:rsid w:val="005B0BE8"/>
    <w:rsid w:val="005B0C80"/>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2A1"/>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6D72"/>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D63"/>
    <w:rsid w:val="005C3E80"/>
    <w:rsid w:val="005C407B"/>
    <w:rsid w:val="005C4284"/>
    <w:rsid w:val="005C43E2"/>
    <w:rsid w:val="005C43FA"/>
    <w:rsid w:val="005C469E"/>
    <w:rsid w:val="005C4877"/>
    <w:rsid w:val="005C4892"/>
    <w:rsid w:val="005C4922"/>
    <w:rsid w:val="005C4EAA"/>
    <w:rsid w:val="005C5095"/>
    <w:rsid w:val="005C53DD"/>
    <w:rsid w:val="005C5A7E"/>
    <w:rsid w:val="005C5B7B"/>
    <w:rsid w:val="005C5BE0"/>
    <w:rsid w:val="005C5DF6"/>
    <w:rsid w:val="005C5ECA"/>
    <w:rsid w:val="005C5EE0"/>
    <w:rsid w:val="005C6425"/>
    <w:rsid w:val="005C65AB"/>
    <w:rsid w:val="005C684A"/>
    <w:rsid w:val="005C69BE"/>
    <w:rsid w:val="005C6A03"/>
    <w:rsid w:val="005C6ADA"/>
    <w:rsid w:val="005C6C3D"/>
    <w:rsid w:val="005C6DDF"/>
    <w:rsid w:val="005C71A6"/>
    <w:rsid w:val="005C71EA"/>
    <w:rsid w:val="005C72B8"/>
    <w:rsid w:val="005C730E"/>
    <w:rsid w:val="005C74DA"/>
    <w:rsid w:val="005C78FE"/>
    <w:rsid w:val="005C7BF3"/>
    <w:rsid w:val="005C7C81"/>
    <w:rsid w:val="005C7DFF"/>
    <w:rsid w:val="005C7E31"/>
    <w:rsid w:val="005D0215"/>
    <w:rsid w:val="005D027C"/>
    <w:rsid w:val="005D077F"/>
    <w:rsid w:val="005D07C9"/>
    <w:rsid w:val="005D090E"/>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106"/>
    <w:rsid w:val="005D43C4"/>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346"/>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0C0"/>
    <w:rsid w:val="005E1480"/>
    <w:rsid w:val="005E1512"/>
    <w:rsid w:val="005E15E3"/>
    <w:rsid w:val="005E1A55"/>
    <w:rsid w:val="005E1E55"/>
    <w:rsid w:val="005E1E88"/>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77B"/>
    <w:rsid w:val="005E4E46"/>
    <w:rsid w:val="005E50AA"/>
    <w:rsid w:val="005E51EC"/>
    <w:rsid w:val="005E521A"/>
    <w:rsid w:val="005E526A"/>
    <w:rsid w:val="005E5311"/>
    <w:rsid w:val="005E571B"/>
    <w:rsid w:val="005E5771"/>
    <w:rsid w:val="005E5A02"/>
    <w:rsid w:val="005E5B7D"/>
    <w:rsid w:val="005E6317"/>
    <w:rsid w:val="005E636F"/>
    <w:rsid w:val="005E6B6F"/>
    <w:rsid w:val="005E6F07"/>
    <w:rsid w:val="005E74B4"/>
    <w:rsid w:val="005E79D7"/>
    <w:rsid w:val="005E7A29"/>
    <w:rsid w:val="005E7E6E"/>
    <w:rsid w:val="005E7E8D"/>
    <w:rsid w:val="005F006A"/>
    <w:rsid w:val="005F00E1"/>
    <w:rsid w:val="005F00FC"/>
    <w:rsid w:val="005F0231"/>
    <w:rsid w:val="005F02B2"/>
    <w:rsid w:val="005F050C"/>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4FF"/>
    <w:rsid w:val="005F372C"/>
    <w:rsid w:val="005F3739"/>
    <w:rsid w:val="005F39F5"/>
    <w:rsid w:val="005F3CD8"/>
    <w:rsid w:val="005F3D65"/>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5C3"/>
    <w:rsid w:val="005F6615"/>
    <w:rsid w:val="005F68A0"/>
    <w:rsid w:val="005F69B7"/>
    <w:rsid w:val="005F6AC0"/>
    <w:rsid w:val="005F6D52"/>
    <w:rsid w:val="005F73C6"/>
    <w:rsid w:val="005F7421"/>
    <w:rsid w:val="005F761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DF3"/>
    <w:rsid w:val="00605FAA"/>
    <w:rsid w:val="006064F1"/>
    <w:rsid w:val="00606608"/>
    <w:rsid w:val="0060683B"/>
    <w:rsid w:val="00606B47"/>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995"/>
    <w:rsid w:val="00610A82"/>
    <w:rsid w:val="00610A92"/>
    <w:rsid w:val="00610BAF"/>
    <w:rsid w:val="00610FB6"/>
    <w:rsid w:val="00611228"/>
    <w:rsid w:val="0061141D"/>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A3E"/>
    <w:rsid w:val="00620D96"/>
    <w:rsid w:val="00621183"/>
    <w:rsid w:val="006218A8"/>
    <w:rsid w:val="0062190D"/>
    <w:rsid w:val="006219AD"/>
    <w:rsid w:val="00621B7A"/>
    <w:rsid w:val="00621C4D"/>
    <w:rsid w:val="00621D64"/>
    <w:rsid w:val="00621E7D"/>
    <w:rsid w:val="00622278"/>
    <w:rsid w:val="0062254B"/>
    <w:rsid w:val="00622929"/>
    <w:rsid w:val="00622D45"/>
    <w:rsid w:val="00622E59"/>
    <w:rsid w:val="00623205"/>
    <w:rsid w:val="00623262"/>
    <w:rsid w:val="006233E1"/>
    <w:rsid w:val="00623488"/>
    <w:rsid w:val="00623515"/>
    <w:rsid w:val="006235BB"/>
    <w:rsid w:val="006236DB"/>
    <w:rsid w:val="0062377F"/>
    <w:rsid w:val="00623907"/>
    <w:rsid w:val="00623954"/>
    <w:rsid w:val="00623B98"/>
    <w:rsid w:val="00623C13"/>
    <w:rsid w:val="00623D86"/>
    <w:rsid w:val="0062415F"/>
    <w:rsid w:val="00624376"/>
    <w:rsid w:val="0062460B"/>
    <w:rsid w:val="0062479F"/>
    <w:rsid w:val="0062495F"/>
    <w:rsid w:val="00624A70"/>
    <w:rsid w:val="00624AB7"/>
    <w:rsid w:val="00624B39"/>
    <w:rsid w:val="00624BA2"/>
    <w:rsid w:val="00624DAB"/>
    <w:rsid w:val="0062509A"/>
    <w:rsid w:val="00625639"/>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56"/>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0C5"/>
    <w:rsid w:val="006333BF"/>
    <w:rsid w:val="006334FA"/>
    <w:rsid w:val="0063372E"/>
    <w:rsid w:val="00633969"/>
    <w:rsid w:val="00633A06"/>
    <w:rsid w:val="00633A5F"/>
    <w:rsid w:val="00633CAE"/>
    <w:rsid w:val="00633E70"/>
    <w:rsid w:val="006340AF"/>
    <w:rsid w:val="006341E2"/>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664"/>
    <w:rsid w:val="00635860"/>
    <w:rsid w:val="006359F5"/>
    <w:rsid w:val="00635C89"/>
    <w:rsid w:val="00635DF2"/>
    <w:rsid w:val="00635E59"/>
    <w:rsid w:val="00636542"/>
    <w:rsid w:val="006366DB"/>
    <w:rsid w:val="00636717"/>
    <w:rsid w:val="00636C84"/>
    <w:rsid w:val="00636CAE"/>
    <w:rsid w:val="00636DF1"/>
    <w:rsid w:val="0063717F"/>
    <w:rsid w:val="00637224"/>
    <w:rsid w:val="006376E5"/>
    <w:rsid w:val="006377C8"/>
    <w:rsid w:val="00637999"/>
    <w:rsid w:val="00637B2E"/>
    <w:rsid w:val="00637B92"/>
    <w:rsid w:val="00637C9E"/>
    <w:rsid w:val="00637CC6"/>
    <w:rsid w:val="00637D06"/>
    <w:rsid w:val="00637D3C"/>
    <w:rsid w:val="00637E56"/>
    <w:rsid w:val="006400B3"/>
    <w:rsid w:val="00640161"/>
    <w:rsid w:val="0064022B"/>
    <w:rsid w:val="00640293"/>
    <w:rsid w:val="00640412"/>
    <w:rsid w:val="006404B2"/>
    <w:rsid w:val="006405B9"/>
    <w:rsid w:val="00640967"/>
    <w:rsid w:val="006409F4"/>
    <w:rsid w:val="00640AA9"/>
    <w:rsid w:val="00640AEF"/>
    <w:rsid w:val="00640D07"/>
    <w:rsid w:val="00640EEC"/>
    <w:rsid w:val="00641298"/>
    <w:rsid w:val="0064145C"/>
    <w:rsid w:val="00641F9C"/>
    <w:rsid w:val="0064200B"/>
    <w:rsid w:val="0064202D"/>
    <w:rsid w:val="0064226C"/>
    <w:rsid w:val="0064238B"/>
    <w:rsid w:val="006429A4"/>
    <w:rsid w:val="006429DB"/>
    <w:rsid w:val="00642A43"/>
    <w:rsid w:val="00642C89"/>
    <w:rsid w:val="00642E56"/>
    <w:rsid w:val="00642FD8"/>
    <w:rsid w:val="006430AE"/>
    <w:rsid w:val="0064310B"/>
    <w:rsid w:val="006431A1"/>
    <w:rsid w:val="00643313"/>
    <w:rsid w:val="00643355"/>
    <w:rsid w:val="0064346C"/>
    <w:rsid w:val="006434A3"/>
    <w:rsid w:val="00643563"/>
    <w:rsid w:val="0064399B"/>
    <w:rsid w:val="006439A0"/>
    <w:rsid w:val="006439E9"/>
    <w:rsid w:val="00643AE4"/>
    <w:rsid w:val="00643B78"/>
    <w:rsid w:val="00643DE6"/>
    <w:rsid w:val="00644553"/>
    <w:rsid w:val="00644E7A"/>
    <w:rsid w:val="00644E7E"/>
    <w:rsid w:val="00644E87"/>
    <w:rsid w:val="0064511E"/>
    <w:rsid w:val="00645339"/>
    <w:rsid w:val="00645512"/>
    <w:rsid w:val="006457C8"/>
    <w:rsid w:val="00645D23"/>
    <w:rsid w:val="0064612D"/>
    <w:rsid w:val="00646231"/>
    <w:rsid w:val="00646235"/>
    <w:rsid w:val="00646259"/>
    <w:rsid w:val="0064625A"/>
    <w:rsid w:val="00646295"/>
    <w:rsid w:val="006469BA"/>
    <w:rsid w:val="00646A12"/>
    <w:rsid w:val="00646E27"/>
    <w:rsid w:val="00646E88"/>
    <w:rsid w:val="00646EE8"/>
    <w:rsid w:val="0064706F"/>
    <w:rsid w:val="0064732A"/>
    <w:rsid w:val="006474B3"/>
    <w:rsid w:val="006474F2"/>
    <w:rsid w:val="00647EB2"/>
    <w:rsid w:val="00647FD7"/>
    <w:rsid w:val="0065008E"/>
    <w:rsid w:val="00650092"/>
    <w:rsid w:val="0065015D"/>
    <w:rsid w:val="006506EC"/>
    <w:rsid w:val="0065098C"/>
    <w:rsid w:val="00650D73"/>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D6"/>
    <w:rsid w:val="006559E6"/>
    <w:rsid w:val="00655CB3"/>
    <w:rsid w:val="00656066"/>
    <w:rsid w:val="006561E2"/>
    <w:rsid w:val="0065663A"/>
    <w:rsid w:val="00656AF0"/>
    <w:rsid w:val="00656C7F"/>
    <w:rsid w:val="00656CC2"/>
    <w:rsid w:val="00656D61"/>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67"/>
    <w:rsid w:val="00660BE4"/>
    <w:rsid w:val="00660E89"/>
    <w:rsid w:val="00660EFE"/>
    <w:rsid w:val="006619C8"/>
    <w:rsid w:val="006621A6"/>
    <w:rsid w:val="0066224E"/>
    <w:rsid w:val="006626D9"/>
    <w:rsid w:val="00662883"/>
    <w:rsid w:val="00662EDB"/>
    <w:rsid w:val="0066301F"/>
    <w:rsid w:val="006631F7"/>
    <w:rsid w:val="006633C0"/>
    <w:rsid w:val="006634F7"/>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37"/>
    <w:rsid w:val="00666B90"/>
    <w:rsid w:val="00666C1E"/>
    <w:rsid w:val="006674AB"/>
    <w:rsid w:val="006675B0"/>
    <w:rsid w:val="0066769D"/>
    <w:rsid w:val="00667961"/>
    <w:rsid w:val="00667D30"/>
    <w:rsid w:val="0067002B"/>
    <w:rsid w:val="00670147"/>
    <w:rsid w:val="0067029D"/>
    <w:rsid w:val="00670403"/>
    <w:rsid w:val="006704C3"/>
    <w:rsid w:val="00670B0C"/>
    <w:rsid w:val="00670F2F"/>
    <w:rsid w:val="00671028"/>
    <w:rsid w:val="00671299"/>
    <w:rsid w:val="0067138D"/>
    <w:rsid w:val="006713DF"/>
    <w:rsid w:val="0067143B"/>
    <w:rsid w:val="00671487"/>
    <w:rsid w:val="006715B7"/>
    <w:rsid w:val="00671D6A"/>
    <w:rsid w:val="00672129"/>
    <w:rsid w:val="00672198"/>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6CAE"/>
    <w:rsid w:val="0068775A"/>
    <w:rsid w:val="00687BC0"/>
    <w:rsid w:val="00687E54"/>
    <w:rsid w:val="00690013"/>
    <w:rsid w:val="0069026C"/>
    <w:rsid w:val="0069071A"/>
    <w:rsid w:val="00690823"/>
    <w:rsid w:val="00690A1B"/>
    <w:rsid w:val="00690BDE"/>
    <w:rsid w:val="00690C39"/>
    <w:rsid w:val="00690CB3"/>
    <w:rsid w:val="00690D30"/>
    <w:rsid w:val="00690F7C"/>
    <w:rsid w:val="00691180"/>
    <w:rsid w:val="00691460"/>
    <w:rsid w:val="0069149A"/>
    <w:rsid w:val="006915DD"/>
    <w:rsid w:val="00691935"/>
    <w:rsid w:val="00691ABB"/>
    <w:rsid w:val="00691B2F"/>
    <w:rsid w:val="00691B50"/>
    <w:rsid w:val="00691C9D"/>
    <w:rsid w:val="00691F08"/>
    <w:rsid w:val="006920F4"/>
    <w:rsid w:val="0069236C"/>
    <w:rsid w:val="0069258D"/>
    <w:rsid w:val="00692D95"/>
    <w:rsid w:val="00693086"/>
    <w:rsid w:val="0069346B"/>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417"/>
    <w:rsid w:val="006969DC"/>
    <w:rsid w:val="00696CDB"/>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B3B"/>
    <w:rsid w:val="006A1C0D"/>
    <w:rsid w:val="006A1F34"/>
    <w:rsid w:val="006A2071"/>
    <w:rsid w:val="006A2238"/>
    <w:rsid w:val="006A22D0"/>
    <w:rsid w:val="006A2370"/>
    <w:rsid w:val="006A2479"/>
    <w:rsid w:val="006A250D"/>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5E"/>
    <w:rsid w:val="006A6C6C"/>
    <w:rsid w:val="006A6D16"/>
    <w:rsid w:val="006A6E8C"/>
    <w:rsid w:val="006A70FE"/>
    <w:rsid w:val="006A7227"/>
    <w:rsid w:val="006A735B"/>
    <w:rsid w:val="006A7738"/>
    <w:rsid w:val="006A77C7"/>
    <w:rsid w:val="006A7DBE"/>
    <w:rsid w:val="006A7F52"/>
    <w:rsid w:val="006A7FF0"/>
    <w:rsid w:val="006B005E"/>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D2"/>
    <w:rsid w:val="006C31F8"/>
    <w:rsid w:val="006C39EA"/>
    <w:rsid w:val="006C3C36"/>
    <w:rsid w:val="006C3DC2"/>
    <w:rsid w:val="006C3E3D"/>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60C"/>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DFA"/>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61B"/>
    <w:rsid w:val="006D58DB"/>
    <w:rsid w:val="006D5C2B"/>
    <w:rsid w:val="006D5C96"/>
    <w:rsid w:val="006D6010"/>
    <w:rsid w:val="006D6080"/>
    <w:rsid w:val="006D617D"/>
    <w:rsid w:val="006D656D"/>
    <w:rsid w:val="006D668D"/>
    <w:rsid w:val="006D68C5"/>
    <w:rsid w:val="006D6AD3"/>
    <w:rsid w:val="006D6B10"/>
    <w:rsid w:val="006D6B95"/>
    <w:rsid w:val="006D6C39"/>
    <w:rsid w:val="006D6E5E"/>
    <w:rsid w:val="006D6F77"/>
    <w:rsid w:val="006D7146"/>
    <w:rsid w:val="006D7309"/>
    <w:rsid w:val="006D74E0"/>
    <w:rsid w:val="006D7795"/>
    <w:rsid w:val="006D7917"/>
    <w:rsid w:val="006D79BA"/>
    <w:rsid w:val="006E0258"/>
    <w:rsid w:val="006E06B3"/>
    <w:rsid w:val="006E09ED"/>
    <w:rsid w:val="006E0B44"/>
    <w:rsid w:val="006E0BB8"/>
    <w:rsid w:val="006E0D37"/>
    <w:rsid w:val="006E0FB9"/>
    <w:rsid w:val="006E14B3"/>
    <w:rsid w:val="006E175D"/>
    <w:rsid w:val="006E191C"/>
    <w:rsid w:val="006E1963"/>
    <w:rsid w:val="006E1B30"/>
    <w:rsid w:val="006E1EAC"/>
    <w:rsid w:val="006E1F52"/>
    <w:rsid w:val="006E22E1"/>
    <w:rsid w:val="006E2554"/>
    <w:rsid w:val="006E2653"/>
    <w:rsid w:val="006E27DA"/>
    <w:rsid w:val="006E2875"/>
    <w:rsid w:val="006E2A41"/>
    <w:rsid w:val="006E2D3E"/>
    <w:rsid w:val="006E329A"/>
    <w:rsid w:val="006E3477"/>
    <w:rsid w:val="006E358D"/>
    <w:rsid w:val="006E3A90"/>
    <w:rsid w:val="006E3CC7"/>
    <w:rsid w:val="006E3D68"/>
    <w:rsid w:val="006E4585"/>
    <w:rsid w:val="006E463D"/>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500"/>
    <w:rsid w:val="006F18BB"/>
    <w:rsid w:val="006F1A95"/>
    <w:rsid w:val="006F1B02"/>
    <w:rsid w:val="006F1BCA"/>
    <w:rsid w:val="006F1CA0"/>
    <w:rsid w:val="006F1D16"/>
    <w:rsid w:val="006F1EFF"/>
    <w:rsid w:val="006F23EC"/>
    <w:rsid w:val="006F2578"/>
    <w:rsid w:val="006F2938"/>
    <w:rsid w:val="006F2C0B"/>
    <w:rsid w:val="006F2CE5"/>
    <w:rsid w:val="006F2F10"/>
    <w:rsid w:val="006F344B"/>
    <w:rsid w:val="006F3664"/>
    <w:rsid w:val="006F3F90"/>
    <w:rsid w:val="006F40BA"/>
    <w:rsid w:val="006F42AE"/>
    <w:rsid w:val="006F43A9"/>
    <w:rsid w:val="006F4507"/>
    <w:rsid w:val="006F460B"/>
    <w:rsid w:val="006F4A7B"/>
    <w:rsid w:val="006F5608"/>
    <w:rsid w:val="006F560B"/>
    <w:rsid w:val="006F604B"/>
    <w:rsid w:val="006F6332"/>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0AEA"/>
    <w:rsid w:val="0070116F"/>
    <w:rsid w:val="007011C1"/>
    <w:rsid w:val="00701369"/>
    <w:rsid w:val="007013B5"/>
    <w:rsid w:val="00701496"/>
    <w:rsid w:val="00701705"/>
    <w:rsid w:val="0070170E"/>
    <w:rsid w:val="0070185F"/>
    <w:rsid w:val="00701D18"/>
    <w:rsid w:val="00701F44"/>
    <w:rsid w:val="007027F8"/>
    <w:rsid w:val="00702AAC"/>
    <w:rsid w:val="00702C97"/>
    <w:rsid w:val="00702D7E"/>
    <w:rsid w:val="00702E1B"/>
    <w:rsid w:val="007030C7"/>
    <w:rsid w:val="0070343A"/>
    <w:rsid w:val="007035D6"/>
    <w:rsid w:val="007035E8"/>
    <w:rsid w:val="007039BA"/>
    <w:rsid w:val="00703AFB"/>
    <w:rsid w:val="00703B85"/>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07"/>
    <w:rsid w:val="007073B1"/>
    <w:rsid w:val="0070768C"/>
    <w:rsid w:val="007076E6"/>
    <w:rsid w:val="00707D18"/>
    <w:rsid w:val="00707F91"/>
    <w:rsid w:val="00710129"/>
    <w:rsid w:val="00710736"/>
    <w:rsid w:val="00710F1F"/>
    <w:rsid w:val="007112F8"/>
    <w:rsid w:val="00711AB9"/>
    <w:rsid w:val="00711E02"/>
    <w:rsid w:val="00711FF6"/>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3E3B"/>
    <w:rsid w:val="00714988"/>
    <w:rsid w:val="00714A31"/>
    <w:rsid w:val="00714A43"/>
    <w:rsid w:val="00714DF4"/>
    <w:rsid w:val="007150B0"/>
    <w:rsid w:val="007155A6"/>
    <w:rsid w:val="00715797"/>
    <w:rsid w:val="00715A50"/>
    <w:rsid w:val="00715A9A"/>
    <w:rsid w:val="00715B97"/>
    <w:rsid w:val="0071600B"/>
    <w:rsid w:val="00716314"/>
    <w:rsid w:val="00716813"/>
    <w:rsid w:val="00716926"/>
    <w:rsid w:val="00716979"/>
    <w:rsid w:val="00716A08"/>
    <w:rsid w:val="00716AF4"/>
    <w:rsid w:val="00716B77"/>
    <w:rsid w:val="00716CF5"/>
    <w:rsid w:val="00717224"/>
    <w:rsid w:val="0071732C"/>
    <w:rsid w:val="00717392"/>
    <w:rsid w:val="007175CC"/>
    <w:rsid w:val="007177D8"/>
    <w:rsid w:val="007177D9"/>
    <w:rsid w:val="0071796A"/>
    <w:rsid w:val="00717A63"/>
    <w:rsid w:val="00717D89"/>
    <w:rsid w:val="00717EA3"/>
    <w:rsid w:val="0072000B"/>
    <w:rsid w:val="00720157"/>
    <w:rsid w:val="007201AB"/>
    <w:rsid w:val="00720745"/>
    <w:rsid w:val="007207F3"/>
    <w:rsid w:val="00720953"/>
    <w:rsid w:val="00720992"/>
    <w:rsid w:val="007209F3"/>
    <w:rsid w:val="00720B6F"/>
    <w:rsid w:val="00720BAA"/>
    <w:rsid w:val="00720BFD"/>
    <w:rsid w:val="00720D83"/>
    <w:rsid w:val="00720DD9"/>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5BC"/>
    <w:rsid w:val="0072282B"/>
    <w:rsid w:val="00722A36"/>
    <w:rsid w:val="00722D3C"/>
    <w:rsid w:val="00722F29"/>
    <w:rsid w:val="0072339E"/>
    <w:rsid w:val="007233C9"/>
    <w:rsid w:val="0072350A"/>
    <w:rsid w:val="00723619"/>
    <w:rsid w:val="00723859"/>
    <w:rsid w:val="00723D05"/>
    <w:rsid w:val="00723D0A"/>
    <w:rsid w:val="00723F44"/>
    <w:rsid w:val="00724316"/>
    <w:rsid w:val="00724342"/>
    <w:rsid w:val="0072468C"/>
    <w:rsid w:val="007249C7"/>
    <w:rsid w:val="00724CC7"/>
    <w:rsid w:val="00724D11"/>
    <w:rsid w:val="00724DE0"/>
    <w:rsid w:val="007250E5"/>
    <w:rsid w:val="00725157"/>
    <w:rsid w:val="00725267"/>
    <w:rsid w:val="007254F6"/>
    <w:rsid w:val="00725838"/>
    <w:rsid w:val="00725D0B"/>
    <w:rsid w:val="00725E6B"/>
    <w:rsid w:val="007262BD"/>
    <w:rsid w:val="00726414"/>
    <w:rsid w:val="0072641F"/>
    <w:rsid w:val="007265FA"/>
    <w:rsid w:val="00726997"/>
    <w:rsid w:val="00726A2C"/>
    <w:rsid w:val="00726F50"/>
    <w:rsid w:val="00726FA4"/>
    <w:rsid w:val="007276BE"/>
    <w:rsid w:val="00727856"/>
    <w:rsid w:val="00727AD4"/>
    <w:rsid w:val="00727BD2"/>
    <w:rsid w:val="00730286"/>
    <w:rsid w:val="007306DC"/>
    <w:rsid w:val="00730713"/>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ED2"/>
    <w:rsid w:val="00732FCA"/>
    <w:rsid w:val="007330EB"/>
    <w:rsid w:val="007334CA"/>
    <w:rsid w:val="007334CC"/>
    <w:rsid w:val="007335B6"/>
    <w:rsid w:val="007336C6"/>
    <w:rsid w:val="007336DE"/>
    <w:rsid w:val="0073402E"/>
    <w:rsid w:val="00734033"/>
    <w:rsid w:val="0073449D"/>
    <w:rsid w:val="007344BB"/>
    <w:rsid w:val="007346F5"/>
    <w:rsid w:val="0073489F"/>
    <w:rsid w:val="007349EC"/>
    <w:rsid w:val="00734C92"/>
    <w:rsid w:val="00734ED8"/>
    <w:rsid w:val="007350F8"/>
    <w:rsid w:val="0073517A"/>
    <w:rsid w:val="0073520C"/>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2F6"/>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2BD1"/>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BD4"/>
    <w:rsid w:val="00745CA3"/>
    <w:rsid w:val="00745D71"/>
    <w:rsid w:val="00746059"/>
    <w:rsid w:val="007460AE"/>
    <w:rsid w:val="00746214"/>
    <w:rsid w:val="007463AA"/>
    <w:rsid w:val="00746512"/>
    <w:rsid w:val="007468D5"/>
    <w:rsid w:val="00746D13"/>
    <w:rsid w:val="00746DEE"/>
    <w:rsid w:val="00746F46"/>
    <w:rsid w:val="007471F8"/>
    <w:rsid w:val="00747516"/>
    <w:rsid w:val="0074755D"/>
    <w:rsid w:val="007476F0"/>
    <w:rsid w:val="00747949"/>
    <w:rsid w:val="00747BB2"/>
    <w:rsid w:val="00747E51"/>
    <w:rsid w:val="00750285"/>
    <w:rsid w:val="007503FE"/>
    <w:rsid w:val="00750897"/>
    <w:rsid w:val="00750981"/>
    <w:rsid w:val="00750C2F"/>
    <w:rsid w:val="00750D2E"/>
    <w:rsid w:val="00751098"/>
    <w:rsid w:val="0075111B"/>
    <w:rsid w:val="007511D3"/>
    <w:rsid w:val="007513EE"/>
    <w:rsid w:val="007513F6"/>
    <w:rsid w:val="00751B89"/>
    <w:rsid w:val="00751B8F"/>
    <w:rsid w:val="00751C7C"/>
    <w:rsid w:val="00751F34"/>
    <w:rsid w:val="00751F67"/>
    <w:rsid w:val="00752205"/>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C2F"/>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9"/>
    <w:rsid w:val="007646AC"/>
    <w:rsid w:val="00764883"/>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568"/>
    <w:rsid w:val="00770666"/>
    <w:rsid w:val="00770A01"/>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9B6"/>
    <w:rsid w:val="00774A0D"/>
    <w:rsid w:val="00774AAA"/>
    <w:rsid w:val="00774AD8"/>
    <w:rsid w:val="00774FCC"/>
    <w:rsid w:val="0077510C"/>
    <w:rsid w:val="00775284"/>
    <w:rsid w:val="0077557A"/>
    <w:rsid w:val="00775886"/>
    <w:rsid w:val="00775934"/>
    <w:rsid w:val="00775974"/>
    <w:rsid w:val="00775CBC"/>
    <w:rsid w:val="00775F0A"/>
    <w:rsid w:val="007760DC"/>
    <w:rsid w:val="007762E2"/>
    <w:rsid w:val="00776B7F"/>
    <w:rsid w:val="00776DA5"/>
    <w:rsid w:val="0077711A"/>
    <w:rsid w:val="007772CD"/>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7A1"/>
    <w:rsid w:val="00785A27"/>
    <w:rsid w:val="00785F6D"/>
    <w:rsid w:val="0078660B"/>
    <w:rsid w:val="00786A5C"/>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CE2"/>
    <w:rsid w:val="00790CF3"/>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2E58"/>
    <w:rsid w:val="00793211"/>
    <w:rsid w:val="0079348E"/>
    <w:rsid w:val="007935C4"/>
    <w:rsid w:val="007936A6"/>
    <w:rsid w:val="007936F3"/>
    <w:rsid w:val="00793884"/>
    <w:rsid w:val="00793B5E"/>
    <w:rsid w:val="0079448D"/>
    <w:rsid w:val="00794503"/>
    <w:rsid w:val="007946CE"/>
    <w:rsid w:val="00794740"/>
    <w:rsid w:val="007948B5"/>
    <w:rsid w:val="007949EC"/>
    <w:rsid w:val="00794BA7"/>
    <w:rsid w:val="00794F8E"/>
    <w:rsid w:val="00795330"/>
    <w:rsid w:val="007954DA"/>
    <w:rsid w:val="007959A9"/>
    <w:rsid w:val="007959D7"/>
    <w:rsid w:val="00795AC3"/>
    <w:rsid w:val="00795ACC"/>
    <w:rsid w:val="00795AD3"/>
    <w:rsid w:val="00795B4E"/>
    <w:rsid w:val="00795BEE"/>
    <w:rsid w:val="00795FB9"/>
    <w:rsid w:val="007962E0"/>
    <w:rsid w:val="00796386"/>
    <w:rsid w:val="007966B4"/>
    <w:rsid w:val="00796862"/>
    <w:rsid w:val="00796B85"/>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C0"/>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299"/>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602"/>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77"/>
    <w:rsid w:val="007B43A1"/>
    <w:rsid w:val="007B43E9"/>
    <w:rsid w:val="007B4499"/>
    <w:rsid w:val="007B473D"/>
    <w:rsid w:val="007B4BFD"/>
    <w:rsid w:val="007B5366"/>
    <w:rsid w:val="007B5419"/>
    <w:rsid w:val="007B544B"/>
    <w:rsid w:val="007B55D0"/>
    <w:rsid w:val="007B567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1FF"/>
    <w:rsid w:val="007C34BA"/>
    <w:rsid w:val="007C3946"/>
    <w:rsid w:val="007C3A53"/>
    <w:rsid w:val="007C3A83"/>
    <w:rsid w:val="007C3C2C"/>
    <w:rsid w:val="007C4201"/>
    <w:rsid w:val="007C463C"/>
    <w:rsid w:val="007C46BA"/>
    <w:rsid w:val="007C4ABD"/>
    <w:rsid w:val="007C4B44"/>
    <w:rsid w:val="007C4D38"/>
    <w:rsid w:val="007C5273"/>
    <w:rsid w:val="007C5373"/>
    <w:rsid w:val="007C59EB"/>
    <w:rsid w:val="007C5A14"/>
    <w:rsid w:val="007C5C83"/>
    <w:rsid w:val="007C5D8A"/>
    <w:rsid w:val="007C6321"/>
    <w:rsid w:val="007C662A"/>
    <w:rsid w:val="007C66AF"/>
    <w:rsid w:val="007C6958"/>
    <w:rsid w:val="007C6A21"/>
    <w:rsid w:val="007C6AAA"/>
    <w:rsid w:val="007C708A"/>
    <w:rsid w:val="007C70D1"/>
    <w:rsid w:val="007C7680"/>
    <w:rsid w:val="007C7D0A"/>
    <w:rsid w:val="007C7D70"/>
    <w:rsid w:val="007C7D92"/>
    <w:rsid w:val="007D00FA"/>
    <w:rsid w:val="007D014E"/>
    <w:rsid w:val="007D022D"/>
    <w:rsid w:val="007D0527"/>
    <w:rsid w:val="007D0846"/>
    <w:rsid w:val="007D0C47"/>
    <w:rsid w:val="007D0D50"/>
    <w:rsid w:val="007D0D75"/>
    <w:rsid w:val="007D0DD4"/>
    <w:rsid w:val="007D0EF7"/>
    <w:rsid w:val="007D13C3"/>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8B5"/>
    <w:rsid w:val="007D3AEC"/>
    <w:rsid w:val="007D3FD8"/>
    <w:rsid w:val="007D4DC3"/>
    <w:rsid w:val="007D50FE"/>
    <w:rsid w:val="007D5181"/>
    <w:rsid w:val="007D5317"/>
    <w:rsid w:val="007D5450"/>
    <w:rsid w:val="007D573B"/>
    <w:rsid w:val="007D57F6"/>
    <w:rsid w:val="007D5967"/>
    <w:rsid w:val="007D5E26"/>
    <w:rsid w:val="007D5F40"/>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774"/>
    <w:rsid w:val="007E288F"/>
    <w:rsid w:val="007E2A73"/>
    <w:rsid w:val="007E2E46"/>
    <w:rsid w:val="007E2F5A"/>
    <w:rsid w:val="007E3075"/>
    <w:rsid w:val="007E320E"/>
    <w:rsid w:val="007E340D"/>
    <w:rsid w:val="007E3484"/>
    <w:rsid w:val="007E3982"/>
    <w:rsid w:val="007E3D71"/>
    <w:rsid w:val="007E4176"/>
    <w:rsid w:val="007E41A5"/>
    <w:rsid w:val="007E4225"/>
    <w:rsid w:val="007E4646"/>
    <w:rsid w:val="007E464F"/>
    <w:rsid w:val="007E4795"/>
    <w:rsid w:val="007E48FD"/>
    <w:rsid w:val="007E49E7"/>
    <w:rsid w:val="007E4EB3"/>
    <w:rsid w:val="007E4EE6"/>
    <w:rsid w:val="007E4F4E"/>
    <w:rsid w:val="007E5099"/>
    <w:rsid w:val="007E50C5"/>
    <w:rsid w:val="007E5275"/>
    <w:rsid w:val="007E553D"/>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892"/>
    <w:rsid w:val="007E7B9F"/>
    <w:rsid w:val="007E7D0D"/>
    <w:rsid w:val="007E7E1C"/>
    <w:rsid w:val="007F0776"/>
    <w:rsid w:val="007F07F4"/>
    <w:rsid w:val="007F07FD"/>
    <w:rsid w:val="007F09D8"/>
    <w:rsid w:val="007F0BF6"/>
    <w:rsid w:val="007F0CB8"/>
    <w:rsid w:val="007F0FD2"/>
    <w:rsid w:val="007F10FC"/>
    <w:rsid w:val="007F142B"/>
    <w:rsid w:val="007F190C"/>
    <w:rsid w:val="007F19AA"/>
    <w:rsid w:val="007F1F9E"/>
    <w:rsid w:val="007F2272"/>
    <w:rsid w:val="007F2306"/>
    <w:rsid w:val="007F26DB"/>
    <w:rsid w:val="007F2AD2"/>
    <w:rsid w:val="007F2C18"/>
    <w:rsid w:val="007F2DF4"/>
    <w:rsid w:val="007F2F43"/>
    <w:rsid w:val="007F2F4D"/>
    <w:rsid w:val="007F37AD"/>
    <w:rsid w:val="007F38D3"/>
    <w:rsid w:val="007F3C73"/>
    <w:rsid w:val="007F42CF"/>
    <w:rsid w:val="007F4331"/>
    <w:rsid w:val="007F47DE"/>
    <w:rsid w:val="007F48BB"/>
    <w:rsid w:val="007F48ED"/>
    <w:rsid w:val="007F4D56"/>
    <w:rsid w:val="007F4D74"/>
    <w:rsid w:val="007F4F16"/>
    <w:rsid w:val="007F536F"/>
    <w:rsid w:val="007F53A9"/>
    <w:rsid w:val="007F55F1"/>
    <w:rsid w:val="007F5C24"/>
    <w:rsid w:val="007F5C43"/>
    <w:rsid w:val="007F5D52"/>
    <w:rsid w:val="007F5EAD"/>
    <w:rsid w:val="007F5F33"/>
    <w:rsid w:val="007F6724"/>
    <w:rsid w:val="007F67A9"/>
    <w:rsid w:val="007F691E"/>
    <w:rsid w:val="007F6E0C"/>
    <w:rsid w:val="007F727C"/>
    <w:rsid w:val="007F73E2"/>
    <w:rsid w:val="007F748F"/>
    <w:rsid w:val="007F74FC"/>
    <w:rsid w:val="007F7624"/>
    <w:rsid w:val="007F76BB"/>
    <w:rsid w:val="007F7E2B"/>
    <w:rsid w:val="0080043A"/>
    <w:rsid w:val="00800555"/>
    <w:rsid w:val="00800593"/>
    <w:rsid w:val="008005CC"/>
    <w:rsid w:val="0080060F"/>
    <w:rsid w:val="00800797"/>
    <w:rsid w:val="00800C51"/>
    <w:rsid w:val="00800CA5"/>
    <w:rsid w:val="00800CAA"/>
    <w:rsid w:val="00800DC5"/>
    <w:rsid w:val="00800FC4"/>
    <w:rsid w:val="00801189"/>
    <w:rsid w:val="00801548"/>
    <w:rsid w:val="00801586"/>
    <w:rsid w:val="0080159E"/>
    <w:rsid w:val="008019DF"/>
    <w:rsid w:val="00801A3A"/>
    <w:rsid w:val="00801E69"/>
    <w:rsid w:val="00802385"/>
    <w:rsid w:val="0080240A"/>
    <w:rsid w:val="008026E5"/>
    <w:rsid w:val="008028A6"/>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290"/>
    <w:rsid w:val="00806932"/>
    <w:rsid w:val="00806B10"/>
    <w:rsid w:val="00806BF8"/>
    <w:rsid w:val="00807252"/>
    <w:rsid w:val="00807383"/>
    <w:rsid w:val="00807419"/>
    <w:rsid w:val="0080766E"/>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CF6"/>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123"/>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B3E"/>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C0A"/>
    <w:rsid w:val="00822DF1"/>
    <w:rsid w:val="00822DF8"/>
    <w:rsid w:val="00822E12"/>
    <w:rsid w:val="00822F39"/>
    <w:rsid w:val="00822F9D"/>
    <w:rsid w:val="00822FEE"/>
    <w:rsid w:val="0082313E"/>
    <w:rsid w:val="008232CC"/>
    <w:rsid w:val="00823355"/>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43A"/>
    <w:rsid w:val="008257AA"/>
    <w:rsid w:val="0082585C"/>
    <w:rsid w:val="008259D7"/>
    <w:rsid w:val="00825B33"/>
    <w:rsid w:val="00825BB5"/>
    <w:rsid w:val="00825C27"/>
    <w:rsid w:val="00825CBB"/>
    <w:rsid w:val="00825DFA"/>
    <w:rsid w:val="00825FA7"/>
    <w:rsid w:val="008263BD"/>
    <w:rsid w:val="008264D6"/>
    <w:rsid w:val="0082663A"/>
    <w:rsid w:val="008266F1"/>
    <w:rsid w:val="008268CA"/>
    <w:rsid w:val="00826994"/>
    <w:rsid w:val="008269A8"/>
    <w:rsid w:val="00826EB4"/>
    <w:rsid w:val="00827024"/>
    <w:rsid w:val="00827062"/>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1A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1C3"/>
    <w:rsid w:val="00835635"/>
    <w:rsid w:val="00835773"/>
    <w:rsid w:val="00835B17"/>
    <w:rsid w:val="00835CB3"/>
    <w:rsid w:val="00835CCC"/>
    <w:rsid w:val="00835FCE"/>
    <w:rsid w:val="0083602B"/>
    <w:rsid w:val="00836126"/>
    <w:rsid w:val="00836715"/>
    <w:rsid w:val="00836B3F"/>
    <w:rsid w:val="00836E03"/>
    <w:rsid w:val="00836EFF"/>
    <w:rsid w:val="00836F2C"/>
    <w:rsid w:val="00837848"/>
    <w:rsid w:val="008379C8"/>
    <w:rsid w:val="00837D08"/>
    <w:rsid w:val="00840378"/>
    <w:rsid w:val="00840853"/>
    <w:rsid w:val="0084097C"/>
    <w:rsid w:val="00840AAC"/>
    <w:rsid w:val="00840B80"/>
    <w:rsid w:val="00841076"/>
    <w:rsid w:val="0084162F"/>
    <w:rsid w:val="008416C0"/>
    <w:rsid w:val="008416F2"/>
    <w:rsid w:val="008418B1"/>
    <w:rsid w:val="008418F3"/>
    <w:rsid w:val="008419C5"/>
    <w:rsid w:val="00841BFE"/>
    <w:rsid w:val="00841C7E"/>
    <w:rsid w:val="00841C87"/>
    <w:rsid w:val="00841C98"/>
    <w:rsid w:val="00841C9F"/>
    <w:rsid w:val="00841D70"/>
    <w:rsid w:val="00841F59"/>
    <w:rsid w:val="00841F66"/>
    <w:rsid w:val="0084226A"/>
    <w:rsid w:val="00842BB3"/>
    <w:rsid w:val="00842DE1"/>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26"/>
    <w:rsid w:val="0084796D"/>
    <w:rsid w:val="00847B3A"/>
    <w:rsid w:val="00847CB1"/>
    <w:rsid w:val="00847D3B"/>
    <w:rsid w:val="00847ED7"/>
    <w:rsid w:val="00847F2D"/>
    <w:rsid w:val="008500FA"/>
    <w:rsid w:val="00850396"/>
    <w:rsid w:val="008506D0"/>
    <w:rsid w:val="00850895"/>
    <w:rsid w:val="008509E2"/>
    <w:rsid w:val="00850AFC"/>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438"/>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C4F"/>
    <w:rsid w:val="008558EF"/>
    <w:rsid w:val="008559FD"/>
    <w:rsid w:val="00855C66"/>
    <w:rsid w:val="00855D46"/>
    <w:rsid w:val="00855ECD"/>
    <w:rsid w:val="008560CE"/>
    <w:rsid w:val="008561F9"/>
    <w:rsid w:val="0085625A"/>
    <w:rsid w:val="00856992"/>
    <w:rsid w:val="00856A09"/>
    <w:rsid w:val="00856AA3"/>
    <w:rsid w:val="0085717E"/>
    <w:rsid w:val="00857DEE"/>
    <w:rsid w:val="00857DF4"/>
    <w:rsid w:val="008600FD"/>
    <w:rsid w:val="00860621"/>
    <w:rsid w:val="008607F2"/>
    <w:rsid w:val="00860945"/>
    <w:rsid w:val="00860AD4"/>
    <w:rsid w:val="00860C63"/>
    <w:rsid w:val="00860DB7"/>
    <w:rsid w:val="00860DD6"/>
    <w:rsid w:val="00860F8F"/>
    <w:rsid w:val="00860F9B"/>
    <w:rsid w:val="00860FF9"/>
    <w:rsid w:val="00861272"/>
    <w:rsid w:val="00861477"/>
    <w:rsid w:val="008614CA"/>
    <w:rsid w:val="00861682"/>
    <w:rsid w:val="0086179E"/>
    <w:rsid w:val="00862226"/>
    <w:rsid w:val="00862902"/>
    <w:rsid w:val="00862C4F"/>
    <w:rsid w:val="00862CD3"/>
    <w:rsid w:val="00862DAC"/>
    <w:rsid w:val="00863378"/>
    <w:rsid w:val="008635B2"/>
    <w:rsid w:val="008635BC"/>
    <w:rsid w:val="008637E9"/>
    <w:rsid w:val="00863958"/>
    <w:rsid w:val="00863D7C"/>
    <w:rsid w:val="00863DF7"/>
    <w:rsid w:val="00863E90"/>
    <w:rsid w:val="00863EF6"/>
    <w:rsid w:val="0086409B"/>
    <w:rsid w:val="00864660"/>
    <w:rsid w:val="008647B1"/>
    <w:rsid w:val="00864B33"/>
    <w:rsid w:val="00864B88"/>
    <w:rsid w:val="0086511E"/>
    <w:rsid w:val="0086530E"/>
    <w:rsid w:val="008654CA"/>
    <w:rsid w:val="00865506"/>
    <w:rsid w:val="0086566F"/>
    <w:rsid w:val="008656F8"/>
    <w:rsid w:val="008658AA"/>
    <w:rsid w:val="00865D6C"/>
    <w:rsid w:val="00865DC7"/>
    <w:rsid w:val="00865EC1"/>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2E2C"/>
    <w:rsid w:val="00873001"/>
    <w:rsid w:val="00873068"/>
    <w:rsid w:val="0087326F"/>
    <w:rsid w:val="00873530"/>
    <w:rsid w:val="008735DD"/>
    <w:rsid w:val="008737CC"/>
    <w:rsid w:val="00873986"/>
    <w:rsid w:val="00873CDB"/>
    <w:rsid w:val="00873E43"/>
    <w:rsid w:val="00874609"/>
    <w:rsid w:val="00874857"/>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8BD"/>
    <w:rsid w:val="00880CBB"/>
    <w:rsid w:val="00880FD7"/>
    <w:rsid w:val="0088127C"/>
    <w:rsid w:val="0088159C"/>
    <w:rsid w:val="00881887"/>
    <w:rsid w:val="008818E4"/>
    <w:rsid w:val="00881DB8"/>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49D"/>
    <w:rsid w:val="0088477C"/>
    <w:rsid w:val="0088484D"/>
    <w:rsid w:val="00884CE8"/>
    <w:rsid w:val="00884EF2"/>
    <w:rsid w:val="008852AB"/>
    <w:rsid w:val="0088545A"/>
    <w:rsid w:val="00885671"/>
    <w:rsid w:val="00885AE4"/>
    <w:rsid w:val="00885D54"/>
    <w:rsid w:val="00885E17"/>
    <w:rsid w:val="008863A6"/>
    <w:rsid w:val="008865E3"/>
    <w:rsid w:val="008865F9"/>
    <w:rsid w:val="008866E0"/>
    <w:rsid w:val="00886F0C"/>
    <w:rsid w:val="00886F5E"/>
    <w:rsid w:val="008872C2"/>
    <w:rsid w:val="008872C6"/>
    <w:rsid w:val="00887BE0"/>
    <w:rsid w:val="00887CAB"/>
    <w:rsid w:val="00887FA6"/>
    <w:rsid w:val="0089021A"/>
    <w:rsid w:val="008902C1"/>
    <w:rsid w:val="00890481"/>
    <w:rsid w:val="00890B56"/>
    <w:rsid w:val="00890BB7"/>
    <w:rsid w:val="00890ED1"/>
    <w:rsid w:val="00891182"/>
    <w:rsid w:val="008911CD"/>
    <w:rsid w:val="00891206"/>
    <w:rsid w:val="0089204F"/>
    <w:rsid w:val="00892250"/>
    <w:rsid w:val="008922AC"/>
    <w:rsid w:val="008922E2"/>
    <w:rsid w:val="0089248B"/>
    <w:rsid w:val="00892A3C"/>
    <w:rsid w:val="00892BFA"/>
    <w:rsid w:val="00892EFD"/>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03C"/>
    <w:rsid w:val="0089516D"/>
    <w:rsid w:val="00895193"/>
    <w:rsid w:val="008951C3"/>
    <w:rsid w:val="008952F1"/>
    <w:rsid w:val="00895545"/>
    <w:rsid w:val="00895D58"/>
    <w:rsid w:val="00895D90"/>
    <w:rsid w:val="00895E0F"/>
    <w:rsid w:val="00895E78"/>
    <w:rsid w:val="00895F87"/>
    <w:rsid w:val="008961A7"/>
    <w:rsid w:val="008962CD"/>
    <w:rsid w:val="008963A5"/>
    <w:rsid w:val="00896575"/>
    <w:rsid w:val="00896612"/>
    <w:rsid w:val="008968D9"/>
    <w:rsid w:val="0089690E"/>
    <w:rsid w:val="00896A26"/>
    <w:rsid w:val="00896BC5"/>
    <w:rsid w:val="00896ED7"/>
    <w:rsid w:val="00897907"/>
    <w:rsid w:val="0089797E"/>
    <w:rsid w:val="00897A0E"/>
    <w:rsid w:val="00897E78"/>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A05"/>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B0C"/>
    <w:rsid w:val="008A6FC8"/>
    <w:rsid w:val="008A728F"/>
    <w:rsid w:val="008A73C1"/>
    <w:rsid w:val="008A74D2"/>
    <w:rsid w:val="008A76A5"/>
    <w:rsid w:val="008B007B"/>
    <w:rsid w:val="008B052D"/>
    <w:rsid w:val="008B0979"/>
    <w:rsid w:val="008B0B57"/>
    <w:rsid w:val="008B0CB1"/>
    <w:rsid w:val="008B1089"/>
    <w:rsid w:val="008B1146"/>
    <w:rsid w:val="008B114F"/>
    <w:rsid w:val="008B1150"/>
    <w:rsid w:val="008B1161"/>
    <w:rsid w:val="008B1293"/>
    <w:rsid w:val="008B13DE"/>
    <w:rsid w:val="008B1813"/>
    <w:rsid w:val="008B1870"/>
    <w:rsid w:val="008B1FE9"/>
    <w:rsid w:val="008B21B6"/>
    <w:rsid w:val="008B2236"/>
    <w:rsid w:val="008B226B"/>
    <w:rsid w:val="008B22DB"/>
    <w:rsid w:val="008B297A"/>
    <w:rsid w:val="008B2B9A"/>
    <w:rsid w:val="008B2FAB"/>
    <w:rsid w:val="008B31D5"/>
    <w:rsid w:val="008B3498"/>
    <w:rsid w:val="008B3A18"/>
    <w:rsid w:val="008B3A4A"/>
    <w:rsid w:val="008B3D66"/>
    <w:rsid w:val="008B411F"/>
    <w:rsid w:val="008B4175"/>
    <w:rsid w:val="008B4397"/>
    <w:rsid w:val="008B444E"/>
    <w:rsid w:val="008B44D0"/>
    <w:rsid w:val="008B452F"/>
    <w:rsid w:val="008B4626"/>
    <w:rsid w:val="008B46BA"/>
    <w:rsid w:val="008B47CA"/>
    <w:rsid w:val="008B48B7"/>
    <w:rsid w:val="008B4976"/>
    <w:rsid w:val="008B4FC7"/>
    <w:rsid w:val="008B5102"/>
    <w:rsid w:val="008B548D"/>
    <w:rsid w:val="008B58E7"/>
    <w:rsid w:val="008B5CA5"/>
    <w:rsid w:val="008B5E20"/>
    <w:rsid w:val="008B615E"/>
    <w:rsid w:val="008B63D6"/>
    <w:rsid w:val="008B64E1"/>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A4F"/>
    <w:rsid w:val="008C1B54"/>
    <w:rsid w:val="008C23C8"/>
    <w:rsid w:val="008C23C9"/>
    <w:rsid w:val="008C24CB"/>
    <w:rsid w:val="008C269E"/>
    <w:rsid w:val="008C2C78"/>
    <w:rsid w:val="008C2D86"/>
    <w:rsid w:val="008C2E28"/>
    <w:rsid w:val="008C2FA9"/>
    <w:rsid w:val="008C30E7"/>
    <w:rsid w:val="008C310E"/>
    <w:rsid w:val="008C3135"/>
    <w:rsid w:val="008C32A9"/>
    <w:rsid w:val="008C33E6"/>
    <w:rsid w:val="008C3574"/>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31"/>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1E"/>
    <w:rsid w:val="008D0833"/>
    <w:rsid w:val="008D0D2A"/>
    <w:rsid w:val="008D0DAA"/>
    <w:rsid w:val="008D0E08"/>
    <w:rsid w:val="008D100F"/>
    <w:rsid w:val="008D115B"/>
    <w:rsid w:val="008D122C"/>
    <w:rsid w:val="008D1351"/>
    <w:rsid w:val="008D1B09"/>
    <w:rsid w:val="008D1B67"/>
    <w:rsid w:val="008D1DA5"/>
    <w:rsid w:val="008D204F"/>
    <w:rsid w:val="008D20E2"/>
    <w:rsid w:val="008D2521"/>
    <w:rsid w:val="008D2C41"/>
    <w:rsid w:val="008D2E71"/>
    <w:rsid w:val="008D2E9F"/>
    <w:rsid w:val="008D3301"/>
    <w:rsid w:val="008D3347"/>
    <w:rsid w:val="008D394B"/>
    <w:rsid w:val="008D3AC8"/>
    <w:rsid w:val="008D4010"/>
    <w:rsid w:val="008D46D0"/>
    <w:rsid w:val="008D4E81"/>
    <w:rsid w:val="008D4F02"/>
    <w:rsid w:val="008D4F44"/>
    <w:rsid w:val="008D5053"/>
    <w:rsid w:val="008D51EC"/>
    <w:rsid w:val="008D5326"/>
    <w:rsid w:val="008D53DC"/>
    <w:rsid w:val="008D53F1"/>
    <w:rsid w:val="008D5517"/>
    <w:rsid w:val="008D5530"/>
    <w:rsid w:val="008D582A"/>
    <w:rsid w:val="008D5960"/>
    <w:rsid w:val="008D5A82"/>
    <w:rsid w:val="008D5C2B"/>
    <w:rsid w:val="008D5CAC"/>
    <w:rsid w:val="008D6132"/>
    <w:rsid w:val="008D6163"/>
    <w:rsid w:val="008D64F3"/>
    <w:rsid w:val="008D6627"/>
    <w:rsid w:val="008D684F"/>
    <w:rsid w:val="008D6B42"/>
    <w:rsid w:val="008D6B6B"/>
    <w:rsid w:val="008D6CA4"/>
    <w:rsid w:val="008D6CCB"/>
    <w:rsid w:val="008D6ECD"/>
    <w:rsid w:val="008D6EF6"/>
    <w:rsid w:val="008D71C6"/>
    <w:rsid w:val="008D754B"/>
    <w:rsid w:val="008D7579"/>
    <w:rsid w:val="008D7731"/>
    <w:rsid w:val="008D77CB"/>
    <w:rsid w:val="008D7B61"/>
    <w:rsid w:val="008D7FB4"/>
    <w:rsid w:val="008E05F9"/>
    <w:rsid w:val="008E0629"/>
    <w:rsid w:val="008E06C1"/>
    <w:rsid w:val="008E0782"/>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2A1"/>
    <w:rsid w:val="008E45AD"/>
    <w:rsid w:val="008E460F"/>
    <w:rsid w:val="008E465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099"/>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879"/>
    <w:rsid w:val="008F596E"/>
    <w:rsid w:val="008F5DE6"/>
    <w:rsid w:val="008F5EA3"/>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0FAA"/>
    <w:rsid w:val="009010AA"/>
    <w:rsid w:val="009011E8"/>
    <w:rsid w:val="00901260"/>
    <w:rsid w:val="009014A7"/>
    <w:rsid w:val="0090153F"/>
    <w:rsid w:val="00901EF1"/>
    <w:rsid w:val="009020C2"/>
    <w:rsid w:val="0090280E"/>
    <w:rsid w:val="0090287A"/>
    <w:rsid w:val="00902A2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9B"/>
    <w:rsid w:val="00905DB4"/>
    <w:rsid w:val="00906310"/>
    <w:rsid w:val="009064A7"/>
    <w:rsid w:val="00906817"/>
    <w:rsid w:val="009069DA"/>
    <w:rsid w:val="00906C6F"/>
    <w:rsid w:val="00907002"/>
    <w:rsid w:val="009070A1"/>
    <w:rsid w:val="00907123"/>
    <w:rsid w:val="00907197"/>
    <w:rsid w:val="009073ED"/>
    <w:rsid w:val="00907604"/>
    <w:rsid w:val="00907AC2"/>
    <w:rsid w:val="00907B27"/>
    <w:rsid w:val="00907BBE"/>
    <w:rsid w:val="00907E9A"/>
    <w:rsid w:val="00910259"/>
    <w:rsid w:val="0091033D"/>
    <w:rsid w:val="00910422"/>
    <w:rsid w:val="00910455"/>
    <w:rsid w:val="009107F5"/>
    <w:rsid w:val="00910832"/>
    <w:rsid w:val="00910A32"/>
    <w:rsid w:val="00910CED"/>
    <w:rsid w:val="00910EE8"/>
    <w:rsid w:val="00910F83"/>
    <w:rsid w:val="00911278"/>
    <w:rsid w:val="009115BB"/>
    <w:rsid w:val="00911639"/>
    <w:rsid w:val="009117C6"/>
    <w:rsid w:val="00911950"/>
    <w:rsid w:val="00911A9D"/>
    <w:rsid w:val="00911BBF"/>
    <w:rsid w:val="00911DB1"/>
    <w:rsid w:val="00911EB9"/>
    <w:rsid w:val="0091259A"/>
    <w:rsid w:val="009128FE"/>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BFC"/>
    <w:rsid w:val="00916CF7"/>
    <w:rsid w:val="00916EB2"/>
    <w:rsid w:val="00917175"/>
    <w:rsid w:val="0091762D"/>
    <w:rsid w:val="009177D8"/>
    <w:rsid w:val="00917A4F"/>
    <w:rsid w:val="00917B90"/>
    <w:rsid w:val="00917DCB"/>
    <w:rsid w:val="00917F0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C4F"/>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DBE"/>
    <w:rsid w:val="00927F58"/>
    <w:rsid w:val="00930063"/>
    <w:rsid w:val="009303BA"/>
    <w:rsid w:val="009305F1"/>
    <w:rsid w:val="0093065A"/>
    <w:rsid w:val="00930B2A"/>
    <w:rsid w:val="00930D85"/>
    <w:rsid w:val="00930F3E"/>
    <w:rsid w:val="00931144"/>
    <w:rsid w:val="009312FC"/>
    <w:rsid w:val="009315BA"/>
    <w:rsid w:val="0093175F"/>
    <w:rsid w:val="00931AB8"/>
    <w:rsid w:val="00931BC2"/>
    <w:rsid w:val="00931DB3"/>
    <w:rsid w:val="00931E9E"/>
    <w:rsid w:val="00931F78"/>
    <w:rsid w:val="009320D6"/>
    <w:rsid w:val="00932106"/>
    <w:rsid w:val="00932550"/>
    <w:rsid w:val="009326FE"/>
    <w:rsid w:val="00932746"/>
    <w:rsid w:val="009328DF"/>
    <w:rsid w:val="0093293A"/>
    <w:rsid w:val="00932ACA"/>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AF8"/>
    <w:rsid w:val="00935B2B"/>
    <w:rsid w:val="00935B74"/>
    <w:rsid w:val="00935E09"/>
    <w:rsid w:val="00935F85"/>
    <w:rsid w:val="00936658"/>
    <w:rsid w:val="00936CCE"/>
    <w:rsid w:val="00936CF4"/>
    <w:rsid w:val="00936E80"/>
    <w:rsid w:val="009370A1"/>
    <w:rsid w:val="00937175"/>
    <w:rsid w:val="009371B4"/>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3F"/>
    <w:rsid w:val="009419EE"/>
    <w:rsid w:val="00941D68"/>
    <w:rsid w:val="00941FAC"/>
    <w:rsid w:val="00942270"/>
    <w:rsid w:val="009427AB"/>
    <w:rsid w:val="009427F0"/>
    <w:rsid w:val="009429B6"/>
    <w:rsid w:val="0094321B"/>
    <w:rsid w:val="00943A3D"/>
    <w:rsid w:val="00943C67"/>
    <w:rsid w:val="00943DCF"/>
    <w:rsid w:val="00943DE2"/>
    <w:rsid w:val="00943E9A"/>
    <w:rsid w:val="009441E4"/>
    <w:rsid w:val="009441F5"/>
    <w:rsid w:val="009442FA"/>
    <w:rsid w:val="00944375"/>
    <w:rsid w:val="009444D3"/>
    <w:rsid w:val="00944845"/>
    <w:rsid w:val="00944B9C"/>
    <w:rsid w:val="00944E0B"/>
    <w:rsid w:val="00944E96"/>
    <w:rsid w:val="009451C8"/>
    <w:rsid w:val="0094538B"/>
    <w:rsid w:val="009455B1"/>
    <w:rsid w:val="00945742"/>
    <w:rsid w:val="00945824"/>
    <w:rsid w:val="00945988"/>
    <w:rsid w:val="009459A5"/>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699"/>
    <w:rsid w:val="00947D9F"/>
    <w:rsid w:val="00947E10"/>
    <w:rsid w:val="00947FE4"/>
    <w:rsid w:val="00950292"/>
    <w:rsid w:val="0095032F"/>
    <w:rsid w:val="00950499"/>
    <w:rsid w:val="00950937"/>
    <w:rsid w:val="00950AD0"/>
    <w:rsid w:val="00950AEF"/>
    <w:rsid w:val="009510C4"/>
    <w:rsid w:val="0095114E"/>
    <w:rsid w:val="0095147A"/>
    <w:rsid w:val="0095163B"/>
    <w:rsid w:val="009516C4"/>
    <w:rsid w:val="009519DA"/>
    <w:rsid w:val="00951B64"/>
    <w:rsid w:val="00951E46"/>
    <w:rsid w:val="00951E6A"/>
    <w:rsid w:val="00952202"/>
    <w:rsid w:val="0095239B"/>
    <w:rsid w:val="009525CB"/>
    <w:rsid w:val="009529F3"/>
    <w:rsid w:val="00952A1B"/>
    <w:rsid w:val="00952CFE"/>
    <w:rsid w:val="00952E27"/>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0DA"/>
    <w:rsid w:val="009552EA"/>
    <w:rsid w:val="0095582B"/>
    <w:rsid w:val="009559B6"/>
    <w:rsid w:val="00955DDE"/>
    <w:rsid w:val="009561EF"/>
    <w:rsid w:val="00956793"/>
    <w:rsid w:val="00956827"/>
    <w:rsid w:val="009568F4"/>
    <w:rsid w:val="00956A83"/>
    <w:rsid w:val="00956C96"/>
    <w:rsid w:val="00956E87"/>
    <w:rsid w:val="00956FD3"/>
    <w:rsid w:val="009571A6"/>
    <w:rsid w:val="0095761A"/>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608"/>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55"/>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D0D"/>
    <w:rsid w:val="00967EF5"/>
    <w:rsid w:val="00970039"/>
    <w:rsid w:val="009702C1"/>
    <w:rsid w:val="00970389"/>
    <w:rsid w:val="0097041A"/>
    <w:rsid w:val="00970687"/>
    <w:rsid w:val="00970793"/>
    <w:rsid w:val="0097083A"/>
    <w:rsid w:val="00970CD4"/>
    <w:rsid w:val="00970F19"/>
    <w:rsid w:val="00971146"/>
    <w:rsid w:val="009711A9"/>
    <w:rsid w:val="009711CD"/>
    <w:rsid w:val="009714A7"/>
    <w:rsid w:val="0097195B"/>
    <w:rsid w:val="00971E6E"/>
    <w:rsid w:val="00971FDE"/>
    <w:rsid w:val="00972316"/>
    <w:rsid w:val="009723EF"/>
    <w:rsid w:val="00972410"/>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B7"/>
    <w:rsid w:val="00974CD8"/>
    <w:rsid w:val="00974E5C"/>
    <w:rsid w:val="00974F2F"/>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B6"/>
    <w:rsid w:val="009777C2"/>
    <w:rsid w:val="00977866"/>
    <w:rsid w:val="00977E3C"/>
    <w:rsid w:val="00980064"/>
    <w:rsid w:val="0098013A"/>
    <w:rsid w:val="00980301"/>
    <w:rsid w:val="009804B5"/>
    <w:rsid w:val="0098050D"/>
    <w:rsid w:val="0098083F"/>
    <w:rsid w:val="00980865"/>
    <w:rsid w:val="009808B7"/>
    <w:rsid w:val="00980B01"/>
    <w:rsid w:val="00980B57"/>
    <w:rsid w:val="00980E28"/>
    <w:rsid w:val="00980E63"/>
    <w:rsid w:val="009813D7"/>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30"/>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5ED1"/>
    <w:rsid w:val="0098673A"/>
    <w:rsid w:val="00986DA8"/>
    <w:rsid w:val="00986E12"/>
    <w:rsid w:val="009871DC"/>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1EB"/>
    <w:rsid w:val="0099234E"/>
    <w:rsid w:val="00992394"/>
    <w:rsid w:val="0099264F"/>
    <w:rsid w:val="00992B2B"/>
    <w:rsid w:val="00992B68"/>
    <w:rsid w:val="00992D80"/>
    <w:rsid w:val="0099313A"/>
    <w:rsid w:val="00993183"/>
    <w:rsid w:val="009932C9"/>
    <w:rsid w:val="00993329"/>
    <w:rsid w:val="0099366C"/>
    <w:rsid w:val="009937CB"/>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D39"/>
    <w:rsid w:val="00995E52"/>
    <w:rsid w:val="00995E56"/>
    <w:rsid w:val="00995F60"/>
    <w:rsid w:val="009960AC"/>
    <w:rsid w:val="009965FE"/>
    <w:rsid w:val="009966ED"/>
    <w:rsid w:val="00996960"/>
    <w:rsid w:val="00996ABB"/>
    <w:rsid w:val="00996B95"/>
    <w:rsid w:val="00996F81"/>
    <w:rsid w:val="00996FA9"/>
    <w:rsid w:val="0099721B"/>
    <w:rsid w:val="00997369"/>
    <w:rsid w:val="00997428"/>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75"/>
    <w:rsid w:val="009A11FA"/>
    <w:rsid w:val="009A133C"/>
    <w:rsid w:val="009A14B1"/>
    <w:rsid w:val="009A15CF"/>
    <w:rsid w:val="009A15EB"/>
    <w:rsid w:val="009A174C"/>
    <w:rsid w:val="009A1896"/>
    <w:rsid w:val="009A1917"/>
    <w:rsid w:val="009A1CB7"/>
    <w:rsid w:val="009A1D70"/>
    <w:rsid w:val="009A1F37"/>
    <w:rsid w:val="009A2048"/>
    <w:rsid w:val="009A207E"/>
    <w:rsid w:val="009A2518"/>
    <w:rsid w:val="009A26C8"/>
    <w:rsid w:val="009A26FF"/>
    <w:rsid w:val="009A27AE"/>
    <w:rsid w:val="009A2BEA"/>
    <w:rsid w:val="009A2C73"/>
    <w:rsid w:val="009A2EA3"/>
    <w:rsid w:val="009A302F"/>
    <w:rsid w:val="009A3191"/>
    <w:rsid w:val="009A3825"/>
    <w:rsid w:val="009A39B2"/>
    <w:rsid w:val="009A3DA0"/>
    <w:rsid w:val="009A402B"/>
    <w:rsid w:val="009A41F0"/>
    <w:rsid w:val="009A4321"/>
    <w:rsid w:val="009A4357"/>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A24"/>
    <w:rsid w:val="009B5BA4"/>
    <w:rsid w:val="009B5E8D"/>
    <w:rsid w:val="009B5F0C"/>
    <w:rsid w:val="009B5F42"/>
    <w:rsid w:val="009B5FC2"/>
    <w:rsid w:val="009B61B8"/>
    <w:rsid w:val="009B6596"/>
    <w:rsid w:val="009B65AD"/>
    <w:rsid w:val="009B6B3D"/>
    <w:rsid w:val="009B6DA1"/>
    <w:rsid w:val="009B6F81"/>
    <w:rsid w:val="009B7003"/>
    <w:rsid w:val="009B782C"/>
    <w:rsid w:val="009B7E72"/>
    <w:rsid w:val="009B7EC9"/>
    <w:rsid w:val="009B7FA0"/>
    <w:rsid w:val="009C056C"/>
    <w:rsid w:val="009C0732"/>
    <w:rsid w:val="009C0A6B"/>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9CA"/>
    <w:rsid w:val="009C2DB7"/>
    <w:rsid w:val="009C2E33"/>
    <w:rsid w:val="009C2F12"/>
    <w:rsid w:val="009C3222"/>
    <w:rsid w:val="009C33D9"/>
    <w:rsid w:val="009C34D0"/>
    <w:rsid w:val="009C3526"/>
    <w:rsid w:val="009C3623"/>
    <w:rsid w:val="009C3A20"/>
    <w:rsid w:val="009C3CD6"/>
    <w:rsid w:val="009C3E2F"/>
    <w:rsid w:val="009C3E87"/>
    <w:rsid w:val="009C3F20"/>
    <w:rsid w:val="009C40AA"/>
    <w:rsid w:val="009C40EF"/>
    <w:rsid w:val="009C46AC"/>
    <w:rsid w:val="009C4899"/>
    <w:rsid w:val="009C4B49"/>
    <w:rsid w:val="009C4BBB"/>
    <w:rsid w:val="009C4C59"/>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AC3"/>
    <w:rsid w:val="009C6BDC"/>
    <w:rsid w:val="009C6F03"/>
    <w:rsid w:val="009C7016"/>
    <w:rsid w:val="009C704D"/>
    <w:rsid w:val="009C7070"/>
    <w:rsid w:val="009C7289"/>
    <w:rsid w:val="009C72D9"/>
    <w:rsid w:val="009C7315"/>
    <w:rsid w:val="009C7607"/>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73E"/>
    <w:rsid w:val="009D38C0"/>
    <w:rsid w:val="009D3A3D"/>
    <w:rsid w:val="009D3B39"/>
    <w:rsid w:val="009D3C12"/>
    <w:rsid w:val="009D3D89"/>
    <w:rsid w:val="009D4016"/>
    <w:rsid w:val="009D4291"/>
    <w:rsid w:val="009D4778"/>
    <w:rsid w:val="009D51AA"/>
    <w:rsid w:val="009D5211"/>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A7"/>
    <w:rsid w:val="009E0625"/>
    <w:rsid w:val="009E0768"/>
    <w:rsid w:val="009E07CF"/>
    <w:rsid w:val="009E0978"/>
    <w:rsid w:val="009E0AD2"/>
    <w:rsid w:val="009E0B18"/>
    <w:rsid w:val="009E0B61"/>
    <w:rsid w:val="009E0CC7"/>
    <w:rsid w:val="009E1439"/>
    <w:rsid w:val="009E149D"/>
    <w:rsid w:val="009E175C"/>
    <w:rsid w:val="009E175E"/>
    <w:rsid w:val="009E187B"/>
    <w:rsid w:val="009E19FF"/>
    <w:rsid w:val="009E1B69"/>
    <w:rsid w:val="009E1CA3"/>
    <w:rsid w:val="009E1D65"/>
    <w:rsid w:val="009E1DD1"/>
    <w:rsid w:val="009E1E6F"/>
    <w:rsid w:val="009E204A"/>
    <w:rsid w:val="009E216E"/>
    <w:rsid w:val="009E2245"/>
    <w:rsid w:val="009E22DA"/>
    <w:rsid w:val="009E276A"/>
    <w:rsid w:val="009E2792"/>
    <w:rsid w:val="009E27E3"/>
    <w:rsid w:val="009E28E2"/>
    <w:rsid w:val="009E29A1"/>
    <w:rsid w:val="009E2D74"/>
    <w:rsid w:val="009E2FE1"/>
    <w:rsid w:val="009E2FF2"/>
    <w:rsid w:val="009E3297"/>
    <w:rsid w:val="009E32B6"/>
    <w:rsid w:val="009E36C6"/>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A49"/>
    <w:rsid w:val="009E6B48"/>
    <w:rsid w:val="009E6CDE"/>
    <w:rsid w:val="009E71AF"/>
    <w:rsid w:val="009E72D8"/>
    <w:rsid w:val="009E734D"/>
    <w:rsid w:val="009E7364"/>
    <w:rsid w:val="009E74F7"/>
    <w:rsid w:val="009E76F9"/>
    <w:rsid w:val="009E77FC"/>
    <w:rsid w:val="009E7C1D"/>
    <w:rsid w:val="009E7FAD"/>
    <w:rsid w:val="009F0014"/>
    <w:rsid w:val="009F028D"/>
    <w:rsid w:val="009F02BC"/>
    <w:rsid w:val="009F09D7"/>
    <w:rsid w:val="009F0A1D"/>
    <w:rsid w:val="009F0BB9"/>
    <w:rsid w:val="009F0DCC"/>
    <w:rsid w:val="009F0E1A"/>
    <w:rsid w:val="009F0E26"/>
    <w:rsid w:val="009F114C"/>
    <w:rsid w:val="009F122A"/>
    <w:rsid w:val="009F13D3"/>
    <w:rsid w:val="009F1C9B"/>
    <w:rsid w:val="009F1D06"/>
    <w:rsid w:val="009F2269"/>
    <w:rsid w:val="009F27B5"/>
    <w:rsid w:val="009F28B5"/>
    <w:rsid w:val="009F2E5F"/>
    <w:rsid w:val="009F2F2C"/>
    <w:rsid w:val="009F3077"/>
    <w:rsid w:val="009F30A9"/>
    <w:rsid w:val="009F3581"/>
    <w:rsid w:val="009F3686"/>
    <w:rsid w:val="009F3A71"/>
    <w:rsid w:val="009F3DD0"/>
    <w:rsid w:val="009F3DE5"/>
    <w:rsid w:val="009F3FB2"/>
    <w:rsid w:val="009F410E"/>
    <w:rsid w:val="009F4261"/>
    <w:rsid w:val="009F4450"/>
    <w:rsid w:val="009F48C0"/>
    <w:rsid w:val="009F4955"/>
    <w:rsid w:val="009F4C20"/>
    <w:rsid w:val="009F4D77"/>
    <w:rsid w:val="009F4E2E"/>
    <w:rsid w:val="009F4E3D"/>
    <w:rsid w:val="009F50A4"/>
    <w:rsid w:val="009F52C4"/>
    <w:rsid w:val="009F5447"/>
    <w:rsid w:val="009F557B"/>
    <w:rsid w:val="009F568B"/>
    <w:rsid w:val="009F5828"/>
    <w:rsid w:val="009F5A25"/>
    <w:rsid w:val="009F5A79"/>
    <w:rsid w:val="009F6177"/>
    <w:rsid w:val="009F662B"/>
    <w:rsid w:val="009F67D1"/>
    <w:rsid w:val="009F68E2"/>
    <w:rsid w:val="009F6B62"/>
    <w:rsid w:val="009F6DBF"/>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1B8"/>
    <w:rsid w:val="00A038E0"/>
    <w:rsid w:val="00A03ADC"/>
    <w:rsid w:val="00A03AE3"/>
    <w:rsid w:val="00A03CB8"/>
    <w:rsid w:val="00A042BE"/>
    <w:rsid w:val="00A0454F"/>
    <w:rsid w:val="00A0458F"/>
    <w:rsid w:val="00A04602"/>
    <w:rsid w:val="00A04690"/>
    <w:rsid w:val="00A046FB"/>
    <w:rsid w:val="00A04765"/>
    <w:rsid w:val="00A0492A"/>
    <w:rsid w:val="00A04B93"/>
    <w:rsid w:val="00A0512C"/>
    <w:rsid w:val="00A051CB"/>
    <w:rsid w:val="00A052DE"/>
    <w:rsid w:val="00A052F1"/>
    <w:rsid w:val="00A05977"/>
    <w:rsid w:val="00A05ABE"/>
    <w:rsid w:val="00A05CC5"/>
    <w:rsid w:val="00A05ED2"/>
    <w:rsid w:val="00A05F04"/>
    <w:rsid w:val="00A06019"/>
    <w:rsid w:val="00A06168"/>
    <w:rsid w:val="00A06186"/>
    <w:rsid w:val="00A06372"/>
    <w:rsid w:val="00A06BF0"/>
    <w:rsid w:val="00A06D7F"/>
    <w:rsid w:val="00A073CF"/>
    <w:rsid w:val="00A0752A"/>
    <w:rsid w:val="00A077DF"/>
    <w:rsid w:val="00A078F4"/>
    <w:rsid w:val="00A07918"/>
    <w:rsid w:val="00A07980"/>
    <w:rsid w:val="00A07A80"/>
    <w:rsid w:val="00A07C74"/>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8D"/>
    <w:rsid w:val="00A142AE"/>
    <w:rsid w:val="00A142BB"/>
    <w:rsid w:val="00A148BF"/>
    <w:rsid w:val="00A14A24"/>
    <w:rsid w:val="00A15108"/>
    <w:rsid w:val="00A1521B"/>
    <w:rsid w:val="00A159F7"/>
    <w:rsid w:val="00A15C50"/>
    <w:rsid w:val="00A15CF5"/>
    <w:rsid w:val="00A15F89"/>
    <w:rsid w:val="00A1649C"/>
    <w:rsid w:val="00A1660F"/>
    <w:rsid w:val="00A16616"/>
    <w:rsid w:val="00A16A14"/>
    <w:rsid w:val="00A16B1D"/>
    <w:rsid w:val="00A16C9D"/>
    <w:rsid w:val="00A16D4D"/>
    <w:rsid w:val="00A16EBB"/>
    <w:rsid w:val="00A1735A"/>
    <w:rsid w:val="00A1744F"/>
    <w:rsid w:val="00A1785B"/>
    <w:rsid w:val="00A178CF"/>
    <w:rsid w:val="00A17926"/>
    <w:rsid w:val="00A17DAE"/>
    <w:rsid w:val="00A203C1"/>
    <w:rsid w:val="00A203E2"/>
    <w:rsid w:val="00A20603"/>
    <w:rsid w:val="00A2084A"/>
    <w:rsid w:val="00A2091F"/>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48F"/>
    <w:rsid w:val="00A236CB"/>
    <w:rsid w:val="00A237E3"/>
    <w:rsid w:val="00A23968"/>
    <w:rsid w:val="00A23B78"/>
    <w:rsid w:val="00A23C2D"/>
    <w:rsid w:val="00A23C77"/>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36"/>
    <w:rsid w:val="00A2774B"/>
    <w:rsid w:val="00A27A5F"/>
    <w:rsid w:val="00A27B69"/>
    <w:rsid w:val="00A27CCA"/>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59C"/>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96"/>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0E"/>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37EEA"/>
    <w:rsid w:val="00A403D4"/>
    <w:rsid w:val="00A4047C"/>
    <w:rsid w:val="00A40516"/>
    <w:rsid w:val="00A408FA"/>
    <w:rsid w:val="00A40962"/>
    <w:rsid w:val="00A40B01"/>
    <w:rsid w:val="00A40CB8"/>
    <w:rsid w:val="00A40D3E"/>
    <w:rsid w:val="00A40D9A"/>
    <w:rsid w:val="00A41102"/>
    <w:rsid w:val="00A41371"/>
    <w:rsid w:val="00A41400"/>
    <w:rsid w:val="00A415B6"/>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79D"/>
    <w:rsid w:val="00A45893"/>
    <w:rsid w:val="00A45CF3"/>
    <w:rsid w:val="00A45D05"/>
    <w:rsid w:val="00A45D78"/>
    <w:rsid w:val="00A45E1D"/>
    <w:rsid w:val="00A4606B"/>
    <w:rsid w:val="00A46189"/>
    <w:rsid w:val="00A46702"/>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62F"/>
    <w:rsid w:val="00A528BA"/>
    <w:rsid w:val="00A52A26"/>
    <w:rsid w:val="00A52D50"/>
    <w:rsid w:val="00A52F74"/>
    <w:rsid w:val="00A530E3"/>
    <w:rsid w:val="00A534E0"/>
    <w:rsid w:val="00A535C9"/>
    <w:rsid w:val="00A535E0"/>
    <w:rsid w:val="00A53715"/>
    <w:rsid w:val="00A53735"/>
    <w:rsid w:val="00A5387E"/>
    <w:rsid w:val="00A53898"/>
    <w:rsid w:val="00A53936"/>
    <w:rsid w:val="00A53971"/>
    <w:rsid w:val="00A53B3D"/>
    <w:rsid w:val="00A53D4B"/>
    <w:rsid w:val="00A53DA8"/>
    <w:rsid w:val="00A54032"/>
    <w:rsid w:val="00A54099"/>
    <w:rsid w:val="00A54184"/>
    <w:rsid w:val="00A5418D"/>
    <w:rsid w:val="00A54403"/>
    <w:rsid w:val="00A544E6"/>
    <w:rsid w:val="00A54925"/>
    <w:rsid w:val="00A54A3E"/>
    <w:rsid w:val="00A54C1D"/>
    <w:rsid w:val="00A54DE9"/>
    <w:rsid w:val="00A54E4D"/>
    <w:rsid w:val="00A54EE4"/>
    <w:rsid w:val="00A54FC0"/>
    <w:rsid w:val="00A55157"/>
    <w:rsid w:val="00A554D2"/>
    <w:rsid w:val="00A55722"/>
    <w:rsid w:val="00A55779"/>
    <w:rsid w:val="00A55A7B"/>
    <w:rsid w:val="00A55CE3"/>
    <w:rsid w:val="00A55ECB"/>
    <w:rsid w:val="00A55FD9"/>
    <w:rsid w:val="00A5668D"/>
    <w:rsid w:val="00A568E6"/>
    <w:rsid w:val="00A56B05"/>
    <w:rsid w:val="00A56B33"/>
    <w:rsid w:val="00A57103"/>
    <w:rsid w:val="00A5715D"/>
    <w:rsid w:val="00A57162"/>
    <w:rsid w:val="00A571C1"/>
    <w:rsid w:val="00A57935"/>
    <w:rsid w:val="00A57B78"/>
    <w:rsid w:val="00A57CF9"/>
    <w:rsid w:val="00A57D50"/>
    <w:rsid w:val="00A602AD"/>
    <w:rsid w:val="00A60708"/>
    <w:rsid w:val="00A60BFE"/>
    <w:rsid w:val="00A60DF7"/>
    <w:rsid w:val="00A60EEA"/>
    <w:rsid w:val="00A612B7"/>
    <w:rsid w:val="00A61BB5"/>
    <w:rsid w:val="00A61D48"/>
    <w:rsid w:val="00A61DED"/>
    <w:rsid w:val="00A62533"/>
    <w:rsid w:val="00A62579"/>
    <w:rsid w:val="00A626A0"/>
    <w:rsid w:val="00A62A13"/>
    <w:rsid w:val="00A62A3D"/>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3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3B7"/>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1F4A"/>
    <w:rsid w:val="00A7208A"/>
    <w:rsid w:val="00A721AB"/>
    <w:rsid w:val="00A722E7"/>
    <w:rsid w:val="00A728E1"/>
    <w:rsid w:val="00A72C65"/>
    <w:rsid w:val="00A730ED"/>
    <w:rsid w:val="00A73139"/>
    <w:rsid w:val="00A731F9"/>
    <w:rsid w:val="00A7327E"/>
    <w:rsid w:val="00A7340E"/>
    <w:rsid w:val="00A73621"/>
    <w:rsid w:val="00A73811"/>
    <w:rsid w:val="00A73C27"/>
    <w:rsid w:val="00A73D03"/>
    <w:rsid w:val="00A73F50"/>
    <w:rsid w:val="00A7428C"/>
    <w:rsid w:val="00A74771"/>
    <w:rsid w:val="00A74790"/>
    <w:rsid w:val="00A749D2"/>
    <w:rsid w:val="00A74DB9"/>
    <w:rsid w:val="00A74FB5"/>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BA8"/>
    <w:rsid w:val="00A77C7B"/>
    <w:rsid w:val="00A77D15"/>
    <w:rsid w:val="00A77D45"/>
    <w:rsid w:val="00A77E99"/>
    <w:rsid w:val="00A8050B"/>
    <w:rsid w:val="00A80624"/>
    <w:rsid w:val="00A8094A"/>
    <w:rsid w:val="00A80A31"/>
    <w:rsid w:val="00A80A42"/>
    <w:rsid w:val="00A80C47"/>
    <w:rsid w:val="00A80FCE"/>
    <w:rsid w:val="00A81089"/>
    <w:rsid w:val="00A810BC"/>
    <w:rsid w:val="00A8111C"/>
    <w:rsid w:val="00A813B1"/>
    <w:rsid w:val="00A81D11"/>
    <w:rsid w:val="00A81EFB"/>
    <w:rsid w:val="00A8210E"/>
    <w:rsid w:val="00A8212E"/>
    <w:rsid w:val="00A8236D"/>
    <w:rsid w:val="00A823E1"/>
    <w:rsid w:val="00A82770"/>
    <w:rsid w:val="00A82995"/>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A3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69"/>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67E"/>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0EB"/>
    <w:rsid w:val="00AA5118"/>
    <w:rsid w:val="00AA54C6"/>
    <w:rsid w:val="00AA56B0"/>
    <w:rsid w:val="00AA575C"/>
    <w:rsid w:val="00AA575F"/>
    <w:rsid w:val="00AA5A3C"/>
    <w:rsid w:val="00AA5BC6"/>
    <w:rsid w:val="00AA5D47"/>
    <w:rsid w:val="00AA6097"/>
    <w:rsid w:val="00AA6163"/>
    <w:rsid w:val="00AA61F2"/>
    <w:rsid w:val="00AA6331"/>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2E0"/>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9E5"/>
    <w:rsid w:val="00AB4D93"/>
    <w:rsid w:val="00AB4DA2"/>
    <w:rsid w:val="00AB52DD"/>
    <w:rsid w:val="00AB56A2"/>
    <w:rsid w:val="00AB58D2"/>
    <w:rsid w:val="00AB5DDE"/>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8E"/>
    <w:rsid w:val="00AC00F3"/>
    <w:rsid w:val="00AC0222"/>
    <w:rsid w:val="00AC04C8"/>
    <w:rsid w:val="00AC0AB1"/>
    <w:rsid w:val="00AC1217"/>
    <w:rsid w:val="00AC1346"/>
    <w:rsid w:val="00AC1703"/>
    <w:rsid w:val="00AC18D9"/>
    <w:rsid w:val="00AC22AA"/>
    <w:rsid w:val="00AC2487"/>
    <w:rsid w:val="00AC27FF"/>
    <w:rsid w:val="00AC2A2F"/>
    <w:rsid w:val="00AC2C04"/>
    <w:rsid w:val="00AC2C70"/>
    <w:rsid w:val="00AC31EC"/>
    <w:rsid w:val="00AC31FD"/>
    <w:rsid w:val="00AC3293"/>
    <w:rsid w:val="00AC3624"/>
    <w:rsid w:val="00AC39FE"/>
    <w:rsid w:val="00AC3B0B"/>
    <w:rsid w:val="00AC3B27"/>
    <w:rsid w:val="00AC410C"/>
    <w:rsid w:val="00AC4236"/>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2DD"/>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2AB"/>
    <w:rsid w:val="00AD14C1"/>
    <w:rsid w:val="00AD16FC"/>
    <w:rsid w:val="00AD1892"/>
    <w:rsid w:val="00AD1A5D"/>
    <w:rsid w:val="00AD1C9D"/>
    <w:rsid w:val="00AD1E58"/>
    <w:rsid w:val="00AD1F54"/>
    <w:rsid w:val="00AD2058"/>
    <w:rsid w:val="00AD2113"/>
    <w:rsid w:val="00AD212F"/>
    <w:rsid w:val="00AD22EF"/>
    <w:rsid w:val="00AD2CA9"/>
    <w:rsid w:val="00AD2DAC"/>
    <w:rsid w:val="00AD2E1C"/>
    <w:rsid w:val="00AD2E79"/>
    <w:rsid w:val="00AD2EC5"/>
    <w:rsid w:val="00AD323C"/>
    <w:rsid w:val="00AD36E0"/>
    <w:rsid w:val="00AD3888"/>
    <w:rsid w:val="00AD38A2"/>
    <w:rsid w:val="00AD38EF"/>
    <w:rsid w:val="00AD3A52"/>
    <w:rsid w:val="00AD3A59"/>
    <w:rsid w:val="00AD3F62"/>
    <w:rsid w:val="00AD4035"/>
    <w:rsid w:val="00AD42B3"/>
    <w:rsid w:val="00AD44DE"/>
    <w:rsid w:val="00AD4872"/>
    <w:rsid w:val="00AD4DB2"/>
    <w:rsid w:val="00AD500B"/>
    <w:rsid w:val="00AD51AB"/>
    <w:rsid w:val="00AD5205"/>
    <w:rsid w:val="00AD56F0"/>
    <w:rsid w:val="00AD5708"/>
    <w:rsid w:val="00AD5852"/>
    <w:rsid w:val="00AD598B"/>
    <w:rsid w:val="00AD5E0C"/>
    <w:rsid w:val="00AD6123"/>
    <w:rsid w:val="00AD6845"/>
    <w:rsid w:val="00AD68C1"/>
    <w:rsid w:val="00AD6C00"/>
    <w:rsid w:val="00AD6C74"/>
    <w:rsid w:val="00AD6CC9"/>
    <w:rsid w:val="00AD6EAE"/>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0C"/>
    <w:rsid w:val="00AE7321"/>
    <w:rsid w:val="00AE73D7"/>
    <w:rsid w:val="00AE7426"/>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837"/>
    <w:rsid w:val="00AF3903"/>
    <w:rsid w:val="00AF3B34"/>
    <w:rsid w:val="00AF3BC6"/>
    <w:rsid w:val="00AF3C5C"/>
    <w:rsid w:val="00AF3D83"/>
    <w:rsid w:val="00AF3DCD"/>
    <w:rsid w:val="00AF427C"/>
    <w:rsid w:val="00AF45D7"/>
    <w:rsid w:val="00AF47D4"/>
    <w:rsid w:val="00AF48C4"/>
    <w:rsid w:val="00AF495B"/>
    <w:rsid w:val="00AF49DD"/>
    <w:rsid w:val="00AF4F9C"/>
    <w:rsid w:val="00AF5114"/>
    <w:rsid w:val="00AF52BC"/>
    <w:rsid w:val="00AF5337"/>
    <w:rsid w:val="00AF540E"/>
    <w:rsid w:val="00AF57F7"/>
    <w:rsid w:val="00AF5C5D"/>
    <w:rsid w:val="00AF5D6A"/>
    <w:rsid w:val="00AF64B6"/>
    <w:rsid w:val="00AF64C5"/>
    <w:rsid w:val="00AF659E"/>
    <w:rsid w:val="00AF6681"/>
    <w:rsid w:val="00AF66A9"/>
    <w:rsid w:val="00AF67DD"/>
    <w:rsid w:val="00AF692A"/>
    <w:rsid w:val="00AF6CF2"/>
    <w:rsid w:val="00AF744E"/>
    <w:rsid w:val="00AF74C2"/>
    <w:rsid w:val="00AF76E1"/>
    <w:rsid w:val="00AF79E5"/>
    <w:rsid w:val="00AF7A9B"/>
    <w:rsid w:val="00AF7AD4"/>
    <w:rsid w:val="00AF7E92"/>
    <w:rsid w:val="00B00018"/>
    <w:rsid w:val="00B000BE"/>
    <w:rsid w:val="00B0030E"/>
    <w:rsid w:val="00B00705"/>
    <w:rsid w:val="00B00879"/>
    <w:rsid w:val="00B00938"/>
    <w:rsid w:val="00B00C29"/>
    <w:rsid w:val="00B00D80"/>
    <w:rsid w:val="00B012CA"/>
    <w:rsid w:val="00B012F7"/>
    <w:rsid w:val="00B01369"/>
    <w:rsid w:val="00B017DC"/>
    <w:rsid w:val="00B01D56"/>
    <w:rsid w:val="00B01E3F"/>
    <w:rsid w:val="00B023FD"/>
    <w:rsid w:val="00B0249F"/>
    <w:rsid w:val="00B02584"/>
    <w:rsid w:val="00B029D0"/>
    <w:rsid w:val="00B02B84"/>
    <w:rsid w:val="00B02C47"/>
    <w:rsid w:val="00B02EB3"/>
    <w:rsid w:val="00B035D9"/>
    <w:rsid w:val="00B03AAB"/>
    <w:rsid w:val="00B03AC1"/>
    <w:rsid w:val="00B03BF2"/>
    <w:rsid w:val="00B04024"/>
    <w:rsid w:val="00B04269"/>
    <w:rsid w:val="00B042BF"/>
    <w:rsid w:val="00B04410"/>
    <w:rsid w:val="00B044CA"/>
    <w:rsid w:val="00B044E2"/>
    <w:rsid w:val="00B0470A"/>
    <w:rsid w:val="00B04734"/>
    <w:rsid w:val="00B0479B"/>
    <w:rsid w:val="00B048F0"/>
    <w:rsid w:val="00B04978"/>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DDD"/>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08A"/>
    <w:rsid w:val="00B13206"/>
    <w:rsid w:val="00B13405"/>
    <w:rsid w:val="00B136FB"/>
    <w:rsid w:val="00B13794"/>
    <w:rsid w:val="00B1382F"/>
    <w:rsid w:val="00B13921"/>
    <w:rsid w:val="00B139DF"/>
    <w:rsid w:val="00B13A33"/>
    <w:rsid w:val="00B13A9F"/>
    <w:rsid w:val="00B13B99"/>
    <w:rsid w:val="00B13CD1"/>
    <w:rsid w:val="00B1412C"/>
    <w:rsid w:val="00B144A8"/>
    <w:rsid w:val="00B14578"/>
    <w:rsid w:val="00B14A35"/>
    <w:rsid w:val="00B14F54"/>
    <w:rsid w:val="00B15302"/>
    <w:rsid w:val="00B15313"/>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2FE"/>
    <w:rsid w:val="00B20515"/>
    <w:rsid w:val="00B20CD0"/>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6B"/>
    <w:rsid w:val="00B25994"/>
    <w:rsid w:val="00B259BD"/>
    <w:rsid w:val="00B259CD"/>
    <w:rsid w:val="00B25F06"/>
    <w:rsid w:val="00B25F50"/>
    <w:rsid w:val="00B25F52"/>
    <w:rsid w:val="00B2603B"/>
    <w:rsid w:val="00B261AA"/>
    <w:rsid w:val="00B261DE"/>
    <w:rsid w:val="00B2621B"/>
    <w:rsid w:val="00B263D0"/>
    <w:rsid w:val="00B26669"/>
    <w:rsid w:val="00B266A0"/>
    <w:rsid w:val="00B266C8"/>
    <w:rsid w:val="00B26A1F"/>
    <w:rsid w:val="00B26A5D"/>
    <w:rsid w:val="00B26B55"/>
    <w:rsid w:val="00B27104"/>
    <w:rsid w:val="00B2748A"/>
    <w:rsid w:val="00B27560"/>
    <w:rsid w:val="00B275FA"/>
    <w:rsid w:val="00B276E7"/>
    <w:rsid w:val="00B2779E"/>
    <w:rsid w:val="00B277A1"/>
    <w:rsid w:val="00B27937"/>
    <w:rsid w:val="00B27B06"/>
    <w:rsid w:val="00B27BC2"/>
    <w:rsid w:val="00B27BD5"/>
    <w:rsid w:val="00B27D92"/>
    <w:rsid w:val="00B27DFB"/>
    <w:rsid w:val="00B27EAF"/>
    <w:rsid w:val="00B302ED"/>
    <w:rsid w:val="00B305A8"/>
    <w:rsid w:val="00B3087F"/>
    <w:rsid w:val="00B30929"/>
    <w:rsid w:val="00B31011"/>
    <w:rsid w:val="00B310D6"/>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ADE"/>
    <w:rsid w:val="00B35BF4"/>
    <w:rsid w:val="00B35E70"/>
    <w:rsid w:val="00B3614B"/>
    <w:rsid w:val="00B36749"/>
    <w:rsid w:val="00B36803"/>
    <w:rsid w:val="00B36921"/>
    <w:rsid w:val="00B36AD3"/>
    <w:rsid w:val="00B36DE3"/>
    <w:rsid w:val="00B3750F"/>
    <w:rsid w:val="00B37538"/>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C98"/>
    <w:rsid w:val="00B42D23"/>
    <w:rsid w:val="00B42FC1"/>
    <w:rsid w:val="00B432AA"/>
    <w:rsid w:val="00B4361C"/>
    <w:rsid w:val="00B4387A"/>
    <w:rsid w:val="00B439CE"/>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35"/>
    <w:rsid w:val="00B475A9"/>
    <w:rsid w:val="00B478B3"/>
    <w:rsid w:val="00B4799D"/>
    <w:rsid w:val="00B47A89"/>
    <w:rsid w:val="00B47D66"/>
    <w:rsid w:val="00B47F0C"/>
    <w:rsid w:val="00B50331"/>
    <w:rsid w:val="00B50334"/>
    <w:rsid w:val="00B505A4"/>
    <w:rsid w:val="00B50C5A"/>
    <w:rsid w:val="00B50D1D"/>
    <w:rsid w:val="00B50DBD"/>
    <w:rsid w:val="00B50EB7"/>
    <w:rsid w:val="00B50EBE"/>
    <w:rsid w:val="00B5135D"/>
    <w:rsid w:val="00B515DF"/>
    <w:rsid w:val="00B5160C"/>
    <w:rsid w:val="00B51A16"/>
    <w:rsid w:val="00B51BFA"/>
    <w:rsid w:val="00B51E10"/>
    <w:rsid w:val="00B51E46"/>
    <w:rsid w:val="00B51EB4"/>
    <w:rsid w:val="00B522B6"/>
    <w:rsid w:val="00B52323"/>
    <w:rsid w:val="00B5274E"/>
    <w:rsid w:val="00B52808"/>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CCC"/>
    <w:rsid w:val="00B53D03"/>
    <w:rsid w:val="00B53E86"/>
    <w:rsid w:val="00B5417C"/>
    <w:rsid w:val="00B546E2"/>
    <w:rsid w:val="00B5548E"/>
    <w:rsid w:val="00B55724"/>
    <w:rsid w:val="00B55AC6"/>
    <w:rsid w:val="00B55D56"/>
    <w:rsid w:val="00B55F9E"/>
    <w:rsid w:val="00B55FBA"/>
    <w:rsid w:val="00B560F0"/>
    <w:rsid w:val="00B56134"/>
    <w:rsid w:val="00B56672"/>
    <w:rsid w:val="00B566BA"/>
    <w:rsid w:val="00B569A4"/>
    <w:rsid w:val="00B569B8"/>
    <w:rsid w:val="00B570F1"/>
    <w:rsid w:val="00B5795E"/>
    <w:rsid w:val="00B57DC9"/>
    <w:rsid w:val="00B57E2F"/>
    <w:rsid w:val="00B60670"/>
    <w:rsid w:val="00B60950"/>
    <w:rsid w:val="00B609BB"/>
    <w:rsid w:val="00B60D86"/>
    <w:rsid w:val="00B60DEB"/>
    <w:rsid w:val="00B6114D"/>
    <w:rsid w:val="00B6132E"/>
    <w:rsid w:val="00B613EC"/>
    <w:rsid w:val="00B615D3"/>
    <w:rsid w:val="00B61650"/>
    <w:rsid w:val="00B61EB6"/>
    <w:rsid w:val="00B61ED5"/>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A74"/>
    <w:rsid w:val="00B65BE6"/>
    <w:rsid w:val="00B65C8F"/>
    <w:rsid w:val="00B65D39"/>
    <w:rsid w:val="00B65EDD"/>
    <w:rsid w:val="00B65FEF"/>
    <w:rsid w:val="00B6648B"/>
    <w:rsid w:val="00B664FB"/>
    <w:rsid w:val="00B665B6"/>
    <w:rsid w:val="00B66615"/>
    <w:rsid w:val="00B667B3"/>
    <w:rsid w:val="00B66C17"/>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2A4"/>
    <w:rsid w:val="00B70554"/>
    <w:rsid w:val="00B706D1"/>
    <w:rsid w:val="00B708F4"/>
    <w:rsid w:val="00B71015"/>
    <w:rsid w:val="00B71248"/>
    <w:rsid w:val="00B7127C"/>
    <w:rsid w:val="00B71B61"/>
    <w:rsid w:val="00B72018"/>
    <w:rsid w:val="00B72633"/>
    <w:rsid w:val="00B727D2"/>
    <w:rsid w:val="00B72965"/>
    <w:rsid w:val="00B72A38"/>
    <w:rsid w:val="00B72A3E"/>
    <w:rsid w:val="00B72D9A"/>
    <w:rsid w:val="00B72E6C"/>
    <w:rsid w:val="00B72F50"/>
    <w:rsid w:val="00B731DE"/>
    <w:rsid w:val="00B731EC"/>
    <w:rsid w:val="00B732C5"/>
    <w:rsid w:val="00B7354A"/>
    <w:rsid w:val="00B739B0"/>
    <w:rsid w:val="00B73A00"/>
    <w:rsid w:val="00B73AAF"/>
    <w:rsid w:val="00B73D41"/>
    <w:rsid w:val="00B73DE6"/>
    <w:rsid w:val="00B73DF3"/>
    <w:rsid w:val="00B73F25"/>
    <w:rsid w:val="00B740AD"/>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808"/>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3B4"/>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86"/>
    <w:rsid w:val="00B853C7"/>
    <w:rsid w:val="00B85414"/>
    <w:rsid w:val="00B85465"/>
    <w:rsid w:val="00B85747"/>
    <w:rsid w:val="00B8600B"/>
    <w:rsid w:val="00B8645C"/>
    <w:rsid w:val="00B86801"/>
    <w:rsid w:val="00B86933"/>
    <w:rsid w:val="00B86BB1"/>
    <w:rsid w:val="00B86C48"/>
    <w:rsid w:val="00B86CF0"/>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B5E"/>
    <w:rsid w:val="00B91D5A"/>
    <w:rsid w:val="00B91F97"/>
    <w:rsid w:val="00B921B0"/>
    <w:rsid w:val="00B92590"/>
    <w:rsid w:val="00B9259E"/>
    <w:rsid w:val="00B927CB"/>
    <w:rsid w:val="00B9284F"/>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19A"/>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9C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8E8"/>
    <w:rsid w:val="00BA6C06"/>
    <w:rsid w:val="00BA6DF7"/>
    <w:rsid w:val="00BA7246"/>
    <w:rsid w:val="00BA7262"/>
    <w:rsid w:val="00BA7269"/>
    <w:rsid w:val="00BA757B"/>
    <w:rsid w:val="00BA7721"/>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B54"/>
    <w:rsid w:val="00BC0C75"/>
    <w:rsid w:val="00BC0E32"/>
    <w:rsid w:val="00BC0E33"/>
    <w:rsid w:val="00BC0F7E"/>
    <w:rsid w:val="00BC126B"/>
    <w:rsid w:val="00BC130F"/>
    <w:rsid w:val="00BC163C"/>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60"/>
    <w:rsid w:val="00BC33CF"/>
    <w:rsid w:val="00BC35A6"/>
    <w:rsid w:val="00BC38B3"/>
    <w:rsid w:val="00BC38CE"/>
    <w:rsid w:val="00BC3991"/>
    <w:rsid w:val="00BC3FD0"/>
    <w:rsid w:val="00BC43C5"/>
    <w:rsid w:val="00BC4609"/>
    <w:rsid w:val="00BC4A4B"/>
    <w:rsid w:val="00BC4B45"/>
    <w:rsid w:val="00BC4B70"/>
    <w:rsid w:val="00BC555E"/>
    <w:rsid w:val="00BC575C"/>
    <w:rsid w:val="00BC5923"/>
    <w:rsid w:val="00BC5A95"/>
    <w:rsid w:val="00BC5AD6"/>
    <w:rsid w:val="00BC5B50"/>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4E8"/>
    <w:rsid w:val="00BD058F"/>
    <w:rsid w:val="00BD05D8"/>
    <w:rsid w:val="00BD06E7"/>
    <w:rsid w:val="00BD0A2B"/>
    <w:rsid w:val="00BD0C7F"/>
    <w:rsid w:val="00BD0CAD"/>
    <w:rsid w:val="00BD1838"/>
    <w:rsid w:val="00BD1BAB"/>
    <w:rsid w:val="00BD1CFD"/>
    <w:rsid w:val="00BD20C3"/>
    <w:rsid w:val="00BD216D"/>
    <w:rsid w:val="00BD236B"/>
    <w:rsid w:val="00BD2A70"/>
    <w:rsid w:val="00BD2C72"/>
    <w:rsid w:val="00BD2CF3"/>
    <w:rsid w:val="00BD2D76"/>
    <w:rsid w:val="00BD3003"/>
    <w:rsid w:val="00BD30D1"/>
    <w:rsid w:val="00BD33D9"/>
    <w:rsid w:val="00BD36DF"/>
    <w:rsid w:val="00BD3886"/>
    <w:rsid w:val="00BD3A20"/>
    <w:rsid w:val="00BD3C13"/>
    <w:rsid w:val="00BD3CD4"/>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C21"/>
    <w:rsid w:val="00BD5CA5"/>
    <w:rsid w:val="00BD618C"/>
    <w:rsid w:val="00BD64BE"/>
    <w:rsid w:val="00BD6593"/>
    <w:rsid w:val="00BD6630"/>
    <w:rsid w:val="00BD6C37"/>
    <w:rsid w:val="00BD6DFD"/>
    <w:rsid w:val="00BD6FDD"/>
    <w:rsid w:val="00BD7460"/>
    <w:rsid w:val="00BD74BF"/>
    <w:rsid w:val="00BE0156"/>
    <w:rsid w:val="00BE05B9"/>
    <w:rsid w:val="00BE0AC6"/>
    <w:rsid w:val="00BE0DAE"/>
    <w:rsid w:val="00BE0F8B"/>
    <w:rsid w:val="00BE0F99"/>
    <w:rsid w:val="00BE101D"/>
    <w:rsid w:val="00BE1176"/>
    <w:rsid w:val="00BE12C9"/>
    <w:rsid w:val="00BE140E"/>
    <w:rsid w:val="00BE14BF"/>
    <w:rsid w:val="00BE1529"/>
    <w:rsid w:val="00BE166B"/>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31"/>
    <w:rsid w:val="00BE39B4"/>
    <w:rsid w:val="00BE39DE"/>
    <w:rsid w:val="00BE3AD1"/>
    <w:rsid w:val="00BE3D57"/>
    <w:rsid w:val="00BE3DBE"/>
    <w:rsid w:val="00BE3E6B"/>
    <w:rsid w:val="00BE410A"/>
    <w:rsid w:val="00BE41E2"/>
    <w:rsid w:val="00BE47DD"/>
    <w:rsid w:val="00BE48E6"/>
    <w:rsid w:val="00BE4DC7"/>
    <w:rsid w:val="00BE4DFE"/>
    <w:rsid w:val="00BE4F1F"/>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890"/>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A4F"/>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623"/>
    <w:rsid w:val="00C0297F"/>
    <w:rsid w:val="00C029D7"/>
    <w:rsid w:val="00C02A01"/>
    <w:rsid w:val="00C02BD0"/>
    <w:rsid w:val="00C02D1E"/>
    <w:rsid w:val="00C030FE"/>
    <w:rsid w:val="00C03530"/>
    <w:rsid w:val="00C036B9"/>
    <w:rsid w:val="00C0370B"/>
    <w:rsid w:val="00C03F43"/>
    <w:rsid w:val="00C03F48"/>
    <w:rsid w:val="00C03FD8"/>
    <w:rsid w:val="00C04513"/>
    <w:rsid w:val="00C04557"/>
    <w:rsid w:val="00C04584"/>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47"/>
    <w:rsid w:val="00C06BCE"/>
    <w:rsid w:val="00C06DB4"/>
    <w:rsid w:val="00C06EF0"/>
    <w:rsid w:val="00C06F28"/>
    <w:rsid w:val="00C06FD0"/>
    <w:rsid w:val="00C0707C"/>
    <w:rsid w:val="00C07267"/>
    <w:rsid w:val="00C0747B"/>
    <w:rsid w:val="00C076C2"/>
    <w:rsid w:val="00C07972"/>
    <w:rsid w:val="00C07E81"/>
    <w:rsid w:val="00C07ED2"/>
    <w:rsid w:val="00C07F2C"/>
    <w:rsid w:val="00C10448"/>
    <w:rsid w:val="00C105C2"/>
    <w:rsid w:val="00C109CB"/>
    <w:rsid w:val="00C10C7D"/>
    <w:rsid w:val="00C10C9B"/>
    <w:rsid w:val="00C10CC1"/>
    <w:rsid w:val="00C10F6E"/>
    <w:rsid w:val="00C10F78"/>
    <w:rsid w:val="00C11561"/>
    <w:rsid w:val="00C117BA"/>
    <w:rsid w:val="00C11F5A"/>
    <w:rsid w:val="00C1200C"/>
    <w:rsid w:val="00C1249E"/>
    <w:rsid w:val="00C124C9"/>
    <w:rsid w:val="00C12554"/>
    <w:rsid w:val="00C1256A"/>
    <w:rsid w:val="00C127B6"/>
    <w:rsid w:val="00C12A64"/>
    <w:rsid w:val="00C12DD6"/>
    <w:rsid w:val="00C138AF"/>
    <w:rsid w:val="00C13C42"/>
    <w:rsid w:val="00C14C63"/>
    <w:rsid w:val="00C14F29"/>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EE9"/>
    <w:rsid w:val="00C20F7A"/>
    <w:rsid w:val="00C21163"/>
    <w:rsid w:val="00C2128A"/>
    <w:rsid w:val="00C214C5"/>
    <w:rsid w:val="00C214E6"/>
    <w:rsid w:val="00C2151A"/>
    <w:rsid w:val="00C219FD"/>
    <w:rsid w:val="00C21A38"/>
    <w:rsid w:val="00C21C30"/>
    <w:rsid w:val="00C21EAB"/>
    <w:rsid w:val="00C21F8F"/>
    <w:rsid w:val="00C220C7"/>
    <w:rsid w:val="00C220D3"/>
    <w:rsid w:val="00C224F6"/>
    <w:rsid w:val="00C2251E"/>
    <w:rsid w:val="00C225D6"/>
    <w:rsid w:val="00C22D7F"/>
    <w:rsid w:val="00C22EDF"/>
    <w:rsid w:val="00C23005"/>
    <w:rsid w:val="00C230B7"/>
    <w:rsid w:val="00C2346D"/>
    <w:rsid w:val="00C236BE"/>
    <w:rsid w:val="00C236F1"/>
    <w:rsid w:val="00C2374B"/>
    <w:rsid w:val="00C23C8C"/>
    <w:rsid w:val="00C23EC1"/>
    <w:rsid w:val="00C23F67"/>
    <w:rsid w:val="00C240BF"/>
    <w:rsid w:val="00C241A6"/>
    <w:rsid w:val="00C24245"/>
    <w:rsid w:val="00C2479D"/>
    <w:rsid w:val="00C247BF"/>
    <w:rsid w:val="00C248E5"/>
    <w:rsid w:val="00C24BE2"/>
    <w:rsid w:val="00C24ED1"/>
    <w:rsid w:val="00C24F1D"/>
    <w:rsid w:val="00C24F6C"/>
    <w:rsid w:val="00C25159"/>
    <w:rsid w:val="00C253E2"/>
    <w:rsid w:val="00C25AA6"/>
    <w:rsid w:val="00C25D5F"/>
    <w:rsid w:val="00C26040"/>
    <w:rsid w:val="00C267C6"/>
    <w:rsid w:val="00C26CC7"/>
    <w:rsid w:val="00C27030"/>
    <w:rsid w:val="00C271E2"/>
    <w:rsid w:val="00C27518"/>
    <w:rsid w:val="00C27574"/>
    <w:rsid w:val="00C2784F"/>
    <w:rsid w:val="00C27D1D"/>
    <w:rsid w:val="00C27EFB"/>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96"/>
    <w:rsid w:val="00C34BAA"/>
    <w:rsid w:val="00C34F1C"/>
    <w:rsid w:val="00C35381"/>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BD"/>
    <w:rsid w:val="00C401D1"/>
    <w:rsid w:val="00C40483"/>
    <w:rsid w:val="00C407AB"/>
    <w:rsid w:val="00C40AAF"/>
    <w:rsid w:val="00C40C35"/>
    <w:rsid w:val="00C40C50"/>
    <w:rsid w:val="00C40F89"/>
    <w:rsid w:val="00C41695"/>
    <w:rsid w:val="00C416B4"/>
    <w:rsid w:val="00C41B04"/>
    <w:rsid w:val="00C41D69"/>
    <w:rsid w:val="00C41F7A"/>
    <w:rsid w:val="00C42042"/>
    <w:rsid w:val="00C42428"/>
    <w:rsid w:val="00C425BC"/>
    <w:rsid w:val="00C4265D"/>
    <w:rsid w:val="00C42674"/>
    <w:rsid w:val="00C428A6"/>
    <w:rsid w:val="00C42D3F"/>
    <w:rsid w:val="00C43908"/>
    <w:rsid w:val="00C43B4A"/>
    <w:rsid w:val="00C43C91"/>
    <w:rsid w:val="00C44069"/>
    <w:rsid w:val="00C443DF"/>
    <w:rsid w:val="00C44476"/>
    <w:rsid w:val="00C44C1B"/>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26C"/>
    <w:rsid w:val="00C512B7"/>
    <w:rsid w:val="00C51307"/>
    <w:rsid w:val="00C51415"/>
    <w:rsid w:val="00C5156D"/>
    <w:rsid w:val="00C517CA"/>
    <w:rsid w:val="00C51864"/>
    <w:rsid w:val="00C51878"/>
    <w:rsid w:val="00C51A6C"/>
    <w:rsid w:val="00C52014"/>
    <w:rsid w:val="00C523B3"/>
    <w:rsid w:val="00C524BE"/>
    <w:rsid w:val="00C5277B"/>
    <w:rsid w:val="00C52BF3"/>
    <w:rsid w:val="00C52DED"/>
    <w:rsid w:val="00C52F8C"/>
    <w:rsid w:val="00C531B8"/>
    <w:rsid w:val="00C53708"/>
    <w:rsid w:val="00C53728"/>
    <w:rsid w:val="00C53798"/>
    <w:rsid w:val="00C53955"/>
    <w:rsid w:val="00C53A76"/>
    <w:rsid w:val="00C53BAC"/>
    <w:rsid w:val="00C53ED9"/>
    <w:rsid w:val="00C53F6B"/>
    <w:rsid w:val="00C540EA"/>
    <w:rsid w:val="00C54489"/>
    <w:rsid w:val="00C54667"/>
    <w:rsid w:val="00C54668"/>
    <w:rsid w:val="00C546C6"/>
    <w:rsid w:val="00C5472E"/>
    <w:rsid w:val="00C548E5"/>
    <w:rsid w:val="00C54DFB"/>
    <w:rsid w:val="00C55124"/>
    <w:rsid w:val="00C55139"/>
    <w:rsid w:val="00C552C8"/>
    <w:rsid w:val="00C5537A"/>
    <w:rsid w:val="00C55395"/>
    <w:rsid w:val="00C55402"/>
    <w:rsid w:val="00C5552B"/>
    <w:rsid w:val="00C5579F"/>
    <w:rsid w:val="00C5599F"/>
    <w:rsid w:val="00C55A42"/>
    <w:rsid w:val="00C55BED"/>
    <w:rsid w:val="00C55D4D"/>
    <w:rsid w:val="00C56A0D"/>
    <w:rsid w:val="00C56CFA"/>
    <w:rsid w:val="00C56E99"/>
    <w:rsid w:val="00C5700F"/>
    <w:rsid w:val="00C5723C"/>
    <w:rsid w:val="00C57666"/>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828"/>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37"/>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0A2"/>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4B6"/>
    <w:rsid w:val="00C72717"/>
    <w:rsid w:val="00C7288A"/>
    <w:rsid w:val="00C72BA9"/>
    <w:rsid w:val="00C72C42"/>
    <w:rsid w:val="00C72D84"/>
    <w:rsid w:val="00C732CF"/>
    <w:rsid w:val="00C737F5"/>
    <w:rsid w:val="00C73805"/>
    <w:rsid w:val="00C738CF"/>
    <w:rsid w:val="00C73A42"/>
    <w:rsid w:val="00C73DD4"/>
    <w:rsid w:val="00C74147"/>
    <w:rsid w:val="00C74327"/>
    <w:rsid w:val="00C745E2"/>
    <w:rsid w:val="00C74A7A"/>
    <w:rsid w:val="00C74E23"/>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779E8"/>
    <w:rsid w:val="00C77F5C"/>
    <w:rsid w:val="00C801DA"/>
    <w:rsid w:val="00C80A69"/>
    <w:rsid w:val="00C80A72"/>
    <w:rsid w:val="00C80AF3"/>
    <w:rsid w:val="00C8110D"/>
    <w:rsid w:val="00C81331"/>
    <w:rsid w:val="00C816DB"/>
    <w:rsid w:val="00C81975"/>
    <w:rsid w:val="00C81BF0"/>
    <w:rsid w:val="00C822B6"/>
    <w:rsid w:val="00C8248D"/>
    <w:rsid w:val="00C82540"/>
    <w:rsid w:val="00C82624"/>
    <w:rsid w:val="00C82EBF"/>
    <w:rsid w:val="00C82ED3"/>
    <w:rsid w:val="00C82FB5"/>
    <w:rsid w:val="00C83135"/>
    <w:rsid w:val="00C83405"/>
    <w:rsid w:val="00C83613"/>
    <w:rsid w:val="00C83958"/>
    <w:rsid w:val="00C83F9A"/>
    <w:rsid w:val="00C83FBA"/>
    <w:rsid w:val="00C83FC7"/>
    <w:rsid w:val="00C84324"/>
    <w:rsid w:val="00C8434D"/>
    <w:rsid w:val="00C84898"/>
    <w:rsid w:val="00C848A0"/>
    <w:rsid w:val="00C84A98"/>
    <w:rsid w:val="00C84AE5"/>
    <w:rsid w:val="00C84D61"/>
    <w:rsid w:val="00C84E2C"/>
    <w:rsid w:val="00C850F8"/>
    <w:rsid w:val="00C85106"/>
    <w:rsid w:val="00C85145"/>
    <w:rsid w:val="00C8544D"/>
    <w:rsid w:val="00C85608"/>
    <w:rsid w:val="00C85B6F"/>
    <w:rsid w:val="00C86183"/>
    <w:rsid w:val="00C86245"/>
    <w:rsid w:val="00C86370"/>
    <w:rsid w:val="00C867AE"/>
    <w:rsid w:val="00C867E1"/>
    <w:rsid w:val="00C86C5B"/>
    <w:rsid w:val="00C86D7B"/>
    <w:rsid w:val="00C86EE3"/>
    <w:rsid w:val="00C86EEC"/>
    <w:rsid w:val="00C87318"/>
    <w:rsid w:val="00C875F0"/>
    <w:rsid w:val="00C8771A"/>
    <w:rsid w:val="00C87BB6"/>
    <w:rsid w:val="00C87C1D"/>
    <w:rsid w:val="00C87FA4"/>
    <w:rsid w:val="00C904A8"/>
    <w:rsid w:val="00C90603"/>
    <w:rsid w:val="00C90DA1"/>
    <w:rsid w:val="00C90F11"/>
    <w:rsid w:val="00C9131E"/>
    <w:rsid w:val="00C9144D"/>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562"/>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8B"/>
    <w:rsid w:val="00CA07B2"/>
    <w:rsid w:val="00CA09D3"/>
    <w:rsid w:val="00CA0C34"/>
    <w:rsid w:val="00CA0D7E"/>
    <w:rsid w:val="00CA0E1E"/>
    <w:rsid w:val="00CA0FA1"/>
    <w:rsid w:val="00CA114E"/>
    <w:rsid w:val="00CA19B2"/>
    <w:rsid w:val="00CA1A9E"/>
    <w:rsid w:val="00CA1B6B"/>
    <w:rsid w:val="00CA1C94"/>
    <w:rsid w:val="00CA23ED"/>
    <w:rsid w:val="00CA24D9"/>
    <w:rsid w:val="00CA2EE2"/>
    <w:rsid w:val="00CA326D"/>
    <w:rsid w:val="00CA36FF"/>
    <w:rsid w:val="00CA3AD1"/>
    <w:rsid w:val="00CA3CDD"/>
    <w:rsid w:val="00CA3DCC"/>
    <w:rsid w:val="00CA404F"/>
    <w:rsid w:val="00CA42A1"/>
    <w:rsid w:val="00CA463C"/>
    <w:rsid w:val="00CA474B"/>
    <w:rsid w:val="00CA4760"/>
    <w:rsid w:val="00CA4863"/>
    <w:rsid w:val="00CA4C2D"/>
    <w:rsid w:val="00CA4C6A"/>
    <w:rsid w:val="00CA4DEE"/>
    <w:rsid w:val="00CA51C3"/>
    <w:rsid w:val="00CA5B28"/>
    <w:rsid w:val="00CA5CEA"/>
    <w:rsid w:val="00CA5D19"/>
    <w:rsid w:val="00CA633D"/>
    <w:rsid w:val="00CA63D9"/>
    <w:rsid w:val="00CA6759"/>
    <w:rsid w:val="00CA6F5E"/>
    <w:rsid w:val="00CA76F9"/>
    <w:rsid w:val="00CA7700"/>
    <w:rsid w:val="00CA7755"/>
    <w:rsid w:val="00CA776B"/>
    <w:rsid w:val="00CA7A40"/>
    <w:rsid w:val="00CA7A96"/>
    <w:rsid w:val="00CA7AA0"/>
    <w:rsid w:val="00CA7BAC"/>
    <w:rsid w:val="00CA7D9A"/>
    <w:rsid w:val="00CB0237"/>
    <w:rsid w:val="00CB0447"/>
    <w:rsid w:val="00CB053B"/>
    <w:rsid w:val="00CB0729"/>
    <w:rsid w:val="00CB074A"/>
    <w:rsid w:val="00CB07D9"/>
    <w:rsid w:val="00CB086F"/>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1F6"/>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A97"/>
    <w:rsid w:val="00CB7B22"/>
    <w:rsid w:val="00CB7C5C"/>
    <w:rsid w:val="00CB7DE0"/>
    <w:rsid w:val="00CC0543"/>
    <w:rsid w:val="00CC05D3"/>
    <w:rsid w:val="00CC0609"/>
    <w:rsid w:val="00CC071E"/>
    <w:rsid w:val="00CC083E"/>
    <w:rsid w:val="00CC1463"/>
    <w:rsid w:val="00CC158D"/>
    <w:rsid w:val="00CC168E"/>
    <w:rsid w:val="00CC1B84"/>
    <w:rsid w:val="00CC1C59"/>
    <w:rsid w:val="00CC1D4B"/>
    <w:rsid w:val="00CC1E96"/>
    <w:rsid w:val="00CC20BF"/>
    <w:rsid w:val="00CC221A"/>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376"/>
    <w:rsid w:val="00CC554A"/>
    <w:rsid w:val="00CC5C70"/>
    <w:rsid w:val="00CC5DBC"/>
    <w:rsid w:val="00CC5E78"/>
    <w:rsid w:val="00CC6139"/>
    <w:rsid w:val="00CC6282"/>
    <w:rsid w:val="00CC6679"/>
    <w:rsid w:val="00CC67AF"/>
    <w:rsid w:val="00CC6897"/>
    <w:rsid w:val="00CC68DC"/>
    <w:rsid w:val="00CC6A7E"/>
    <w:rsid w:val="00CC6F8F"/>
    <w:rsid w:val="00CC701B"/>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52D"/>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CF0"/>
    <w:rsid w:val="00CD3E21"/>
    <w:rsid w:val="00CD3E8B"/>
    <w:rsid w:val="00CD41DD"/>
    <w:rsid w:val="00CD47F2"/>
    <w:rsid w:val="00CD4CE4"/>
    <w:rsid w:val="00CD4E1C"/>
    <w:rsid w:val="00CD4EBB"/>
    <w:rsid w:val="00CD5571"/>
    <w:rsid w:val="00CD5991"/>
    <w:rsid w:val="00CD5AC0"/>
    <w:rsid w:val="00CD5DA8"/>
    <w:rsid w:val="00CD5DAA"/>
    <w:rsid w:val="00CD5F0A"/>
    <w:rsid w:val="00CD5F4D"/>
    <w:rsid w:val="00CD6331"/>
    <w:rsid w:val="00CD63FE"/>
    <w:rsid w:val="00CD6406"/>
    <w:rsid w:val="00CD64C9"/>
    <w:rsid w:val="00CD6540"/>
    <w:rsid w:val="00CD6703"/>
    <w:rsid w:val="00CD69E4"/>
    <w:rsid w:val="00CD6A12"/>
    <w:rsid w:val="00CD6C9B"/>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328"/>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6F3"/>
    <w:rsid w:val="00CE3C49"/>
    <w:rsid w:val="00CE3C8A"/>
    <w:rsid w:val="00CE3D2A"/>
    <w:rsid w:val="00CE3E65"/>
    <w:rsid w:val="00CE436D"/>
    <w:rsid w:val="00CE44A8"/>
    <w:rsid w:val="00CE4713"/>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261"/>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C8B"/>
    <w:rsid w:val="00CF2D06"/>
    <w:rsid w:val="00CF3014"/>
    <w:rsid w:val="00CF36BD"/>
    <w:rsid w:val="00CF36D5"/>
    <w:rsid w:val="00CF3769"/>
    <w:rsid w:val="00CF3B0B"/>
    <w:rsid w:val="00CF3C30"/>
    <w:rsid w:val="00CF4247"/>
    <w:rsid w:val="00CF4CD0"/>
    <w:rsid w:val="00CF547E"/>
    <w:rsid w:val="00CF5895"/>
    <w:rsid w:val="00CF5954"/>
    <w:rsid w:val="00CF5A41"/>
    <w:rsid w:val="00CF5B65"/>
    <w:rsid w:val="00CF5BD9"/>
    <w:rsid w:val="00CF5D8A"/>
    <w:rsid w:val="00CF5D99"/>
    <w:rsid w:val="00CF5F23"/>
    <w:rsid w:val="00CF6013"/>
    <w:rsid w:val="00CF6225"/>
    <w:rsid w:val="00CF62EA"/>
    <w:rsid w:val="00CF64BB"/>
    <w:rsid w:val="00CF650A"/>
    <w:rsid w:val="00CF6BE8"/>
    <w:rsid w:val="00CF6D16"/>
    <w:rsid w:val="00CF6DBF"/>
    <w:rsid w:val="00CF6E1E"/>
    <w:rsid w:val="00CF6F7C"/>
    <w:rsid w:val="00CF6FF5"/>
    <w:rsid w:val="00CF703E"/>
    <w:rsid w:val="00CF711A"/>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27"/>
    <w:rsid w:val="00D00C3D"/>
    <w:rsid w:val="00D00CA9"/>
    <w:rsid w:val="00D00DC1"/>
    <w:rsid w:val="00D0114A"/>
    <w:rsid w:val="00D0133F"/>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07F31"/>
    <w:rsid w:val="00D10049"/>
    <w:rsid w:val="00D1010F"/>
    <w:rsid w:val="00D102D3"/>
    <w:rsid w:val="00D102E3"/>
    <w:rsid w:val="00D1065D"/>
    <w:rsid w:val="00D1082E"/>
    <w:rsid w:val="00D10D79"/>
    <w:rsid w:val="00D10E13"/>
    <w:rsid w:val="00D110A2"/>
    <w:rsid w:val="00D1136C"/>
    <w:rsid w:val="00D118DD"/>
    <w:rsid w:val="00D11940"/>
    <w:rsid w:val="00D11A1C"/>
    <w:rsid w:val="00D11BF4"/>
    <w:rsid w:val="00D11F64"/>
    <w:rsid w:val="00D12070"/>
    <w:rsid w:val="00D1221A"/>
    <w:rsid w:val="00D1221D"/>
    <w:rsid w:val="00D123A9"/>
    <w:rsid w:val="00D123EC"/>
    <w:rsid w:val="00D12697"/>
    <w:rsid w:val="00D127AE"/>
    <w:rsid w:val="00D12B64"/>
    <w:rsid w:val="00D12B78"/>
    <w:rsid w:val="00D12E6B"/>
    <w:rsid w:val="00D132A0"/>
    <w:rsid w:val="00D13416"/>
    <w:rsid w:val="00D1366E"/>
    <w:rsid w:val="00D13839"/>
    <w:rsid w:val="00D13B8E"/>
    <w:rsid w:val="00D13CA8"/>
    <w:rsid w:val="00D13D6E"/>
    <w:rsid w:val="00D13FA5"/>
    <w:rsid w:val="00D14003"/>
    <w:rsid w:val="00D14040"/>
    <w:rsid w:val="00D14131"/>
    <w:rsid w:val="00D1414C"/>
    <w:rsid w:val="00D142FA"/>
    <w:rsid w:val="00D14557"/>
    <w:rsid w:val="00D148DD"/>
    <w:rsid w:val="00D14E4A"/>
    <w:rsid w:val="00D1500C"/>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3ECD"/>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43C"/>
    <w:rsid w:val="00D27609"/>
    <w:rsid w:val="00D27950"/>
    <w:rsid w:val="00D279BB"/>
    <w:rsid w:val="00D27AAA"/>
    <w:rsid w:val="00D27BFB"/>
    <w:rsid w:val="00D27C35"/>
    <w:rsid w:val="00D300DA"/>
    <w:rsid w:val="00D30132"/>
    <w:rsid w:val="00D30320"/>
    <w:rsid w:val="00D303EE"/>
    <w:rsid w:val="00D306B6"/>
    <w:rsid w:val="00D307D9"/>
    <w:rsid w:val="00D308AB"/>
    <w:rsid w:val="00D30DEE"/>
    <w:rsid w:val="00D30E78"/>
    <w:rsid w:val="00D31170"/>
    <w:rsid w:val="00D311E7"/>
    <w:rsid w:val="00D31348"/>
    <w:rsid w:val="00D314AD"/>
    <w:rsid w:val="00D31582"/>
    <w:rsid w:val="00D31929"/>
    <w:rsid w:val="00D31BDD"/>
    <w:rsid w:val="00D32151"/>
    <w:rsid w:val="00D324FC"/>
    <w:rsid w:val="00D32558"/>
    <w:rsid w:val="00D32912"/>
    <w:rsid w:val="00D32A27"/>
    <w:rsid w:val="00D32F54"/>
    <w:rsid w:val="00D3320F"/>
    <w:rsid w:val="00D3343E"/>
    <w:rsid w:val="00D334D5"/>
    <w:rsid w:val="00D33919"/>
    <w:rsid w:val="00D33AAD"/>
    <w:rsid w:val="00D33B36"/>
    <w:rsid w:val="00D33B8B"/>
    <w:rsid w:val="00D34189"/>
    <w:rsid w:val="00D343D7"/>
    <w:rsid w:val="00D34589"/>
    <w:rsid w:val="00D34757"/>
    <w:rsid w:val="00D349D7"/>
    <w:rsid w:val="00D349EC"/>
    <w:rsid w:val="00D34CAB"/>
    <w:rsid w:val="00D34FE4"/>
    <w:rsid w:val="00D35223"/>
    <w:rsid w:val="00D3540D"/>
    <w:rsid w:val="00D3552E"/>
    <w:rsid w:val="00D3553D"/>
    <w:rsid w:val="00D3576B"/>
    <w:rsid w:val="00D35B03"/>
    <w:rsid w:val="00D35C4C"/>
    <w:rsid w:val="00D35F7A"/>
    <w:rsid w:val="00D35FD5"/>
    <w:rsid w:val="00D361A7"/>
    <w:rsid w:val="00D36419"/>
    <w:rsid w:val="00D3651A"/>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639"/>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929"/>
    <w:rsid w:val="00D45EFB"/>
    <w:rsid w:val="00D460EB"/>
    <w:rsid w:val="00D4610E"/>
    <w:rsid w:val="00D463E2"/>
    <w:rsid w:val="00D4659C"/>
    <w:rsid w:val="00D46635"/>
    <w:rsid w:val="00D468D0"/>
    <w:rsid w:val="00D46AE2"/>
    <w:rsid w:val="00D46C8F"/>
    <w:rsid w:val="00D47073"/>
    <w:rsid w:val="00D4745F"/>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C7F"/>
    <w:rsid w:val="00D51D3E"/>
    <w:rsid w:val="00D51D9F"/>
    <w:rsid w:val="00D51ED2"/>
    <w:rsid w:val="00D51F0A"/>
    <w:rsid w:val="00D51F48"/>
    <w:rsid w:val="00D5200B"/>
    <w:rsid w:val="00D52478"/>
    <w:rsid w:val="00D524BE"/>
    <w:rsid w:val="00D52956"/>
    <w:rsid w:val="00D52BBC"/>
    <w:rsid w:val="00D52C38"/>
    <w:rsid w:val="00D52CE1"/>
    <w:rsid w:val="00D52CE3"/>
    <w:rsid w:val="00D53235"/>
    <w:rsid w:val="00D536A4"/>
    <w:rsid w:val="00D53907"/>
    <w:rsid w:val="00D5392B"/>
    <w:rsid w:val="00D53980"/>
    <w:rsid w:val="00D53989"/>
    <w:rsid w:val="00D5399E"/>
    <w:rsid w:val="00D539DD"/>
    <w:rsid w:val="00D53DA8"/>
    <w:rsid w:val="00D53E5D"/>
    <w:rsid w:val="00D53FF4"/>
    <w:rsid w:val="00D5468E"/>
    <w:rsid w:val="00D54BF9"/>
    <w:rsid w:val="00D54E5B"/>
    <w:rsid w:val="00D5500B"/>
    <w:rsid w:val="00D5547D"/>
    <w:rsid w:val="00D55572"/>
    <w:rsid w:val="00D5560D"/>
    <w:rsid w:val="00D557C6"/>
    <w:rsid w:val="00D557EE"/>
    <w:rsid w:val="00D5583B"/>
    <w:rsid w:val="00D55A20"/>
    <w:rsid w:val="00D55AA4"/>
    <w:rsid w:val="00D55AB3"/>
    <w:rsid w:val="00D561CE"/>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4AA"/>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D97"/>
    <w:rsid w:val="00D64F53"/>
    <w:rsid w:val="00D65064"/>
    <w:rsid w:val="00D6563A"/>
    <w:rsid w:val="00D656B9"/>
    <w:rsid w:val="00D65BA6"/>
    <w:rsid w:val="00D65E4D"/>
    <w:rsid w:val="00D66132"/>
    <w:rsid w:val="00D66287"/>
    <w:rsid w:val="00D662C9"/>
    <w:rsid w:val="00D665A3"/>
    <w:rsid w:val="00D667D2"/>
    <w:rsid w:val="00D66B62"/>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0A"/>
    <w:rsid w:val="00D72826"/>
    <w:rsid w:val="00D728C5"/>
    <w:rsid w:val="00D728E2"/>
    <w:rsid w:val="00D729DC"/>
    <w:rsid w:val="00D72AA1"/>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903"/>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7C7"/>
    <w:rsid w:val="00D84874"/>
    <w:rsid w:val="00D848C5"/>
    <w:rsid w:val="00D849DC"/>
    <w:rsid w:val="00D84A7E"/>
    <w:rsid w:val="00D84C1F"/>
    <w:rsid w:val="00D84E7E"/>
    <w:rsid w:val="00D850FE"/>
    <w:rsid w:val="00D85500"/>
    <w:rsid w:val="00D8562E"/>
    <w:rsid w:val="00D85916"/>
    <w:rsid w:val="00D85B61"/>
    <w:rsid w:val="00D85FDD"/>
    <w:rsid w:val="00D862D7"/>
    <w:rsid w:val="00D866CC"/>
    <w:rsid w:val="00D86929"/>
    <w:rsid w:val="00D869CB"/>
    <w:rsid w:val="00D86AF6"/>
    <w:rsid w:val="00D86B12"/>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6F6"/>
    <w:rsid w:val="00D92877"/>
    <w:rsid w:val="00D9294C"/>
    <w:rsid w:val="00D92A24"/>
    <w:rsid w:val="00D92BFF"/>
    <w:rsid w:val="00D92DE5"/>
    <w:rsid w:val="00D92F09"/>
    <w:rsid w:val="00D930B9"/>
    <w:rsid w:val="00D93615"/>
    <w:rsid w:val="00D937F1"/>
    <w:rsid w:val="00D93B3D"/>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4EC"/>
    <w:rsid w:val="00D95963"/>
    <w:rsid w:val="00D95B84"/>
    <w:rsid w:val="00D95CB4"/>
    <w:rsid w:val="00D95E94"/>
    <w:rsid w:val="00D95F9E"/>
    <w:rsid w:val="00D96231"/>
    <w:rsid w:val="00D96714"/>
    <w:rsid w:val="00D969F4"/>
    <w:rsid w:val="00D96AD8"/>
    <w:rsid w:val="00D96AFE"/>
    <w:rsid w:val="00D96EA9"/>
    <w:rsid w:val="00D97320"/>
    <w:rsid w:val="00D9784A"/>
    <w:rsid w:val="00D978E5"/>
    <w:rsid w:val="00D97ABC"/>
    <w:rsid w:val="00D97D00"/>
    <w:rsid w:val="00D97EFE"/>
    <w:rsid w:val="00DA008F"/>
    <w:rsid w:val="00DA01BF"/>
    <w:rsid w:val="00DA08BB"/>
    <w:rsid w:val="00DA09AF"/>
    <w:rsid w:val="00DA09D2"/>
    <w:rsid w:val="00DA0B44"/>
    <w:rsid w:val="00DA14F6"/>
    <w:rsid w:val="00DA167F"/>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A"/>
    <w:rsid w:val="00DA385D"/>
    <w:rsid w:val="00DA39FF"/>
    <w:rsid w:val="00DA3A17"/>
    <w:rsid w:val="00DA3D62"/>
    <w:rsid w:val="00DA3DE7"/>
    <w:rsid w:val="00DA4049"/>
    <w:rsid w:val="00DA43F1"/>
    <w:rsid w:val="00DA4549"/>
    <w:rsid w:val="00DA455E"/>
    <w:rsid w:val="00DA48EF"/>
    <w:rsid w:val="00DA49CA"/>
    <w:rsid w:val="00DA49CF"/>
    <w:rsid w:val="00DA5281"/>
    <w:rsid w:val="00DA5288"/>
    <w:rsid w:val="00DA5446"/>
    <w:rsid w:val="00DA5E4B"/>
    <w:rsid w:val="00DA6189"/>
    <w:rsid w:val="00DA692D"/>
    <w:rsid w:val="00DA6A3D"/>
    <w:rsid w:val="00DA6ADC"/>
    <w:rsid w:val="00DA7613"/>
    <w:rsid w:val="00DA7622"/>
    <w:rsid w:val="00DA7637"/>
    <w:rsid w:val="00DA77EB"/>
    <w:rsid w:val="00DA7BE9"/>
    <w:rsid w:val="00DA7C43"/>
    <w:rsid w:val="00DA7D70"/>
    <w:rsid w:val="00DA7E37"/>
    <w:rsid w:val="00DA7FD7"/>
    <w:rsid w:val="00DB0259"/>
    <w:rsid w:val="00DB072F"/>
    <w:rsid w:val="00DB099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61"/>
    <w:rsid w:val="00DB24BC"/>
    <w:rsid w:val="00DB256C"/>
    <w:rsid w:val="00DB27C6"/>
    <w:rsid w:val="00DB28E3"/>
    <w:rsid w:val="00DB3507"/>
    <w:rsid w:val="00DB37CD"/>
    <w:rsid w:val="00DB38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29"/>
    <w:rsid w:val="00DB6F45"/>
    <w:rsid w:val="00DB7168"/>
    <w:rsid w:val="00DB76E4"/>
    <w:rsid w:val="00DB7A6D"/>
    <w:rsid w:val="00DB7C25"/>
    <w:rsid w:val="00DB7FA0"/>
    <w:rsid w:val="00DB7FF4"/>
    <w:rsid w:val="00DC00FF"/>
    <w:rsid w:val="00DC0129"/>
    <w:rsid w:val="00DC0191"/>
    <w:rsid w:val="00DC02B3"/>
    <w:rsid w:val="00DC045F"/>
    <w:rsid w:val="00DC0646"/>
    <w:rsid w:val="00DC07AC"/>
    <w:rsid w:val="00DC07F1"/>
    <w:rsid w:val="00DC0A11"/>
    <w:rsid w:val="00DC0AA5"/>
    <w:rsid w:val="00DC0E71"/>
    <w:rsid w:val="00DC0F1F"/>
    <w:rsid w:val="00DC12EB"/>
    <w:rsid w:val="00DC16EC"/>
    <w:rsid w:val="00DC1B38"/>
    <w:rsid w:val="00DC1BA2"/>
    <w:rsid w:val="00DC1BD3"/>
    <w:rsid w:val="00DC1C8D"/>
    <w:rsid w:val="00DC22CF"/>
    <w:rsid w:val="00DC2492"/>
    <w:rsid w:val="00DC252C"/>
    <w:rsid w:val="00DC25B5"/>
    <w:rsid w:val="00DC26F6"/>
    <w:rsid w:val="00DC27BC"/>
    <w:rsid w:val="00DC2804"/>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2E4"/>
    <w:rsid w:val="00DC43C6"/>
    <w:rsid w:val="00DC4401"/>
    <w:rsid w:val="00DC4502"/>
    <w:rsid w:val="00DC479B"/>
    <w:rsid w:val="00DC4BFC"/>
    <w:rsid w:val="00DC4C60"/>
    <w:rsid w:val="00DC511F"/>
    <w:rsid w:val="00DC5269"/>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05"/>
    <w:rsid w:val="00DD042F"/>
    <w:rsid w:val="00DD0578"/>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94C"/>
    <w:rsid w:val="00DD1B07"/>
    <w:rsid w:val="00DD1CDB"/>
    <w:rsid w:val="00DD2059"/>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EC4"/>
    <w:rsid w:val="00DD4022"/>
    <w:rsid w:val="00DD40E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194"/>
    <w:rsid w:val="00DE0556"/>
    <w:rsid w:val="00DE074F"/>
    <w:rsid w:val="00DE0B91"/>
    <w:rsid w:val="00DE0CD8"/>
    <w:rsid w:val="00DE0EA8"/>
    <w:rsid w:val="00DE110E"/>
    <w:rsid w:val="00DE12F3"/>
    <w:rsid w:val="00DE1911"/>
    <w:rsid w:val="00DE1B30"/>
    <w:rsid w:val="00DE1B4F"/>
    <w:rsid w:val="00DE1D2D"/>
    <w:rsid w:val="00DE1D7C"/>
    <w:rsid w:val="00DE2066"/>
    <w:rsid w:val="00DE2607"/>
    <w:rsid w:val="00DE28F2"/>
    <w:rsid w:val="00DE291A"/>
    <w:rsid w:val="00DE2C38"/>
    <w:rsid w:val="00DE305A"/>
    <w:rsid w:val="00DE30C2"/>
    <w:rsid w:val="00DE3293"/>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E58"/>
    <w:rsid w:val="00DE5F9A"/>
    <w:rsid w:val="00DE6364"/>
    <w:rsid w:val="00DE63B4"/>
    <w:rsid w:val="00DE6412"/>
    <w:rsid w:val="00DE6922"/>
    <w:rsid w:val="00DE6A05"/>
    <w:rsid w:val="00DE6CE1"/>
    <w:rsid w:val="00DE7159"/>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E12"/>
    <w:rsid w:val="00DF1F3B"/>
    <w:rsid w:val="00DF2199"/>
    <w:rsid w:val="00DF24D4"/>
    <w:rsid w:val="00DF24D5"/>
    <w:rsid w:val="00DF2741"/>
    <w:rsid w:val="00DF28C3"/>
    <w:rsid w:val="00DF28CB"/>
    <w:rsid w:val="00DF2983"/>
    <w:rsid w:val="00DF2E58"/>
    <w:rsid w:val="00DF3087"/>
    <w:rsid w:val="00DF35EF"/>
    <w:rsid w:val="00DF3705"/>
    <w:rsid w:val="00DF3D7C"/>
    <w:rsid w:val="00DF3DE7"/>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1F2F"/>
    <w:rsid w:val="00E0209A"/>
    <w:rsid w:val="00E02147"/>
    <w:rsid w:val="00E02795"/>
    <w:rsid w:val="00E02815"/>
    <w:rsid w:val="00E0316F"/>
    <w:rsid w:val="00E0353D"/>
    <w:rsid w:val="00E03549"/>
    <w:rsid w:val="00E0365A"/>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6E45"/>
    <w:rsid w:val="00E0712A"/>
    <w:rsid w:val="00E07179"/>
    <w:rsid w:val="00E07511"/>
    <w:rsid w:val="00E07955"/>
    <w:rsid w:val="00E07B62"/>
    <w:rsid w:val="00E07DD8"/>
    <w:rsid w:val="00E07E21"/>
    <w:rsid w:val="00E07E9C"/>
    <w:rsid w:val="00E07EB8"/>
    <w:rsid w:val="00E07F78"/>
    <w:rsid w:val="00E08264"/>
    <w:rsid w:val="00E1015B"/>
    <w:rsid w:val="00E10385"/>
    <w:rsid w:val="00E103F8"/>
    <w:rsid w:val="00E108DB"/>
    <w:rsid w:val="00E114E8"/>
    <w:rsid w:val="00E11A5E"/>
    <w:rsid w:val="00E11A99"/>
    <w:rsid w:val="00E11B19"/>
    <w:rsid w:val="00E11BAD"/>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BD"/>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8B0"/>
    <w:rsid w:val="00E159CE"/>
    <w:rsid w:val="00E15A95"/>
    <w:rsid w:val="00E15B88"/>
    <w:rsid w:val="00E15E01"/>
    <w:rsid w:val="00E15FE0"/>
    <w:rsid w:val="00E163A6"/>
    <w:rsid w:val="00E16E02"/>
    <w:rsid w:val="00E16F85"/>
    <w:rsid w:val="00E172CA"/>
    <w:rsid w:val="00E1738E"/>
    <w:rsid w:val="00E174D6"/>
    <w:rsid w:val="00E17545"/>
    <w:rsid w:val="00E17A6E"/>
    <w:rsid w:val="00E17A8B"/>
    <w:rsid w:val="00E20190"/>
    <w:rsid w:val="00E2034C"/>
    <w:rsid w:val="00E20392"/>
    <w:rsid w:val="00E204FE"/>
    <w:rsid w:val="00E205D2"/>
    <w:rsid w:val="00E206C3"/>
    <w:rsid w:val="00E20AA7"/>
    <w:rsid w:val="00E20B39"/>
    <w:rsid w:val="00E20DF1"/>
    <w:rsid w:val="00E20E9D"/>
    <w:rsid w:val="00E20F88"/>
    <w:rsid w:val="00E20FCC"/>
    <w:rsid w:val="00E211C5"/>
    <w:rsid w:val="00E21364"/>
    <w:rsid w:val="00E21697"/>
    <w:rsid w:val="00E21823"/>
    <w:rsid w:val="00E21A01"/>
    <w:rsid w:val="00E21BC5"/>
    <w:rsid w:val="00E21E37"/>
    <w:rsid w:val="00E21E5E"/>
    <w:rsid w:val="00E22096"/>
    <w:rsid w:val="00E221B9"/>
    <w:rsid w:val="00E22335"/>
    <w:rsid w:val="00E2251F"/>
    <w:rsid w:val="00E2285C"/>
    <w:rsid w:val="00E228E5"/>
    <w:rsid w:val="00E22B6E"/>
    <w:rsid w:val="00E22C48"/>
    <w:rsid w:val="00E22C52"/>
    <w:rsid w:val="00E22D99"/>
    <w:rsid w:val="00E23159"/>
    <w:rsid w:val="00E23263"/>
    <w:rsid w:val="00E23366"/>
    <w:rsid w:val="00E236C6"/>
    <w:rsid w:val="00E23754"/>
    <w:rsid w:val="00E23885"/>
    <w:rsid w:val="00E238B8"/>
    <w:rsid w:val="00E23941"/>
    <w:rsid w:val="00E239BB"/>
    <w:rsid w:val="00E239C3"/>
    <w:rsid w:val="00E23ABC"/>
    <w:rsid w:val="00E23AE2"/>
    <w:rsid w:val="00E23B6E"/>
    <w:rsid w:val="00E23B9A"/>
    <w:rsid w:val="00E23E77"/>
    <w:rsid w:val="00E24102"/>
    <w:rsid w:val="00E24196"/>
    <w:rsid w:val="00E243FC"/>
    <w:rsid w:val="00E24559"/>
    <w:rsid w:val="00E24633"/>
    <w:rsid w:val="00E247A6"/>
    <w:rsid w:val="00E24BC9"/>
    <w:rsid w:val="00E24DC3"/>
    <w:rsid w:val="00E24DE0"/>
    <w:rsid w:val="00E24ED2"/>
    <w:rsid w:val="00E24FC3"/>
    <w:rsid w:val="00E25756"/>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95E"/>
    <w:rsid w:val="00E31E9C"/>
    <w:rsid w:val="00E31EC3"/>
    <w:rsid w:val="00E32127"/>
    <w:rsid w:val="00E322B5"/>
    <w:rsid w:val="00E3250E"/>
    <w:rsid w:val="00E326B6"/>
    <w:rsid w:val="00E3296B"/>
    <w:rsid w:val="00E32985"/>
    <w:rsid w:val="00E32B6E"/>
    <w:rsid w:val="00E32CE4"/>
    <w:rsid w:val="00E32EF3"/>
    <w:rsid w:val="00E32F68"/>
    <w:rsid w:val="00E33491"/>
    <w:rsid w:val="00E335D0"/>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1B"/>
    <w:rsid w:val="00E35629"/>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6"/>
    <w:rsid w:val="00E37FD7"/>
    <w:rsid w:val="00E4019B"/>
    <w:rsid w:val="00E404B4"/>
    <w:rsid w:val="00E4081E"/>
    <w:rsid w:val="00E40978"/>
    <w:rsid w:val="00E40AEB"/>
    <w:rsid w:val="00E40CFD"/>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7EB"/>
    <w:rsid w:val="00E44813"/>
    <w:rsid w:val="00E44907"/>
    <w:rsid w:val="00E45159"/>
    <w:rsid w:val="00E4522F"/>
    <w:rsid w:val="00E4531F"/>
    <w:rsid w:val="00E455C8"/>
    <w:rsid w:val="00E456B8"/>
    <w:rsid w:val="00E456D5"/>
    <w:rsid w:val="00E45D0B"/>
    <w:rsid w:val="00E45DD3"/>
    <w:rsid w:val="00E45E50"/>
    <w:rsid w:val="00E460D5"/>
    <w:rsid w:val="00E46116"/>
    <w:rsid w:val="00E461B4"/>
    <w:rsid w:val="00E46235"/>
    <w:rsid w:val="00E4656D"/>
    <w:rsid w:val="00E46676"/>
    <w:rsid w:val="00E46989"/>
    <w:rsid w:val="00E46CB0"/>
    <w:rsid w:val="00E46D65"/>
    <w:rsid w:val="00E4702F"/>
    <w:rsid w:val="00E47530"/>
    <w:rsid w:val="00E47550"/>
    <w:rsid w:val="00E477B9"/>
    <w:rsid w:val="00E4786B"/>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D8D"/>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56"/>
    <w:rsid w:val="00E541D6"/>
    <w:rsid w:val="00E54255"/>
    <w:rsid w:val="00E542BD"/>
    <w:rsid w:val="00E5433A"/>
    <w:rsid w:val="00E54342"/>
    <w:rsid w:val="00E545E0"/>
    <w:rsid w:val="00E5465D"/>
    <w:rsid w:val="00E5483A"/>
    <w:rsid w:val="00E54B60"/>
    <w:rsid w:val="00E54BB7"/>
    <w:rsid w:val="00E54D11"/>
    <w:rsid w:val="00E550BE"/>
    <w:rsid w:val="00E55275"/>
    <w:rsid w:val="00E552C2"/>
    <w:rsid w:val="00E553FE"/>
    <w:rsid w:val="00E55679"/>
    <w:rsid w:val="00E55F2E"/>
    <w:rsid w:val="00E561B5"/>
    <w:rsid w:val="00E5640A"/>
    <w:rsid w:val="00E56599"/>
    <w:rsid w:val="00E568A7"/>
    <w:rsid w:val="00E568B1"/>
    <w:rsid w:val="00E56C87"/>
    <w:rsid w:val="00E56F06"/>
    <w:rsid w:val="00E57AE6"/>
    <w:rsid w:val="00E57B97"/>
    <w:rsid w:val="00E57CA4"/>
    <w:rsid w:val="00E57CB5"/>
    <w:rsid w:val="00E57EEF"/>
    <w:rsid w:val="00E60523"/>
    <w:rsid w:val="00E60648"/>
    <w:rsid w:val="00E606BF"/>
    <w:rsid w:val="00E608B4"/>
    <w:rsid w:val="00E608D3"/>
    <w:rsid w:val="00E60C56"/>
    <w:rsid w:val="00E60FA3"/>
    <w:rsid w:val="00E6128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8B2"/>
    <w:rsid w:val="00E63F1A"/>
    <w:rsid w:val="00E63FEC"/>
    <w:rsid w:val="00E64107"/>
    <w:rsid w:val="00E6462F"/>
    <w:rsid w:val="00E64C05"/>
    <w:rsid w:val="00E64EF3"/>
    <w:rsid w:val="00E64F2A"/>
    <w:rsid w:val="00E65083"/>
    <w:rsid w:val="00E653A1"/>
    <w:rsid w:val="00E654AF"/>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BC4"/>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B1D"/>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D99"/>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6A45"/>
    <w:rsid w:val="00E77057"/>
    <w:rsid w:val="00E7732E"/>
    <w:rsid w:val="00E773E4"/>
    <w:rsid w:val="00E7740C"/>
    <w:rsid w:val="00E77432"/>
    <w:rsid w:val="00E776BB"/>
    <w:rsid w:val="00E777E4"/>
    <w:rsid w:val="00E77B4C"/>
    <w:rsid w:val="00E77BDE"/>
    <w:rsid w:val="00E77CAD"/>
    <w:rsid w:val="00E77FA8"/>
    <w:rsid w:val="00E80015"/>
    <w:rsid w:val="00E8026D"/>
    <w:rsid w:val="00E8030A"/>
    <w:rsid w:val="00E80500"/>
    <w:rsid w:val="00E8094F"/>
    <w:rsid w:val="00E80A2B"/>
    <w:rsid w:val="00E80C42"/>
    <w:rsid w:val="00E80F12"/>
    <w:rsid w:val="00E813C0"/>
    <w:rsid w:val="00E81459"/>
    <w:rsid w:val="00E81616"/>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908"/>
    <w:rsid w:val="00E84A60"/>
    <w:rsid w:val="00E84F79"/>
    <w:rsid w:val="00E8511A"/>
    <w:rsid w:val="00E853C8"/>
    <w:rsid w:val="00E853F5"/>
    <w:rsid w:val="00E85449"/>
    <w:rsid w:val="00E859F1"/>
    <w:rsid w:val="00E85A91"/>
    <w:rsid w:val="00E85B5F"/>
    <w:rsid w:val="00E85BE3"/>
    <w:rsid w:val="00E85C82"/>
    <w:rsid w:val="00E85F3D"/>
    <w:rsid w:val="00E85F4E"/>
    <w:rsid w:val="00E8639A"/>
    <w:rsid w:val="00E863D7"/>
    <w:rsid w:val="00E86577"/>
    <w:rsid w:val="00E86799"/>
    <w:rsid w:val="00E86AFE"/>
    <w:rsid w:val="00E86D66"/>
    <w:rsid w:val="00E87307"/>
    <w:rsid w:val="00E87313"/>
    <w:rsid w:val="00E87333"/>
    <w:rsid w:val="00E87362"/>
    <w:rsid w:val="00E8748C"/>
    <w:rsid w:val="00E87722"/>
    <w:rsid w:val="00E87744"/>
    <w:rsid w:val="00E87A47"/>
    <w:rsid w:val="00E87D94"/>
    <w:rsid w:val="00E87F55"/>
    <w:rsid w:val="00E87FC4"/>
    <w:rsid w:val="00E900ED"/>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798"/>
    <w:rsid w:val="00E92AEE"/>
    <w:rsid w:val="00E93126"/>
    <w:rsid w:val="00E93217"/>
    <w:rsid w:val="00E93279"/>
    <w:rsid w:val="00E93799"/>
    <w:rsid w:val="00E93D4E"/>
    <w:rsid w:val="00E93FE0"/>
    <w:rsid w:val="00E946BB"/>
    <w:rsid w:val="00E95424"/>
    <w:rsid w:val="00E9543D"/>
    <w:rsid w:val="00E95626"/>
    <w:rsid w:val="00E95723"/>
    <w:rsid w:val="00E95859"/>
    <w:rsid w:val="00E95AE1"/>
    <w:rsid w:val="00E95AF0"/>
    <w:rsid w:val="00E95B16"/>
    <w:rsid w:val="00E95C9A"/>
    <w:rsid w:val="00E95CBA"/>
    <w:rsid w:val="00E95D68"/>
    <w:rsid w:val="00E95E51"/>
    <w:rsid w:val="00E95EC2"/>
    <w:rsid w:val="00E95F2C"/>
    <w:rsid w:val="00E95FB8"/>
    <w:rsid w:val="00E96035"/>
    <w:rsid w:val="00E9629C"/>
    <w:rsid w:val="00E962BC"/>
    <w:rsid w:val="00E96DBE"/>
    <w:rsid w:val="00E96DD1"/>
    <w:rsid w:val="00E96E58"/>
    <w:rsid w:val="00E96E77"/>
    <w:rsid w:val="00E96F2D"/>
    <w:rsid w:val="00E97485"/>
    <w:rsid w:val="00E97584"/>
    <w:rsid w:val="00E9772C"/>
    <w:rsid w:val="00E97795"/>
    <w:rsid w:val="00E977AA"/>
    <w:rsid w:val="00E977DB"/>
    <w:rsid w:val="00E97822"/>
    <w:rsid w:val="00E97864"/>
    <w:rsid w:val="00E97D5E"/>
    <w:rsid w:val="00E97E68"/>
    <w:rsid w:val="00EA0241"/>
    <w:rsid w:val="00EA045F"/>
    <w:rsid w:val="00EA04DA"/>
    <w:rsid w:val="00EA0667"/>
    <w:rsid w:val="00EA0B1E"/>
    <w:rsid w:val="00EA0B68"/>
    <w:rsid w:val="00EA0D59"/>
    <w:rsid w:val="00EA0E76"/>
    <w:rsid w:val="00EA1054"/>
    <w:rsid w:val="00EA135B"/>
    <w:rsid w:val="00EA1460"/>
    <w:rsid w:val="00EA1689"/>
    <w:rsid w:val="00EA16CF"/>
    <w:rsid w:val="00EA196E"/>
    <w:rsid w:val="00EA1A07"/>
    <w:rsid w:val="00EA1A27"/>
    <w:rsid w:val="00EA1B1E"/>
    <w:rsid w:val="00EA1B8C"/>
    <w:rsid w:val="00EA2194"/>
    <w:rsid w:val="00EA2227"/>
    <w:rsid w:val="00EA2267"/>
    <w:rsid w:val="00EA2441"/>
    <w:rsid w:val="00EA2741"/>
    <w:rsid w:val="00EA2903"/>
    <w:rsid w:val="00EA298F"/>
    <w:rsid w:val="00EA2A24"/>
    <w:rsid w:val="00EA2B7A"/>
    <w:rsid w:val="00EA2F75"/>
    <w:rsid w:val="00EA3018"/>
    <w:rsid w:val="00EA3324"/>
    <w:rsid w:val="00EA33A6"/>
    <w:rsid w:val="00EA3A98"/>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A39"/>
    <w:rsid w:val="00EA6D8C"/>
    <w:rsid w:val="00EA6ECA"/>
    <w:rsid w:val="00EA7007"/>
    <w:rsid w:val="00EA73A2"/>
    <w:rsid w:val="00EA75DC"/>
    <w:rsid w:val="00EA7828"/>
    <w:rsid w:val="00EA7A72"/>
    <w:rsid w:val="00EA7C4C"/>
    <w:rsid w:val="00EB0340"/>
    <w:rsid w:val="00EB077B"/>
    <w:rsid w:val="00EB0B6C"/>
    <w:rsid w:val="00EB0EB9"/>
    <w:rsid w:val="00EB0EEC"/>
    <w:rsid w:val="00EB190B"/>
    <w:rsid w:val="00EB1A58"/>
    <w:rsid w:val="00EB1CD5"/>
    <w:rsid w:val="00EB1CE6"/>
    <w:rsid w:val="00EB1DAC"/>
    <w:rsid w:val="00EB1E29"/>
    <w:rsid w:val="00EB2284"/>
    <w:rsid w:val="00EB2769"/>
    <w:rsid w:val="00EB2874"/>
    <w:rsid w:val="00EB28DB"/>
    <w:rsid w:val="00EB29DD"/>
    <w:rsid w:val="00EB2F87"/>
    <w:rsid w:val="00EB2FD2"/>
    <w:rsid w:val="00EB2FDD"/>
    <w:rsid w:val="00EB3011"/>
    <w:rsid w:val="00EB303B"/>
    <w:rsid w:val="00EB3664"/>
    <w:rsid w:val="00EB3DA5"/>
    <w:rsid w:val="00EB3F1C"/>
    <w:rsid w:val="00EB416E"/>
    <w:rsid w:val="00EB43A8"/>
    <w:rsid w:val="00EB4A71"/>
    <w:rsid w:val="00EB4D0F"/>
    <w:rsid w:val="00EB534E"/>
    <w:rsid w:val="00EB5353"/>
    <w:rsid w:val="00EB59CA"/>
    <w:rsid w:val="00EB5AF8"/>
    <w:rsid w:val="00EB5B9D"/>
    <w:rsid w:val="00EB62F7"/>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45E"/>
    <w:rsid w:val="00EC4B5E"/>
    <w:rsid w:val="00EC4F5E"/>
    <w:rsid w:val="00EC4F76"/>
    <w:rsid w:val="00EC4F80"/>
    <w:rsid w:val="00EC4FF8"/>
    <w:rsid w:val="00EC52EE"/>
    <w:rsid w:val="00EC58D5"/>
    <w:rsid w:val="00EC58D8"/>
    <w:rsid w:val="00EC5F31"/>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73C"/>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7EF"/>
    <w:rsid w:val="00ED7860"/>
    <w:rsid w:val="00ED78C3"/>
    <w:rsid w:val="00ED7A53"/>
    <w:rsid w:val="00ED7AE2"/>
    <w:rsid w:val="00ED7B5E"/>
    <w:rsid w:val="00ED7F43"/>
    <w:rsid w:val="00EE00AF"/>
    <w:rsid w:val="00EE035C"/>
    <w:rsid w:val="00EE05F4"/>
    <w:rsid w:val="00EE0926"/>
    <w:rsid w:val="00EE0932"/>
    <w:rsid w:val="00EE0A27"/>
    <w:rsid w:val="00EE0D82"/>
    <w:rsid w:val="00EE0DA7"/>
    <w:rsid w:val="00EE0ED5"/>
    <w:rsid w:val="00EE1019"/>
    <w:rsid w:val="00EE10D5"/>
    <w:rsid w:val="00EE117D"/>
    <w:rsid w:val="00EE161B"/>
    <w:rsid w:val="00EE1622"/>
    <w:rsid w:val="00EE1951"/>
    <w:rsid w:val="00EE1B1F"/>
    <w:rsid w:val="00EE1B3E"/>
    <w:rsid w:val="00EE1BB6"/>
    <w:rsid w:val="00EE1DFA"/>
    <w:rsid w:val="00EE1E5C"/>
    <w:rsid w:val="00EE204E"/>
    <w:rsid w:val="00EE21AE"/>
    <w:rsid w:val="00EE272B"/>
    <w:rsid w:val="00EE27E9"/>
    <w:rsid w:val="00EE281B"/>
    <w:rsid w:val="00EE29B5"/>
    <w:rsid w:val="00EE2AAE"/>
    <w:rsid w:val="00EE2D67"/>
    <w:rsid w:val="00EE2DB3"/>
    <w:rsid w:val="00EE3073"/>
    <w:rsid w:val="00EE30D0"/>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8A"/>
    <w:rsid w:val="00EE5AAD"/>
    <w:rsid w:val="00EE5ADD"/>
    <w:rsid w:val="00EE5D24"/>
    <w:rsid w:val="00EE5F0D"/>
    <w:rsid w:val="00EE623A"/>
    <w:rsid w:val="00EE664D"/>
    <w:rsid w:val="00EE67DD"/>
    <w:rsid w:val="00EE6C68"/>
    <w:rsid w:val="00EE6F02"/>
    <w:rsid w:val="00EE6F30"/>
    <w:rsid w:val="00EE72E4"/>
    <w:rsid w:val="00EE7551"/>
    <w:rsid w:val="00EE7572"/>
    <w:rsid w:val="00EE75D7"/>
    <w:rsid w:val="00EE77A2"/>
    <w:rsid w:val="00EE7B8E"/>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DC6"/>
    <w:rsid w:val="00EF2E62"/>
    <w:rsid w:val="00EF3023"/>
    <w:rsid w:val="00EF3111"/>
    <w:rsid w:val="00EF3252"/>
    <w:rsid w:val="00EF34C5"/>
    <w:rsid w:val="00EF353B"/>
    <w:rsid w:val="00EF3593"/>
    <w:rsid w:val="00EF365C"/>
    <w:rsid w:val="00EF398C"/>
    <w:rsid w:val="00EF3BA0"/>
    <w:rsid w:val="00EF3D6D"/>
    <w:rsid w:val="00EF3DFF"/>
    <w:rsid w:val="00EF42D1"/>
    <w:rsid w:val="00EF45E0"/>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73"/>
    <w:rsid w:val="00F02197"/>
    <w:rsid w:val="00F0219B"/>
    <w:rsid w:val="00F023D8"/>
    <w:rsid w:val="00F02440"/>
    <w:rsid w:val="00F02465"/>
    <w:rsid w:val="00F02500"/>
    <w:rsid w:val="00F02759"/>
    <w:rsid w:val="00F027C0"/>
    <w:rsid w:val="00F02862"/>
    <w:rsid w:val="00F0287C"/>
    <w:rsid w:val="00F02901"/>
    <w:rsid w:val="00F02908"/>
    <w:rsid w:val="00F037F9"/>
    <w:rsid w:val="00F03837"/>
    <w:rsid w:val="00F03934"/>
    <w:rsid w:val="00F03A8E"/>
    <w:rsid w:val="00F03A90"/>
    <w:rsid w:val="00F03B2B"/>
    <w:rsid w:val="00F03B5F"/>
    <w:rsid w:val="00F03DB0"/>
    <w:rsid w:val="00F045F1"/>
    <w:rsid w:val="00F0480B"/>
    <w:rsid w:val="00F0481A"/>
    <w:rsid w:val="00F049E6"/>
    <w:rsid w:val="00F049E8"/>
    <w:rsid w:val="00F04B39"/>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5B4"/>
    <w:rsid w:val="00F109AA"/>
    <w:rsid w:val="00F110EE"/>
    <w:rsid w:val="00F11159"/>
    <w:rsid w:val="00F11195"/>
    <w:rsid w:val="00F11230"/>
    <w:rsid w:val="00F113E3"/>
    <w:rsid w:val="00F118DB"/>
    <w:rsid w:val="00F11A18"/>
    <w:rsid w:val="00F11AE9"/>
    <w:rsid w:val="00F11C38"/>
    <w:rsid w:val="00F11F62"/>
    <w:rsid w:val="00F126F5"/>
    <w:rsid w:val="00F12941"/>
    <w:rsid w:val="00F12BFC"/>
    <w:rsid w:val="00F12E19"/>
    <w:rsid w:val="00F13051"/>
    <w:rsid w:val="00F13119"/>
    <w:rsid w:val="00F133E9"/>
    <w:rsid w:val="00F133F2"/>
    <w:rsid w:val="00F135E7"/>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92E"/>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1BE"/>
    <w:rsid w:val="00F2357D"/>
    <w:rsid w:val="00F235E1"/>
    <w:rsid w:val="00F23605"/>
    <w:rsid w:val="00F237A5"/>
    <w:rsid w:val="00F23DB4"/>
    <w:rsid w:val="00F23DC8"/>
    <w:rsid w:val="00F23F9F"/>
    <w:rsid w:val="00F2424F"/>
    <w:rsid w:val="00F2443F"/>
    <w:rsid w:val="00F24580"/>
    <w:rsid w:val="00F24607"/>
    <w:rsid w:val="00F247D1"/>
    <w:rsid w:val="00F247D4"/>
    <w:rsid w:val="00F24A48"/>
    <w:rsid w:val="00F24A59"/>
    <w:rsid w:val="00F24D65"/>
    <w:rsid w:val="00F25012"/>
    <w:rsid w:val="00F25485"/>
    <w:rsid w:val="00F25E1A"/>
    <w:rsid w:val="00F25EB5"/>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150"/>
    <w:rsid w:val="00F31569"/>
    <w:rsid w:val="00F3162D"/>
    <w:rsid w:val="00F31911"/>
    <w:rsid w:val="00F31B14"/>
    <w:rsid w:val="00F32099"/>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68FA"/>
    <w:rsid w:val="00F36C20"/>
    <w:rsid w:val="00F37035"/>
    <w:rsid w:val="00F3716D"/>
    <w:rsid w:val="00F37280"/>
    <w:rsid w:val="00F37762"/>
    <w:rsid w:val="00F377AF"/>
    <w:rsid w:val="00F37864"/>
    <w:rsid w:val="00F37875"/>
    <w:rsid w:val="00F3793F"/>
    <w:rsid w:val="00F37EB0"/>
    <w:rsid w:val="00F4010B"/>
    <w:rsid w:val="00F401AF"/>
    <w:rsid w:val="00F40286"/>
    <w:rsid w:val="00F405EF"/>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1E8C"/>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63D"/>
    <w:rsid w:val="00F44ABA"/>
    <w:rsid w:val="00F44FE9"/>
    <w:rsid w:val="00F452A6"/>
    <w:rsid w:val="00F45814"/>
    <w:rsid w:val="00F45818"/>
    <w:rsid w:val="00F4587C"/>
    <w:rsid w:val="00F45B75"/>
    <w:rsid w:val="00F45C13"/>
    <w:rsid w:val="00F45EAC"/>
    <w:rsid w:val="00F4621E"/>
    <w:rsid w:val="00F46254"/>
    <w:rsid w:val="00F4636A"/>
    <w:rsid w:val="00F4657D"/>
    <w:rsid w:val="00F465AF"/>
    <w:rsid w:val="00F46677"/>
    <w:rsid w:val="00F4670F"/>
    <w:rsid w:val="00F46842"/>
    <w:rsid w:val="00F468C6"/>
    <w:rsid w:val="00F46B73"/>
    <w:rsid w:val="00F46C10"/>
    <w:rsid w:val="00F46D24"/>
    <w:rsid w:val="00F46D29"/>
    <w:rsid w:val="00F46F1D"/>
    <w:rsid w:val="00F46FCC"/>
    <w:rsid w:val="00F47291"/>
    <w:rsid w:val="00F47319"/>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575"/>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7DC"/>
    <w:rsid w:val="00F53979"/>
    <w:rsid w:val="00F53D3A"/>
    <w:rsid w:val="00F53DC6"/>
    <w:rsid w:val="00F5413B"/>
    <w:rsid w:val="00F541BF"/>
    <w:rsid w:val="00F542DE"/>
    <w:rsid w:val="00F54301"/>
    <w:rsid w:val="00F54368"/>
    <w:rsid w:val="00F543A3"/>
    <w:rsid w:val="00F54453"/>
    <w:rsid w:val="00F5467C"/>
    <w:rsid w:val="00F54899"/>
    <w:rsid w:val="00F54A3F"/>
    <w:rsid w:val="00F54B3B"/>
    <w:rsid w:val="00F54DDD"/>
    <w:rsid w:val="00F54E47"/>
    <w:rsid w:val="00F5510A"/>
    <w:rsid w:val="00F551C8"/>
    <w:rsid w:val="00F551F5"/>
    <w:rsid w:val="00F55258"/>
    <w:rsid w:val="00F5538A"/>
    <w:rsid w:val="00F55630"/>
    <w:rsid w:val="00F556A9"/>
    <w:rsid w:val="00F556DF"/>
    <w:rsid w:val="00F55773"/>
    <w:rsid w:val="00F55D7B"/>
    <w:rsid w:val="00F560EB"/>
    <w:rsid w:val="00F562DA"/>
    <w:rsid w:val="00F564A3"/>
    <w:rsid w:val="00F564A4"/>
    <w:rsid w:val="00F56655"/>
    <w:rsid w:val="00F566D5"/>
    <w:rsid w:val="00F567AE"/>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1E0B"/>
    <w:rsid w:val="00F62114"/>
    <w:rsid w:val="00F623A6"/>
    <w:rsid w:val="00F623D5"/>
    <w:rsid w:val="00F624BA"/>
    <w:rsid w:val="00F62577"/>
    <w:rsid w:val="00F62583"/>
    <w:rsid w:val="00F62986"/>
    <w:rsid w:val="00F62CC8"/>
    <w:rsid w:val="00F63311"/>
    <w:rsid w:val="00F63851"/>
    <w:rsid w:val="00F638B2"/>
    <w:rsid w:val="00F63A58"/>
    <w:rsid w:val="00F63E86"/>
    <w:rsid w:val="00F64115"/>
    <w:rsid w:val="00F6434A"/>
    <w:rsid w:val="00F64484"/>
    <w:rsid w:val="00F646F5"/>
    <w:rsid w:val="00F64751"/>
    <w:rsid w:val="00F64832"/>
    <w:rsid w:val="00F64CAD"/>
    <w:rsid w:val="00F65515"/>
    <w:rsid w:val="00F6564C"/>
    <w:rsid w:val="00F65CC6"/>
    <w:rsid w:val="00F65D6B"/>
    <w:rsid w:val="00F65FCB"/>
    <w:rsid w:val="00F66039"/>
    <w:rsid w:val="00F66117"/>
    <w:rsid w:val="00F661DC"/>
    <w:rsid w:val="00F664DE"/>
    <w:rsid w:val="00F66AFB"/>
    <w:rsid w:val="00F670CE"/>
    <w:rsid w:val="00F67360"/>
    <w:rsid w:val="00F673B6"/>
    <w:rsid w:val="00F67603"/>
    <w:rsid w:val="00F6765F"/>
    <w:rsid w:val="00F6796C"/>
    <w:rsid w:val="00F67AA3"/>
    <w:rsid w:val="00F67BC2"/>
    <w:rsid w:val="00F67CD1"/>
    <w:rsid w:val="00F67CDA"/>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388"/>
    <w:rsid w:val="00F74427"/>
    <w:rsid w:val="00F7480D"/>
    <w:rsid w:val="00F74B21"/>
    <w:rsid w:val="00F74BC8"/>
    <w:rsid w:val="00F7520F"/>
    <w:rsid w:val="00F756D4"/>
    <w:rsid w:val="00F758AA"/>
    <w:rsid w:val="00F75A8C"/>
    <w:rsid w:val="00F75F2B"/>
    <w:rsid w:val="00F762C0"/>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3A0"/>
    <w:rsid w:val="00F864F0"/>
    <w:rsid w:val="00F86B80"/>
    <w:rsid w:val="00F86EDE"/>
    <w:rsid w:val="00F86F57"/>
    <w:rsid w:val="00F86F7B"/>
    <w:rsid w:val="00F872B2"/>
    <w:rsid w:val="00F875D2"/>
    <w:rsid w:val="00F8769A"/>
    <w:rsid w:val="00F8769C"/>
    <w:rsid w:val="00F876CC"/>
    <w:rsid w:val="00F876E5"/>
    <w:rsid w:val="00F87AA6"/>
    <w:rsid w:val="00F87F8A"/>
    <w:rsid w:val="00F8CB66"/>
    <w:rsid w:val="00F90229"/>
    <w:rsid w:val="00F90345"/>
    <w:rsid w:val="00F9051C"/>
    <w:rsid w:val="00F90788"/>
    <w:rsid w:val="00F909DD"/>
    <w:rsid w:val="00F90C44"/>
    <w:rsid w:val="00F90C5C"/>
    <w:rsid w:val="00F90D32"/>
    <w:rsid w:val="00F90D7F"/>
    <w:rsid w:val="00F90DA1"/>
    <w:rsid w:val="00F90E38"/>
    <w:rsid w:val="00F91322"/>
    <w:rsid w:val="00F91A11"/>
    <w:rsid w:val="00F91A18"/>
    <w:rsid w:val="00F91B4E"/>
    <w:rsid w:val="00F91F66"/>
    <w:rsid w:val="00F9273D"/>
    <w:rsid w:val="00F92955"/>
    <w:rsid w:val="00F92987"/>
    <w:rsid w:val="00F92996"/>
    <w:rsid w:val="00F92B9B"/>
    <w:rsid w:val="00F92BE5"/>
    <w:rsid w:val="00F92E01"/>
    <w:rsid w:val="00F93288"/>
    <w:rsid w:val="00F93304"/>
    <w:rsid w:val="00F934D3"/>
    <w:rsid w:val="00F93733"/>
    <w:rsid w:val="00F937B7"/>
    <w:rsid w:val="00F939CB"/>
    <w:rsid w:val="00F94395"/>
    <w:rsid w:val="00F945E0"/>
    <w:rsid w:val="00F947D0"/>
    <w:rsid w:val="00F94837"/>
    <w:rsid w:val="00F9484E"/>
    <w:rsid w:val="00F94BDC"/>
    <w:rsid w:val="00F954AB"/>
    <w:rsid w:val="00F95666"/>
    <w:rsid w:val="00F95689"/>
    <w:rsid w:val="00F956F3"/>
    <w:rsid w:val="00F95A4D"/>
    <w:rsid w:val="00F95C96"/>
    <w:rsid w:val="00F95D78"/>
    <w:rsid w:val="00F96289"/>
    <w:rsid w:val="00F9651A"/>
    <w:rsid w:val="00F96752"/>
    <w:rsid w:val="00F967B4"/>
    <w:rsid w:val="00F968F9"/>
    <w:rsid w:val="00F96AD5"/>
    <w:rsid w:val="00F96BF5"/>
    <w:rsid w:val="00F96C3F"/>
    <w:rsid w:val="00F96E2C"/>
    <w:rsid w:val="00F97088"/>
    <w:rsid w:val="00F976C0"/>
    <w:rsid w:val="00F97836"/>
    <w:rsid w:val="00FA04AD"/>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3BD"/>
    <w:rsid w:val="00FA2708"/>
    <w:rsid w:val="00FA2727"/>
    <w:rsid w:val="00FA2771"/>
    <w:rsid w:val="00FA2A3D"/>
    <w:rsid w:val="00FA2B96"/>
    <w:rsid w:val="00FA2CF2"/>
    <w:rsid w:val="00FA2E23"/>
    <w:rsid w:val="00FA31E3"/>
    <w:rsid w:val="00FA35E8"/>
    <w:rsid w:val="00FA3A0A"/>
    <w:rsid w:val="00FA4329"/>
    <w:rsid w:val="00FA47DA"/>
    <w:rsid w:val="00FA4906"/>
    <w:rsid w:val="00FA4C39"/>
    <w:rsid w:val="00FA4F7A"/>
    <w:rsid w:val="00FA5078"/>
    <w:rsid w:val="00FA5244"/>
    <w:rsid w:val="00FA55DB"/>
    <w:rsid w:val="00FA5756"/>
    <w:rsid w:val="00FA583B"/>
    <w:rsid w:val="00FA5B03"/>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238"/>
    <w:rsid w:val="00FB0447"/>
    <w:rsid w:val="00FB052C"/>
    <w:rsid w:val="00FB06D8"/>
    <w:rsid w:val="00FB07D3"/>
    <w:rsid w:val="00FB07E8"/>
    <w:rsid w:val="00FB0C9E"/>
    <w:rsid w:val="00FB0F08"/>
    <w:rsid w:val="00FB0F10"/>
    <w:rsid w:val="00FB10A1"/>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39F"/>
    <w:rsid w:val="00FB3D44"/>
    <w:rsid w:val="00FB3ED3"/>
    <w:rsid w:val="00FB4279"/>
    <w:rsid w:val="00FB42AB"/>
    <w:rsid w:val="00FB45B7"/>
    <w:rsid w:val="00FB45FC"/>
    <w:rsid w:val="00FB4942"/>
    <w:rsid w:val="00FB4967"/>
    <w:rsid w:val="00FB49AF"/>
    <w:rsid w:val="00FB49E3"/>
    <w:rsid w:val="00FB4D53"/>
    <w:rsid w:val="00FB5182"/>
    <w:rsid w:val="00FB53E3"/>
    <w:rsid w:val="00FB566D"/>
    <w:rsid w:val="00FB5B40"/>
    <w:rsid w:val="00FB5D16"/>
    <w:rsid w:val="00FB5E9C"/>
    <w:rsid w:val="00FB5F51"/>
    <w:rsid w:val="00FB60DF"/>
    <w:rsid w:val="00FB6365"/>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D60"/>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04"/>
    <w:rsid w:val="00FC2537"/>
    <w:rsid w:val="00FC2867"/>
    <w:rsid w:val="00FC2886"/>
    <w:rsid w:val="00FC29ED"/>
    <w:rsid w:val="00FC2BB6"/>
    <w:rsid w:val="00FC32CE"/>
    <w:rsid w:val="00FC32D5"/>
    <w:rsid w:val="00FC33E2"/>
    <w:rsid w:val="00FC3413"/>
    <w:rsid w:val="00FC34E1"/>
    <w:rsid w:val="00FC35BF"/>
    <w:rsid w:val="00FC3AA5"/>
    <w:rsid w:val="00FC3E5D"/>
    <w:rsid w:val="00FC4058"/>
    <w:rsid w:val="00FC4181"/>
    <w:rsid w:val="00FC42E9"/>
    <w:rsid w:val="00FC4528"/>
    <w:rsid w:val="00FC48FE"/>
    <w:rsid w:val="00FC4D35"/>
    <w:rsid w:val="00FC4D41"/>
    <w:rsid w:val="00FC4FC9"/>
    <w:rsid w:val="00FC52FB"/>
    <w:rsid w:val="00FC53D8"/>
    <w:rsid w:val="00FC592E"/>
    <w:rsid w:val="00FC5937"/>
    <w:rsid w:val="00FC5D24"/>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2F5"/>
    <w:rsid w:val="00FC73EB"/>
    <w:rsid w:val="00FD01AF"/>
    <w:rsid w:val="00FD0BB7"/>
    <w:rsid w:val="00FD0CD2"/>
    <w:rsid w:val="00FD0E43"/>
    <w:rsid w:val="00FD0F39"/>
    <w:rsid w:val="00FD1163"/>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4FFE"/>
    <w:rsid w:val="00FD5054"/>
    <w:rsid w:val="00FD5093"/>
    <w:rsid w:val="00FD55BE"/>
    <w:rsid w:val="00FD5709"/>
    <w:rsid w:val="00FD5732"/>
    <w:rsid w:val="00FD591D"/>
    <w:rsid w:val="00FD5E6B"/>
    <w:rsid w:val="00FD5FB0"/>
    <w:rsid w:val="00FD604E"/>
    <w:rsid w:val="00FD60B3"/>
    <w:rsid w:val="00FD61DA"/>
    <w:rsid w:val="00FD6381"/>
    <w:rsid w:val="00FD63A4"/>
    <w:rsid w:val="00FD6503"/>
    <w:rsid w:val="00FD6584"/>
    <w:rsid w:val="00FD65A8"/>
    <w:rsid w:val="00FD6833"/>
    <w:rsid w:val="00FD6CE6"/>
    <w:rsid w:val="00FD6EEB"/>
    <w:rsid w:val="00FD6F5F"/>
    <w:rsid w:val="00FD6F78"/>
    <w:rsid w:val="00FD7445"/>
    <w:rsid w:val="00FD7AF4"/>
    <w:rsid w:val="00FD7B19"/>
    <w:rsid w:val="00FD7BF9"/>
    <w:rsid w:val="00FD7D87"/>
    <w:rsid w:val="00FD7FD1"/>
    <w:rsid w:val="00FE00A5"/>
    <w:rsid w:val="00FE00B6"/>
    <w:rsid w:val="00FE00BC"/>
    <w:rsid w:val="00FE0108"/>
    <w:rsid w:val="00FE03D6"/>
    <w:rsid w:val="00FE04B8"/>
    <w:rsid w:val="00FE0523"/>
    <w:rsid w:val="00FE1077"/>
    <w:rsid w:val="00FE1136"/>
    <w:rsid w:val="00FE12A3"/>
    <w:rsid w:val="00FE12BF"/>
    <w:rsid w:val="00FE1773"/>
    <w:rsid w:val="00FE1813"/>
    <w:rsid w:val="00FE1AEA"/>
    <w:rsid w:val="00FE1F1C"/>
    <w:rsid w:val="00FE21BD"/>
    <w:rsid w:val="00FE2839"/>
    <w:rsid w:val="00FE2AD3"/>
    <w:rsid w:val="00FE2BDA"/>
    <w:rsid w:val="00FE2E48"/>
    <w:rsid w:val="00FE313D"/>
    <w:rsid w:val="00FE315A"/>
    <w:rsid w:val="00FE32D6"/>
    <w:rsid w:val="00FE32E0"/>
    <w:rsid w:val="00FE35A4"/>
    <w:rsid w:val="00FE39B7"/>
    <w:rsid w:val="00FE3A18"/>
    <w:rsid w:val="00FE3E10"/>
    <w:rsid w:val="00FE3FE2"/>
    <w:rsid w:val="00FE4049"/>
    <w:rsid w:val="00FE4123"/>
    <w:rsid w:val="00FE413C"/>
    <w:rsid w:val="00FE4734"/>
    <w:rsid w:val="00FE486D"/>
    <w:rsid w:val="00FE4A75"/>
    <w:rsid w:val="00FE4DE0"/>
    <w:rsid w:val="00FE4DF5"/>
    <w:rsid w:val="00FE4E3A"/>
    <w:rsid w:val="00FE5281"/>
    <w:rsid w:val="00FE52E1"/>
    <w:rsid w:val="00FE549E"/>
    <w:rsid w:val="00FE5506"/>
    <w:rsid w:val="00FE5668"/>
    <w:rsid w:val="00FE5A05"/>
    <w:rsid w:val="00FE5A07"/>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C9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25A"/>
    <w:rsid w:val="00FF359D"/>
    <w:rsid w:val="00FF3C3C"/>
    <w:rsid w:val="00FF3DF5"/>
    <w:rsid w:val="00FF3E29"/>
    <w:rsid w:val="00FF3E54"/>
    <w:rsid w:val="00FF3F26"/>
    <w:rsid w:val="00FF3F55"/>
    <w:rsid w:val="00FF4044"/>
    <w:rsid w:val="00FF43F0"/>
    <w:rsid w:val="00FF4B3F"/>
    <w:rsid w:val="00FF4D84"/>
    <w:rsid w:val="00FF4DDB"/>
    <w:rsid w:val="00FF524E"/>
    <w:rsid w:val="00FF52B6"/>
    <w:rsid w:val="00FF562A"/>
    <w:rsid w:val="00FF57D9"/>
    <w:rsid w:val="00FF585E"/>
    <w:rsid w:val="00FF5975"/>
    <w:rsid w:val="00FF59DF"/>
    <w:rsid w:val="00FF5B6B"/>
    <w:rsid w:val="00FF5C2A"/>
    <w:rsid w:val="00FF5EEB"/>
    <w:rsid w:val="00FF6037"/>
    <w:rsid w:val="00FF6664"/>
    <w:rsid w:val="00FF6832"/>
    <w:rsid w:val="00FF6A9D"/>
    <w:rsid w:val="00FF6BB9"/>
    <w:rsid w:val="00FF6DE6"/>
    <w:rsid w:val="00FF6F78"/>
    <w:rsid w:val="00FF6FBA"/>
    <w:rsid w:val="00FF7211"/>
    <w:rsid w:val="00FF7A25"/>
    <w:rsid w:val="01473680"/>
    <w:rsid w:val="0160DC8A"/>
    <w:rsid w:val="018B8665"/>
    <w:rsid w:val="01B1F129"/>
    <w:rsid w:val="01C1CC06"/>
    <w:rsid w:val="01D44A90"/>
    <w:rsid w:val="0210789A"/>
    <w:rsid w:val="0227ECAB"/>
    <w:rsid w:val="02593F62"/>
    <w:rsid w:val="026538B4"/>
    <w:rsid w:val="02828835"/>
    <w:rsid w:val="02B313EA"/>
    <w:rsid w:val="02D8A62E"/>
    <w:rsid w:val="02F7CE7D"/>
    <w:rsid w:val="02F9A2AC"/>
    <w:rsid w:val="0314B5B7"/>
    <w:rsid w:val="032EA23F"/>
    <w:rsid w:val="035BAA4C"/>
    <w:rsid w:val="037A6366"/>
    <w:rsid w:val="0384A0FE"/>
    <w:rsid w:val="038B6A94"/>
    <w:rsid w:val="03AABBE2"/>
    <w:rsid w:val="040E7D79"/>
    <w:rsid w:val="04665576"/>
    <w:rsid w:val="04A08005"/>
    <w:rsid w:val="051D065B"/>
    <w:rsid w:val="05436DA1"/>
    <w:rsid w:val="054BB0CC"/>
    <w:rsid w:val="058883DE"/>
    <w:rsid w:val="05E76F46"/>
    <w:rsid w:val="060E4B05"/>
    <w:rsid w:val="065DDEB5"/>
    <w:rsid w:val="06E12DB4"/>
    <w:rsid w:val="06E73AE1"/>
    <w:rsid w:val="06F59055"/>
    <w:rsid w:val="073B6D8F"/>
    <w:rsid w:val="07410586"/>
    <w:rsid w:val="0744F057"/>
    <w:rsid w:val="0782AACC"/>
    <w:rsid w:val="07982BE3"/>
    <w:rsid w:val="07D2ADCF"/>
    <w:rsid w:val="07F9AF16"/>
    <w:rsid w:val="08AD1F01"/>
    <w:rsid w:val="08E6A138"/>
    <w:rsid w:val="09227EED"/>
    <w:rsid w:val="093C304B"/>
    <w:rsid w:val="095764ED"/>
    <w:rsid w:val="0957F0B5"/>
    <w:rsid w:val="09C71494"/>
    <w:rsid w:val="0A16DA4D"/>
    <w:rsid w:val="0A211F08"/>
    <w:rsid w:val="0A2DA8E7"/>
    <w:rsid w:val="0AB9CAA2"/>
    <w:rsid w:val="0ABF3E51"/>
    <w:rsid w:val="0AFBE37D"/>
    <w:rsid w:val="0B45BB4D"/>
    <w:rsid w:val="0B624E50"/>
    <w:rsid w:val="0B7A3AFB"/>
    <w:rsid w:val="0B7D541C"/>
    <w:rsid w:val="0BD54FF7"/>
    <w:rsid w:val="0BD68E94"/>
    <w:rsid w:val="0BE7B6B8"/>
    <w:rsid w:val="0BF529DC"/>
    <w:rsid w:val="0CA858E8"/>
    <w:rsid w:val="0CCD2A27"/>
    <w:rsid w:val="0CECF775"/>
    <w:rsid w:val="0CF47F54"/>
    <w:rsid w:val="0D29E0D0"/>
    <w:rsid w:val="0DE0B8EE"/>
    <w:rsid w:val="0E1D693F"/>
    <w:rsid w:val="0E68F09A"/>
    <w:rsid w:val="0E97976E"/>
    <w:rsid w:val="0EAAE201"/>
    <w:rsid w:val="0EB8C1E5"/>
    <w:rsid w:val="0EEBC064"/>
    <w:rsid w:val="0F123981"/>
    <w:rsid w:val="0F29EF40"/>
    <w:rsid w:val="0F300198"/>
    <w:rsid w:val="0F3F4035"/>
    <w:rsid w:val="0F7FEF29"/>
    <w:rsid w:val="0FC86B7E"/>
    <w:rsid w:val="0FD11AD1"/>
    <w:rsid w:val="0FD14A2D"/>
    <w:rsid w:val="10963096"/>
    <w:rsid w:val="10E31BC9"/>
    <w:rsid w:val="10F538EB"/>
    <w:rsid w:val="1148A8F4"/>
    <w:rsid w:val="1152C683"/>
    <w:rsid w:val="11CF923F"/>
    <w:rsid w:val="11D5D2C4"/>
    <w:rsid w:val="11EC95A0"/>
    <w:rsid w:val="11F38794"/>
    <w:rsid w:val="127F47B8"/>
    <w:rsid w:val="128117DB"/>
    <w:rsid w:val="1283F519"/>
    <w:rsid w:val="12982DED"/>
    <w:rsid w:val="13371881"/>
    <w:rsid w:val="1360B292"/>
    <w:rsid w:val="1382F523"/>
    <w:rsid w:val="138D8509"/>
    <w:rsid w:val="13A04447"/>
    <w:rsid w:val="1422DCC3"/>
    <w:rsid w:val="1438C622"/>
    <w:rsid w:val="149EFCE8"/>
    <w:rsid w:val="15243662"/>
    <w:rsid w:val="1564B627"/>
    <w:rsid w:val="158D35EA"/>
    <w:rsid w:val="15FEE15B"/>
    <w:rsid w:val="16323CB7"/>
    <w:rsid w:val="164AA4D4"/>
    <w:rsid w:val="167C8642"/>
    <w:rsid w:val="168EDB5C"/>
    <w:rsid w:val="16FA798B"/>
    <w:rsid w:val="174A3DF1"/>
    <w:rsid w:val="179DBB8B"/>
    <w:rsid w:val="17A739B7"/>
    <w:rsid w:val="17CD5988"/>
    <w:rsid w:val="17DBA87D"/>
    <w:rsid w:val="180ABA77"/>
    <w:rsid w:val="181EF863"/>
    <w:rsid w:val="182FF027"/>
    <w:rsid w:val="184ED24F"/>
    <w:rsid w:val="18D524B5"/>
    <w:rsid w:val="18F83F2C"/>
    <w:rsid w:val="198D84BD"/>
    <w:rsid w:val="19992D45"/>
    <w:rsid w:val="1A0CED39"/>
    <w:rsid w:val="1A15B0EC"/>
    <w:rsid w:val="1A2DEDA0"/>
    <w:rsid w:val="1A52A9EF"/>
    <w:rsid w:val="1A7D14DD"/>
    <w:rsid w:val="1A91F9A2"/>
    <w:rsid w:val="1AA6F19C"/>
    <w:rsid w:val="1ADDD157"/>
    <w:rsid w:val="1AE9CEB8"/>
    <w:rsid w:val="1B11D507"/>
    <w:rsid w:val="1B3F6A01"/>
    <w:rsid w:val="1BBB4863"/>
    <w:rsid w:val="1C752C9D"/>
    <w:rsid w:val="1C83EF7B"/>
    <w:rsid w:val="1C9F3F64"/>
    <w:rsid w:val="1CBD5F16"/>
    <w:rsid w:val="1D2F4847"/>
    <w:rsid w:val="1D6A653B"/>
    <w:rsid w:val="1DBAE11E"/>
    <w:rsid w:val="1DFF1F64"/>
    <w:rsid w:val="1E115479"/>
    <w:rsid w:val="1E38BD06"/>
    <w:rsid w:val="1EB07B1E"/>
    <w:rsid w:val="1EC09B28"/>
    <w:rsid w:val="1ECB18A8"/>
    <w:rsid w:val="1EFAB370"/>
    <w:rsid w:val="1F39F7A5"/>
    <w:rsid w:val="1FBCD3B9"/>
    <w:rsid w:val="1FBFF581"/>
    <w:rsid w:val="20019B8E"/>
    <w:rsid w:val="200D1EE5"/>
    <w:rsid w:val="21171DA8"/>
    <w:rsid w:val="21535419"/>
    <w:rsid w:val="215AABFC"/>
    <w:rsid w:val="21670251"/>
    <w:rsid w:val="21D92997"/>
    <w:rsid w:val="21E57AA2"/>
    <w:rsid w:val="22166EAC"/>
    <w:rsid w:val="224CDC23"/>
    <w:rsid w:val="227674C9"/>
    <w:rsid w:val="227E261B"/>
    <w:rsid w:val="22943BC1"/>
    <w:rsid w:val="22CA1E12"/>
    <w:rsid w:val="22E10BBB"/>
    <w:rsid w:val="22FB83A7"/>
    <w:rsid w:val="230D9BEA"/>
    <w:rsid w:val="23334895"/>
    <w:rsid w:val="235101B4"/>
    <w:rsid w:val="23512875"/>
    <w:rsid w:val="236A6E42"/>
    <w:rsid w:val="23EAF496"/>
    <w:rsid w:val="246CAF6C"/>
    <w:rsid w:val="247193A4"/>
    <w:rsid w:val="2478820A"/>
    <w:rsid w:val="249CB3BE"/>
    <w:rsid w:val="24AD8C09"/>
    <w:rsid w:val="24D66904"/>
    <w:rsid w:val="24F00668"/>
    <w:rsid w:val="24F6436E"/>
    <w:rsid w:val="250D3090"/>
    <w:rsid w:val="2510F948"/>
    <w:rsid w:val="2527BAF2"/>
    <w:rsid w:val="255CE65C"/>
    <w:rsid w:val="256BDFE6"/>
    <w:rsid w:val="259E6465"/>
    <w:rsid w:val="25C70855"/>
    <w:rsid w:val="266CF09D"/>
    <w:rsid w:val="268BD6C9"/>
    <w:rsid w:val="269213CF"/>
    <w:rsid w:val="26B14298"/>
    <w:rsid w:val="26BDB630"/>
    <w:rsid w:val="26ED5F07"/>
    <w:rsid w:val="270D17B8"/>
    <w:rsid w:val="27311AA3"/>
    <w:rsid w:val="2757919B"/>
    <w:rsid w:val="279B8E1C"/>
    <w:rsid w:val="27D72829"/>
    <w:rsid w:val="2823980C"/>
    <w:rsid w:val="2846E349"/>
    <w:rsid w:val="284FBCF7"/>
    <w:rsid w:val="28617823"/>
    <w:rsid w:val="2869E419"/>
    <w:rsid w:val="2897D533"/>
    <w:rsid w:val="28F02D38"/>
    <w:rsid w:val="293543C6"/>
    <w:rsid w:val="299D43DD"/>
    <w:rsid w:val="29CD58A6"/>
    <w:rsid w:val="29D34B22"/>
    <w:rsid w:val="29E53533"/>
    <w:rsid w:val="29FC9078"/>
    <w:rsid w:val="2A0FA931"/>
    <w:rsid w:val="2A45C69F"/>
    <w:rsid w:val="2AEAA08F"/>
    <w:rsid w:val="2B3139A8"/>
    <w:rsid w:val="2B57C071"/>
    <w:rsid w:val="2B5A5F1E"/>
    <w:rsid w:val="2B807290"/>
    <w:rsid w:val="2C5D09DC"/>
    <w:rsid w:val="2CC309C4"/>
    <w:rsid w:val="2CE467BC"/>
    <w:rsid w:val="2D07E807"/>
    <w:rsid w:val="2D0C319C"/>
    <w:rsid w:val="2D0E64DF"/>
    <w:rsid w:val="2D81FFF9"/>
    <w:rsid w:val="2DA470BF"/>
    <w:rsid w:val="2DBE27FF"/>
    <w:rsid w:val="2DF14472"/>
    <w:rsid w:val="2E33CBDA"/>
    <w:rsid w:val="2E4A7495"/>
    <w:rsid w:val="2ED2A8CB"/>
    <w:rsid w:val="2F4807AD"/>
    <w:rsid w:val="2F4B675B"/>
    <w:rsid w:val="2F6FFC48"/>
    <w:rsid w:val="2F715D05"/>
    <w:rsid w:val="2F9FF6A8"/>
    <w:rsid w:val="2FDD1191"/>
    <w:rsid w:val="30553295"/>
    <w:rsid w:val="30BC4AE5"/>
    <w:rsid w:val="31139DEA"/>
    <w:rsid w:val="312301BA"/>
    <w:rsid w:val="312EFEC4"/>
    <w:rsid w:val="318918BE"/>
    <w:rsid w:val="319AC404"/>
    <w:rsid w:val="31D24330"/>
    <w:rsid w:val="31F448F8"/>
    <w:rsid w:val="330BAC1E"/>
    <w:rsid w:val="330E1D21"/>
    <w:rsid w:val="3316617B"/>
    <w:rsid w:val="3323F759"/>
    <w:rsid w:val="33588993"/>
    <w:rsid w:val="3365CDBD"/>
    <w:rsid w:val="336CE39E"/>
    <w:rsid w:val="33798817"/>
    <w:rsid w:val="3413C35F"/>
    <w:rsid w:val="3466961C"/>
    <w:rsid w:val="3486EF13"/>
    <w:rsid w:val="35313244"/>
    <w:rsid w:val="353583FF"/>
    <w:rsid w:val="35447226"/>
    <w:rsid w:val="354CF2D1"/>
    <w:rsid w:val="35586B7C"/>
    <w:rsid w:val="35B91CED"/>
    <w:rsid w:val="3605D337"/>
    <w:rsid w:val="369ADB85"/>
    <w:rsid w:val="36B0BC59"/>
    <w:rsid w:val="36F05934"/>
    <w:rsid w:val="3727C333"/>
    <w:rsid w:val="3729D4DC"/>
    <w:rsid w:val="376018AE"/>
    <w:rsid w:val="37676838"/>
    <w:rsid w:val="376D9CD5"/>
    <w:rsid w:val="377DED7D"/>
    <w:rsid w:val="3782D22F"/>
    <w:rsid w:val="37935017"/>
    <w:rsid w:val="379CB7D7"/>
    <w:rsid w:val="37D7BBC3"/>
    <w:rsid w:val="37E57395"/>
    <w:rsid w:val="37FA3556"/>
    <w:rsid w:val="3812453F"/>
    <w:rsid w:val="38264E83"/>
    <w:rsid w:val="382CA4BC"/>
    <w:rsid w:val="383296B9"/>
    <w:rsid w:val="383FC57F"/>
    <w:rsid w:val="38AE8E29"/>
    <w:rsid w:val="38EB2A5B"/>
    <w:rsid w:val="39154064"/>
    <w:rsid w:val="3927AD36"/>
    <w:rsid w:val="3936C2A9"/>
    <w:rsid w:val="396EBAA3"/>
    <w:rsid w:val="3995129C"/>
    <w:rsid w:val="3A7D5652"/>
    <w:rsid w:val="3B450437"/>
    <w:rsid w:val="3B7DB210"/>
    <w:rsid w:val="3B890DEC"/>
    <w:rsid w:val="3B952159"/>
    <w:rsid w:val="3BC1213B"/>
    <w:rsid w:val="3C50064C"/>
    <w:rsid w:val="3CD1473B"/>
    <w:rsid w:val="3D48AF5E"/>
    <w:rsid w:val="3D93A55C"/>
    <w:rsid w:val="3DD8EB56"/>
    <w:rsid w:val="3DDDEAEA"/>
    <w:rsid w:val="3DE844CE"/>
    <w:rsid w:val="3E764CFB"/>
    <w:rsid w:val="3E8BECB3"/>
    <w:rsid w:val="3E918008"/>
    <w:rsid w:val="3E9C15C7"/>
    <w:rsid w:val="3EA3E258"/>
    <w:rsid w:val="3EE122A3"/>
    <w:rsid w:val="3EE85301"/>
    <w:rsid w:val="3F0ADE71"/>
    <w:rsid w:val="3F329D0A"/>
    <w:rsid w:val="3F4901A0"/>
    <w:rsid w:val="3F5CCF42"/>
    <w:rsid w:val="3F71D71E"/>
    <w:rsid w:val="3F78494A"/>
    <w:rsid w:val="3F86A416"/>
    <w:rsid w:val="3FC7D2DE"/>
    <w:rsid w:val="3FD4FFA8"/>
    <w:rsid w:val="401B5858"/>
    <w:rsid w:val="4063553D"/>
    <w:rsid w:val="40A2E040"/>
    <w:rsid w:val="40A66E3D"/>
    <w:rsid w:val="41049143"/>
    <w:rsid w:val="416C9515"/>
    <w:rsid w:val="41AA58C4"/>
    <w:rsid w:val="41E4D8CF"/>
    <w:rsid w:val="41F88319"/>
    <w:rsid w:val="4216DEE7"/>
    <w:rsid w:val="421FE454"/>
    <w:rsid w:val="42792AAA"/>
    <w:rsid w:val="429AF753"/>
    <w:rsid w:val="429BD640"/>
    <w:rsid w:val="42B2CC5E"/>
    <w:rsid w:val="42B8EEBC"/>
    <w:rsid w:val="42BBA6DF"/>
    <w:rsid w:val="42D6A7EE"/>
    <w:rsid w:val="42FEF8C5"/>
    <w:rsid w:val="430C2272"/>
    <w:rsid w:val="4320151B"/>
    <w:rsid w:val="438540AA"/>
    <w:rsid w:val="43968125"/>
    <w:rsid w:val="43C3E5FE"/>
    <w:rsid w:val="446A2D45"/>
    <w:rsid w:val="44FE34FB"/>
    <w:rsid w:val="4543D2C3"/>
    <w:rsid w:val="45B6B274"/>
    <w:rsid w:val="45C7BA9B"/>
    <w:rsid w:val="45D7FA59"/>
    <w:rsid w:val="45DEDFAE"/>
    <w:rsid w:val="45FB9AD3"/>
    <w:rsid w:val="4615BE4D"/>
    <w:rsid w:val="463D7870"/>
    <w:rsid w:val="4647667B"/>
    <w:rsid w:val="46AE3E46"/>
    <w:rsid w:val="46C631A6"/>
    <w:rsid w:val="46E84C34"/>
    <w:rsid w:val="4738D700"/>
    <w:rsid w:val="4759CB50"/>
    <w:rsid w:val="47E005A8"/>
    <w:rsid w:val="4800B4BF"/>
    <w:rsid w:val="48051F02"/>
    <w:rsid w:val="48202CFA"/>
    <w:rsid w:val="486BB8C4"/>
    <w:rsid w:val="48A6D58F"/>
    <w:rsid w:val="48A86988"/>
    <w:rsid w:val="49034644"/>
    <w:rsid w:val="492C72DE"/>
    <w:rsid w:val="4933CC08"/>
    <w:rsid w:val="499B314F"/>
    <w:rsid w:val="49B419E6"/>
    <w:rsid w:val="49C4E6E4"/>
    <w:rsid w:val="4A0DE219"/>
    <w:rsid w:val="4A3F16E7"/>
    <w:rsid w:val="4A4E5E55"/>
    <w:rsid w:val="4ABED68B"/>
    <w:rsid w:val="4B452834"/>
    <w:rsid w:val="4B75DD4B"/>
    <w:rsid w:val="4B9DE69A"/>
    <w:rsid w:val="4B9F616A"/>
    <w:rsid w:val="4BAF8CD6"/>
    <w:rsid w:val="4BBC53B1"/>
    <w:rsid w:val="4C06AD42"/>
    <w:rsid w:val="4C07D1C6"/>
    <w:rsid w:val="4C459277"/>
    <w:rsid w:val="4CBF532E"/>
    <w:rsid w:val="4CFA53B7"/>
    <w:rsid w:val="4D0C65EB"/>
    <w:rsid w:val="4D120979"/>
    <w:rsid w:val="4D1C486B"/>
    <w:rsid w:val="4DB44BBE"/>
    <w:rsid w:val="4E1DD2F1"/>
    <w:rsid w:val="4E4E1949"/>
    <w:rsid w:val="4E50F671"/>
    <w:rsid w:val="4ED7C2BA"/>
    <w:rsid w:val="4EEFB167"/>
    <w:rsid w:val="4F30D06F"/>
    <w:rsid w:val="4F55DF8C"/>
    <w:rsid w:val="4F610570"/>
    <w:rsid w:val="4F7D6B99"/>
    <w:rsid w:val="501C5316"/>
    <w:rsid w:val="5026F94D"/>
    <w:rsid w:val="5036C788"/>
    <w:rsid w:val="5049A99A"/>
    <w:rsid w:val="506D60A3"/>
    <w:rsid w:val="507AF3C1"/>
    <w:rsid w:val="50E4F328"/>
    <w:rsid w:val="50F79217"/>
    <w:rsid w:val="510ECC30"/>
    <w:rsid w:val="516C3702"/>
    <w:rsid w:val="51749860"/>
    <w:rsid w:val="51790927"/>
    <w:rsid w:val="517C1ED5"/>
    <w:rsid w:val="518CE287"/>
    <w:rsid w:val="521A72D5"/>
    <w:rsid w:val="5224BED2"/>
    <w:rsid w:val="5251EA5A"/>
    <w:rsid w:val="525B8B21"/>
    <w:rsid w:val="529576BE"/>
    <w:rsid w:val="529D8C35"/>
    <w:rsid w:val="52E7D49C"/>
    <w:rsid w:val="531B5BF9"/>
    <w:rsid w:val="5327ACE4"/>
    <w:rsid w:val="53538545"/>
    <w:rsid w:val="535E9A0F"/>
    <w:rsid w:val="539E22A3"/>
    <w:rsid w:val="53F3AACB"/>
    <w:rsid w:val="53F45CA1"/>
    <w:rsid w:val="5401A301"/>
    <w:rsid w:val="54300971"/>
    <w:rsid w:val="54808E60"/>
    <w:rsid w:val="54A00478"/>
    <w:rsid w:val="54E9578A"/>
    <w:rsid w:val="54F36956"/>
    <w:rsid w:val="551ECF40"/>
    <w:rsid w:val="552DEF84"/>
    <w:rsid w:val="55B1B3DA"/>
    <w:rsid w:val="562EDC3E"/>
    <w:rsid w:val="569AE8B1"/>
    <w:rsid w:val="56C9BFE5"/>
    <w:rsid w:val="56EEF5D2"/>
    <w:rsid w:val="56F75F6F"/>
    <w:rsid w:val="57204FAA"/>
    <w:rsid w:val="573104A2"/>
    <w:rsid w:val="57555607"/>
    <w:rsid w:val="576481CF"/>
    <w:rsid w:val="5798DC25"/>
    <w:rsid w:val="579A38F6"/>
    <w:rsid w:val="57B0CA43"/>
    <w:rsid w:val="57BE3B46"/>
    <w:rsid w:val="57E1289C"/>
    <w:rsid w:val="58055D2E"/>
    <w:rsid w:val="586D10F5"/>
    <w:rsid w:val="58B71C32"/>
    <w:rsid w:val="59336551"/>
    <w:rsid w:val="59382DD5"/>
    <w:rsid w:val="595394F5"/>
    <w:rsid w:val="59759A35"/>
    <w:rsid w:val="599719AC"/>
    <w:rsid w:val="59DAEE53"/>
    <w:rsid w:val="59EA738F"/>
    <w:rsid w:val="59EFBD3C"/>
    <w:rsid w:val="5A2EB6EB"/>
    <w:rsid w:val="5A5962C0"/>
    <w:rsid w:val="5A6B1E03"/>
    <w:rsid w:val="5A93907D"/>
    <w:rsid w:val="5B273702"/>
    <w:rsid w:val="5B4C6D59"/>
    <w:rsid w:val="5C1B5A47"/>
    <w:rsid w:val="5C787ACB"/>
    <w:rsid w:val="5CD6AA40"/>
    <w:rsid w:val="5D91C09D"/>
    <w:rsid w:val="5DB7B9FC"/>
    <w:rsid w:val="5DC24344"/>
    <w:rsid w:val="5DD1AA37"/>
    <w:rsid w:val="5DF846C5"/>
    <w:rsid w:val="5E58EAB5"/>
    <w:rsid w:val="5EAC562F"/>
    <w:rsid w:val="5ED895D4"/>
    <w:rsid w:val="5F505C00"/>
    <w:rsid w:val="5F891667"/>
    <w:rsid w:val="5FA62147"/>
    <w:rsid w:val="5FB57961"/>
    <w:rsid w:val="5FD345C4"/>
    <w:rsid w:val="5FDB5FE8"/>
    <w:rsid w:val="6063D3F7"/>
    <w:rsid w:val="60797831"/>
    <w:rsid w:val="61270A97"/>
    <w:rsid w:val="613CBD00"/>
    <w:rsid w:val="617A3B30"/>
    <w:rsid w:val="617CC016"/>
    <w:rsid w:val="6183C8D2"/>
    <w:rsid w:val="6192A41C"/>
    <w:rsid w:val="61A5701B"/>
    <w:rsid w:val="61CC9FEF"/>
    <w:rsid w:val="61D6F8BB"/>
    <w:rsid w:val="620B736D"/>
    <w:rsid w:val="6269BD13"/>
    <w:rsid w:val="62960AF3"/>
    <w:rsid w:val="62A3A818"/>
    <w:rsid w:val="62A4B9CF"/>
    <w:rsid w:val="62A61080"/>
    <w:rsid w:val="62FF614E"/>
    <w:rsid w:val="638CF113"/>
    <w:rsid w:val="63A6F2F4"/>
    <w:rsid w:val="63DDA9A4"/>
    <w:rsid w:val="6410122C"/>
    <w:rsid w:val="641A64BA"/>
    <w:rsid w:val="643E4C89"/>
    <w:rsid w:val="6441E8A2"/>
    <w:rsid w:val="648503B9"/>
    <w:rsid w:val="649D2751"/>
    <w:rsid w:val="64A4A279"/>
    <w:rsid w:val="64AED10B"/>
    <w:rsid w:val="64D50087"/>
    <w:rsid w:val="6505A540"/>
    <w:rsid w:val="651E78EA"/>
    <w:rsid w:val="6567574D"/>
    <w:rsid w:val="65AACB8E"/>
    <w:rsid w:val="65B6E838"/>
    <w:rsid w:val="65CF08A2"/>
    <w:rsid w:val="65E2F4A3"/>
    <w:rsid w:val="65E5BE95"/>
    <w:rsid w:val="65EB7008"/>
    <w:rsid w:val="65F70096"/>
    <w:rsid w:val="65F893EE"/>
    <w:rsid w:val="65FF09F8"/>
    <w:rsid w:val="6618EFA0"/>
    <w:rsid w:val="662180E1"/>
    <w:rsid w:val="66409073"/>
    <w:rsid w:val="6654EF0C"/>
    <w:rsid w:val="667ABEAE"/>
    <w:rsid w:val="66928DF6"/>
    <w:rsid w:val="66AC99F6"/>
    <w:rsid w:val="677A2CF7"/>
    <w:rsid w:val="67B887AF"/>
    <w:rsid w:val="67C5455A"/>
    <w:rsid w:val="67F4BC9F"/>
    <w:rsid w:val="68E8DA5A"/>
    <w:rsid w:val="68F3E06C"/>
    <w:rsid w:val="68F4E2C6"/>
    <w:rsid w:val="691A2C10"/>
    <w:rsid w:val="69BFEFB5"/>
    <w:rsid w:val="69C76BEE"/>
    <w:rsid w:val="6AA5E3D2"/>
    <w:rsid w:val="6ABD8C25"/>
    <w:rsid w:val="6B1232A4"/>
    <w:rsid w:val="6B4078EC"/>
    <w:rsid w:val="6B4D3E6E"/>
    <w:rsid w:val="6B65FF19"/>
    <w:rsid w:val="6B6D0C98"/>
    <w:rsid w:val="6B7B6FBB"/>
    <w:rsid w:val="6BBDCECB"/>
    <w:rsid w:val="6C3273B8"/>
    <w:rsid w:val="6C49576E"/>
    <w:rsid w:val="6CEEBAA3"/>
    <w:rsid w:val="6D5FF820"/>
    <w:rsid w:val="6D9C3E01"/>
    <w:rsid w:val="6DC0538E"/>
    <w:rsid w:val="6DD1294D"/>
    <w:rsid w:val="6DD4DC20"/>
    <w:rsid w:val="6E5D8692"/>
    <w:rsid w:val="6EEAC9CC"/>
    <w:rsid w:val="6F2338AE"/>
    <w:rsid w:val="6F5C23EF"/>
    <w:rsid w:val="6F5CA53F"/>
    <w:rsid w:val="6FA48075"/>
    <w:rsid w:val="6FD9FAF9"/>
    <w:rsid w:val="70409585"/>
    <w:rsid w:val="706D4BBB"/>
    <w:rsid w:val="70C65CCC"/>
    <w:rsid w:val="70E34A07"/>
    <w:rsid w:val="715D0349"/>
    <w:rsid w:val="71813FDE"/>
    <w:rsid w:val="71A540C3"/>
    <w:rsid w:val="71D25A6F"/>
    <w:rsid w:val="71FE8B61"/>
    <w:rsid w:val="721875BE"/>
    <w:rsid w:val="722A2164"/>
    <w:rsid w:val="72DF4AEF"/>
    <w:rsid w:val="72F41703"/>
    <w:rsid w:val="73390DF2"/>
    <w:rsid w:val="7343BFA5"/>
    <w:rsid w:val="738B373D"/>
    <w:rsid w:val="738EA3CA"/>
    <w:rsid w:val="73AD2BE0"/>
    <w:rsid w:val="73C42DF3"/>
    <w:rsid w:val="73EA94BA"/>
    <w:rsid w:val="73F6EF23"/>
    <w:rsid w:val="73FD6616"/>
    <w:rsid w:val="741D5437"/>
    <w:rsid w:val="7432DC0D"/>
    <w:rsid w:val="743CE65E"/>
    <w:rsid w:val="74B259DB"/>
    <w:rsid w:val="74CD73AE"/>
    <w:rsid w:val="74F12316"/>
    <w:rsid w:val="74FBA70F"/>
    <w:rsid w:val="751A3F81"/>
    <w:rsid w:val="7528CE9D"/>
    <w:rsid w:val="752E3134"/>
    <w:rsid w:val="7547FD22"/>
    <w:rsid w:val="756D6802"/>
    <w:rsid w:val="75BD6E29"/>
    <w:rsid w:val="75EE0F2B"/>
    <w:rsid w:val="76551360"/>
    <w:rsid w:val="767B0158"/>
    <w:rsid w:val="76A55A11"/>
    <w:rsid w:val="76A7E689"/>
    <w:rsid w:val="77268D84"/>
    <w:rsid w:val="775204AC"/>
    <w:rsid w:val="77718DFD"/>
    <w:rsid w:val="77ABF34F"/>
    <w:rsid w:val="77E18C56"/>
    <w:rsid w:val="783332DE"/>
    <w:rsid w:val="7863D6B3"/>
    <w:rsid w:val="787D66D5"/>
    <w:rsid w:val="78818099"/>
    <w:rsid w:val="78D54F1C"/>
    <w:rsid w:val="78EBEA9C"/>
    <w:rsid w:val="7901BA12"/>
    <w:rsid w:val="79049862"/>
    <w:rsid w:val="7909C7CC"/>
    <w:rsid w:val="791F965B"/>
    <w:rsid w:val="7966C223"/>
    <w:rsid w:val="79A9D9D8"/>
    <w:rsid w:val="7A02A0AF"/>
    <w:rsid w:val="7A0AC4F1"/>
    <w:rsid w:val="7A0AF224"/>
    <w:rsid w:val="7A161435"/>
    <w:rsid w:val="7A2BDDEF"/>
    <w:rsid w:val="7A3A5471"/>
    <w:rsid w:val="7A6E095B"/>
    <w:rsid w:val="7AA8A024"/>
    <w:rsid w:val="7B1598F1"/>
    <w:rsid w:val="7B1E7468"/>
    <w:rsid w:val="7C0FD224"/>
    <w:rsid w:val="7C1977BA"/>
    <w:rsid w:val="7C62D8E4"/>
    <w:rsid w:val="7CC3ABBC"/>
    <w:rsid w:val="7D1B5787"/>
    <w:rsid w:val="7D41A747"/>
    <w:rsid w:val="7D44D739"/>
    <w:rsid w:val="7D49A889"/>
    <w:rsid w:val="7D53D25C"/>
    <w:rsid w:val="7D61FB0D"/>
    <w:rsid w:val="7D8F53B4"/>
    <w:rsid w:val="7DA5F87D"/>
    <w:rsid w:val="7DC80DFB"/>
    <w:rsid w:val="7DCAA2C6"/>
    <w:rsid w:val="7DCE090A"/>
    <w:rsid w:val="7DD80919"/>
    <w:rsid w:val="7E5FC182"/>
    <w:rsid w:val="7E8F1712"/>
    <w:rsid w:val="7E91E6A1"/>
    <w:rsid w:val="7EB7B35E"/>
    <w:rsid w:val="7F0EDF18"/>
    <w:rsid w:val="7F754C92"/>
    <w:rsid w:val="7F9A79A6"/>
    <w:rsid w:val="7FA0636F"/>
    <w:rsid w:val="7FCAB3A2"/>
    <w:rsid w:val="7FE2E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98209"/>
  <w15:docId w15:val="{96EB4E48-87D4-4899-9325-A60144D9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fr-FR"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fr-FR"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lang w:val="fr-FR"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qForma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fr-FR"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fr-FR"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Listaszerű bekezdés1,List Paragraph à moi,Medium Grid 1 - Accent 21,Listaszeru bekezdés1,Colorful List - Accent 111,Dot pt,F5 List Paragraph,No Spacing1,List Paragraph Char Char Char,Bullets,L,EC,List1,FooterText,Heading 2_sj"/>
    <w:basedOn w:val="Normal"/>
    <w:link w:val="ListParagraphChar"/>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fr-FR" w:eastAsia="en-GB"/>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Listaszerű bekezdés1 Char,List Paragraph à moi Char,Medium Grid 1 - Accent 21 Char,Listaszeru bekezdés1 Char,Colorful List - Accent 111 Char,Dot pt Char,F5 List Paragraph Char,No Spacing1 Char,List Paragraph Char Char Char Char"/>
    <w:link w:val="ListParagraph"/>
    <w:uiPriority w:val="34"/>
    <w:qFormat/>
    <w:locked/>
    <w:rsid w:val="00FE5506"/>
    <w:rPr>
      <w:rFonts w:ascii="Calibri" w:eastAsia="Calibri" w:hAnsi="Calibri"/>
      <w:sz w:val="22"/>
      <w:szCs w:val="22"/>
      <w:lang w:val="fr-FR" w:eastAsia="en-US"/>
    </w:rPr>
  </w:style>
  <w:style w:type="character" w:customStyle="1" w:styleId="UnresolvedMention1">
    <w:name w:val="Unresolved Mention1"/>
    <w:uiPriority w:val="99"/>
    <w:unhideWhenUsed/>
    <w:rsid w:val="002C2279"/>
    <w:rPr>
      <w:color w:val="605E5C"/>
      <w:shd w:val="clear" w:color="auto" w:fill="E1DFDD"/>
    </w:rPr>
  </w:style>
  <w:style w:type="character" w:customStyle="1" w:styleId="Mention1">
    <w:name w:val="Mention1"/>
    <w:uiPriority w:val="99"/>
    <w:unhideWhenUsed/>
    <w:rsid w:val="002C2279"/>
    <w:rPr>
      <w:color w:val="2B579A"/>
      <w:shd w:val="clear" w:color="auto" w:fill="E1DFDD"/>
    </w:rPr>
  </w:style>
  <w:style w:type="character" w:customStyle="1" w:styleId="FootnoteTextChar3Char1">
    <w:name w:val="Footnote Text Char3 Char1"/>
    <w:aliases w:val="Footnote Text Char1 Char1 Char1,Footnote Text Char2 Char Char Char1,Footnote Text Char1 Char1 Char Char Char1,Footnote Text Char2 Char Char Char Char Char1,Footnote Text Char1 Char1 Char Char Char Char Char1"/>
    <w:uiPriority w:val="99"/>
    <w:semiHidden/>
    <w:rsid w:val="004B08AB"/>
    <w:rPr>
      <w:sz w:val="20"/>
      <w:szCs w:val="20"/>
    </w:rPr>
  </w:style>
  <w:style w:type="paragraph" w:customStyle="1" w:styleId="paragraph">
    <w:name w:val="paragraph"/>
    <w:basedOn w:val="Normal"/>
    <w:rsid w:val="007857A1"/>
    <w:pPr>
      <w:spacing w:before="100" w:beforeAutospacing="1" w:after="100" w:afterAutospacing="1"/>
      <w:jc w:val="left"/>
    </w:pPr>
    <w:rPr>
      <w:rFonts w:ascii="Times New Roman" w:hAnsi="Times New Roman"/>
      <w:szCs w:val="24"/>
      <w:lang w:eastAsia="en-IE"/>
    </w:rPr>
  </w:style>
  <w:style w:type="character" w:customStyle="1" w:styleId="normaltextrun">
    <w:name w:val="normaltextrun"/>
    <w:basedOn w:val="DefaultParagraphFont"/>
    <w:rsid w:val="007857A1"/>
  </w:style>
  <w:style w:type="character" w:customStyle="1" w:styleId="eop">
    <w:name w:val="eop"/>
    <w:basedOn w:val="DefaultParagraphFont"/>
    <w:rsid w:val="007857A1"/>
  </w:style>
  <w:style w:type="character" w:styleId="UnresolvedMention">
    <w:name w:val="Unresolved Mention"/>
    <w:uiPriority w:val="99"/>
    <w:unhideWhenUsed/>
    <w:rsid w:val="00AC22AA"/>
    <w:rPr>
      <w:color w:val="605E5C"/>
      <w:shd w:val="clear" w:color="auto" w:fill="E1DFDD"/>
    </w:rPr>
  </w:style>
  <w:style w:type="character" w:styleId="Mention">
    <w:name w:val="Mention"/>
    <w:uiPriority w:val="99"/>
    <w:unhideWhenUsed/>
    <w:rsid w:val="00AC22AA"/>
    <w:rPr>
      <w:color w:val="2B579A"/>
      <w:shd w:val="clear" w:color="auto" w:fill="E1DFDD"/>
    </w:rPr>
  </w:style>
  <w:style w:type="character" w:customStyle="1" w:styleId="cf01">
    <w:name w:val="cf01"/>
    <w:rsid w:val="00A077DF"/>
    <w:rPr>
      <w:rFonts w:ascii="Segoe UI" w:hAnsi="Segoe UI" w:cs="Segoe UI" w:hint="default"/>
      <w:color w:val="1F497D"/>
      <w:sz w:val="18"/>
      <w:szCs w:val="18"/>
    </w:rPr>
  </w:style>
  <w:style w:type="character" w:customStyle="1" w:styleId="Briefinglist1Char">
    <w:name w:val="Briefing list 1 Char"/>
    <w:link w:val="Briefinglist1"/>
    <w:qFormat/>
    <w:rsid w:val="004650A5"/>
    <w:rPr>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910">
      <w:bodyDiv w:val="1"/>
      <w:marLeft w:val="0"/>
      <w:marRight w:val="0"/>
      <w:marTop w:val="0"/>
      <w:marBottom w:val="0"/>
      <w:divBdr>
        <w:top w:val="none" w:sz="0" w:space="0" w:color="auto"/>
        <w:left w:val="none" w:sz="0" w:space="0" w:color="auto"/>
        <w:bottom w:val="none" w:sz="0" w:space="0" w:color="auto"/>
        <w:right w:val="none" w:sz="0" w:space="0" w:color="auto"/>
      </w:divBdr>
    </w:div>
    <w:div w:id="121121442">
      <w:bodyDiv w:val="1"/>
      <w:marLeft w:val="0"/>
      <w:marRight w:val="0"/>
      <w:marTop w:val="0"/>
      <w:marBottom w:val="0"/>
      <w:divBdr>
        <w:top w:val="none" w:sz="0" w:space="0" w:color="auto"/>
        <w:left w:val="none" w:sz="0" w:space="0" w:color="auto"/>
        <w:bottom w:val="none" w:sz="0" w:space="0" w:color="auto"/>
        <w:right w:val="none" w:sz="0" w:space="0" w:color="auto"/>
      </w:divBdr>
    </w:div>
    <w:div w:id="309289978">
      <w:bodyDiv w:val="1"/>
      <w:marLeft w:val="0"/>
      <w:marRight w:val="0"/>
      <w:marTop w:val="0"/>
      <w:marBottom w:val="0"/>
      <w:divBdr>
        <w:top w:val="none" w:sz="0" w:space="0" w:color="auto"/>
        <w:left w:val="none" w:sz="0" w:space="0" w:color="auto"/>
        <w:bottom w:val="none" w:sz="0" w:space="0" w:color="auto"/>
        <w:right w:val="none" w:sz="0" w:space="0" w:color="auto"/>
      </w:divBdr>
      <w:divsChild>
        <w:div w:id="328018500">
          <w:marLeft w:val="0"/>
          <w:marRight w:val="0"/>
          <w:marTop w:val="0"/>
          <w:marBottom w:val="0"/>
          <w:divBdr>
            <w:top w:val="none" w:sz="0" w:space="0" w:color="auto"/>
            <w:left w:val="none" w:sz="0" w:space="0" w:color="auto"/>
            <w:bottom w:val="none" w:sz="0" w:space="0" w:color="auto"/>
            <w:right w:val="none" w:sz="0" w:space="0" w:color="auto"/>
          </w:divBdr>
        </w:div>
        <w:div w:id="2137865651">
          <w:marLeft w:val="0"/>
          <w:marRight w:val="0"/>
          <w:marTop w:val="0"/>
          <w:marBottom w:val="0"/>
          <w:divBdr>
            <w:top w:val="none" w:sz="0" w:space="0" w:color="auto"/>
            <w:left w:val="none" w:sz="0" w:space="0" w:color="auto"/>
            <w:bottom w:val="none" w:sz="0" w:space="0" w:color="auto"/>
            <w:right w:val="none" w:sz="0" w:space="0" w:color="auto"/>
          </w:divBdr>
        </w:div>
      </w:divsChild>
    </w:div>
    <w:div w:id="32212625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233739899">
      <w:bodyDiv w:val="1"/>
      <w:marLeft w:val="0"/>
      <w:marRight w:val="0"/>
      <w:marTop w:val="0"/>
      <w:marBottom w:val="0"/>
      <w:divBdr>
        <w:top w:val="none" w:sz="0" w:space="0" w:color="auto"/>
        <w:left w:val="none" w:sz="0" w:space="0" w:color="auto"/>
        <w:bottom w:val="none" w:sz="0" w:space="0" w:color="auto"/>
        <w:right w:val="none" w:sz="0" w:space="0" w:color="auto"/>
      </w:divBdr>
    </w:div>
    <w:div w:id="1298413481">
      <w:bodyDiv w:val="1"/>
      <w:marLeft w:val="0"/>
      <w:marRight w:val="0"/>
      <w:marTop w:val="0"/>
      <w:marBottom w:val="0"/>
      <w:divBdr>
        <w:top w:val="none" w:sz="0" w:space="0" w:color="auto"/>
        <w:left w:val="none" w:sz="0" w:space="0" w:color="auto"/>
        <w:bottom w:val="none" w:sz="0" w:space="0" w:color="auto"/>
        <w:right w:val="none" w:sz="0" w:space="0" w:color="auto"/>
      </w:divBdr>
      <w:divsChild>
        <w:div w:id="865604408">
          <w:marLeft w:val="0"/>
          <w:marRight w:val="0"/>
          <w:marTop w:val="0"/>
          <w:marBottom w:val="0"/>
          <w:divBdr>
            <w:top w:val="none" w:sz="0" w:space="0" w:color="auto"/>
            <w:left w:val="none" w:sz="0" w:space="0" w:color="auto"/>
            <w:bottom w:val="none" w:sz="0" w:space="0" w:color="auto"/>
            <w:right w:val="none" w:sz="0" w:space="0" w:color="auto"/>
          </w:divBdr>
        </w:div>
        <w:div w:id="1068576929">
          <w:marLeft w:val="0"/>
          <w:marRight w:val="0"/>
          <w:marTop w:val="0"/>
          <w:marBottom w:val="0"/>
          <w:divBdr>
            <w:top w:val="none" w:sz="0" w:space="0" w:color="auto"/>
            <w:left w:val="none" w:sz="0" w:space="0" w:color="auto"/>
            <w:bottom w:val="none" w:sz="0" w:space="0" w:color="auto"/>
            <w:right w:val="none" w:sz="0" w:space="0" w:color="auto"/>
          </w:divBdr>
        </w:div>
      </w:divsChild>
    </w:div>
    <w:div w:id="1904170308">
      <w:bodyDiv w:val="1"/>
      <w:marLeft w:val="0"/>
      <w:marRight w:val="0"/>
      <w:marTop w:val="0"/>
      <w:marBottom w:val="0"/>
      <w:divBdr>
        <w:top w:val="none" w:sz="0" w:space="0" w:color="auto"/>
        <w:left w:val="none" w:sz="0" w:space="0" w:color="auto"/>
        <w:bottom w:val="none" w:sz="0" w:space="0" w:color="auto"/>
        <w:right w:val="none" w:sz="0" w:space="0" w:color="auto"/>
      </w:divBdr>
    </w:div>
    <w:div w:id="1922911137">
      <w:bodyDiv w:val="1"/>
      <w:marLeft w:val="0"/>
      <w:marRight w:val="0"/>
      <w:marTop w:val="0"/>
      <w:marBottom w:val="0"/>
      <w:divBdr>
        <w:top w:val="none" w:sz="0" w:space="0" w:color="auto"/>
        <w:left w:val="none" w:sz="0" w:space="0" w:color="auto"/>
        <w:bottom w:val="none" w:sz="0" w:space="0" w:color="auto"/>
        <w:right w:val="none" w:sz="0" w:space="0" w:color="auto"/>
      </w:divBdr>
    </w:div>
    <w:div w:id="20126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distaxinitiativ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657CEA85C4541823D9962C3AF69E2" ma:contentTypeVersion="12" ma:contentTypeDescription="Create a new document." ma:contentTypeScope="" ma:versionID="52bd029870ab5363ab84b6d8baceb9c0">
  <xsd:schema xmlns:xsd="http://www.w3.org/2001/XMLSchema" xmlns:xs="http://www.w3.org/2001/XMLSchema" xmlns:p="http://schemas.microsoft.com/office/2006/metadata/properties" targetNamespace="http://schemas.microsoft.com/office/2006/metadata/properties" ma:root="true" ma:fieldsID="1aea58bdcedfb696ee0ffdc7798eca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8DF90-66F3-48EB-B01E-5E7DA143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C8EAA8-F559-4924-AFE2-0B2307A3E3AF}">
  <ds:schemaRefs>
    <ds:schemaRef ds:uri="http://schemas.microsoft.com/sharepoint/v3/contenttype/forms"/>
  </ds:schemaRefs>
</ds:datastoreItem>
</file>

<file path=customXml/itemProps3.xml><?xml version="1.0" encoding="utf-8"?>
<ds:datastoreItem xmlns:ds="http://schemas.openxmlformats.org/officeDocument/2006/customXml" ds:itemID="{889DC002-3058-4817-BE13-B1864A63ADA7}">
  <ds:schemaRefs>
    <ds:schemaRef ds:uri="http://schemas.openxmlformats.org/officeDocument/2006/bibliography"/>
  </ds:schemaRefs>
</ds:datastoreItem>
</file>

<file path=customXml/itemProps4.xml><?xml version="1.0" encoding="utf-8"?>
<ds:datastoreItem xmlns:ds="http://schemas.openxmlformats.org/officeDocument/2006/customXml" ds:itemID="{27EEB55A-6CE9-49A9-B33C-05D110353D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11</Pages>
  <Words>6184</Words>
  <Characters>34078</Characters>
  <Application>Microsoft Office Word</Application>
  <DocSecurity>0</DocSecurity>
  <PresentationFormat>Microsoft Word 8.0b</PresentationFormat>
  <Lines>508</Lines>
  <Paragraphs>117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2023-07-08T15:51:00Z</cp:lastPrinted>
  <dcterms:created xsi:type="dcterms:W3CDTF">2023-11-08T09:35:00Z</dcterms:created>
  <dcterms:modified xsi:type="dcterms:W3CDTF">2023-11-08T09:35:00Z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0x01010024A657CEA85C4541823D9962C3AF69E2</vt:lpwstr>
  </property>
  <property fmtid="{D5CDD505-2E9C-101B-9397-08002B2CF9AE}" pid="14" name="MSIP_Label_6bd9ddd1-4d20-43f6-abfa-fc3c07406f94_Enabled">
    <vt:lpwstr>true</vt:lpwstr>
  </property>
  <property fmtid="{D5CDD505-2E9C-101B-9397-08002B2CF9AE}" pid="15" name="MSIP_Label_6bd9ddd1-4d20-43f6-abfa-fc3c07406f94_SetDate">
    <vt:lpwstr>2022-04-12T06:41:20Z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65f4b571-3977-4c87-aa2d-fe915b802872</vt:lpwstr>
  </property>
  <property fmtid="{D5CDD505-2E9C-101B-9397-08002B2CF9AE}" pid="20" name="MSIP_Label_6bd9ddd1-4d20-43f6-abfa-fc3c07406f94_ContentBits">
    <vt:lpwstr>0</vt:lpwstr>
  </property>
</Properties>
</file>