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1D3" w:rsidRPr="008A51D3" w:rsidRDefault="008A51D3" w:rsidP="008A51D3">
      <w:pPr>
        <w:spacing w:after="240"/>
        <w:jc w:val="center"/>
        <w:rPr>
          <w:rFonts w:eastAsia="Times New Roman"/>
          <w:szCs w:val="20"/>
          <w:lang w:val="fr-FR" w:eastAsia="en-GB"/>
        </w:rPr>
      </w:pPr>
      <w:bookmarkStart w:id="0" w:name="_GoBack"/>
      <w:bookmarkEnd w:id="0"/>
      <w:r w:rsidRPr="008A51D3">
        <w:rPr>
          <w:rFonts w:eastAsia="Times New Roman"/>
          <w:b/>
          <w:szCs w:val="20"/>
          <w:lang w:val="fr-FR" w:eastAsia="en-GB"/>
        </w:rPr>
        <w:t>PROCÉDURE LÉGISLATIVE ORDINAIRE – Première lecture</w:t>
      </w:r>
    </w:p>
    <w:p w:rsidR="008A51D3" w:rsidRPr="008A51D3" w:rsidRDefault="008A51D3" w:rsidP="008A51D3">
      <w:pPr>
        <w:spacing w:after="600"/>
        <w:jc w:val="center"/>
        <w:rPr>
          <w:rFonts w:eastAsia="Times New Roman"/>
          <w:b/>
          <w:bCs/>
          <w:szCs w:val="20"/>
          <w:lang w:val="fr-FR" w:eastAsia="en-GB"/>
        </w:rPr>
      </w:pPr>
      <w:bookmarkStart w:id="1" w:name="Ilcic"/>
      <w:r w:rsidRPr="008A51D3">
        <w:rPr>
          <w:rFonts w:eastAsia="Times New Roman"/>
          <w:b/>
          <w:szCs w:val="20"/>
          <w:lang w:val="fr-FR" w:eastAsia="en-GB"/>
        </w:rPr>
        <w:t>Suite donnée à la résolution législative du Parlement européen sur la proposition de règlement du Parlement européen et du Conseil concernant certaines dispositions relatives à la pêche dans la zone couverte par l’accord de la CGPM (Commission générale des pêches pour la Méditerranée) (refonte)</w:t>
      </w:r>
    </w:p>
    <w:bookmarkEnd w:id="1"/>
    <w:p w:rsidR="008A51D3" w:rsidRPr="008A51D3" w:rsidRDefault="008A51D3" w:rsidP="008A51D3">
      <w:pPr>
        <w:spacing w:after="240" w:line="240" w:lineRule="atLeast"/>
        <w:ind w:left="567" w:hanging="567"/>
        <w:jc w:val="left"/>
        <w:rPr>
          <w:rFonts w:eastAsia="Times New Roman"/>
          <w:szCs w:val="20"/>
          <w:lang w:val="fr-FR" w:eastAsia="en-GB"/>
        </w:rPr>
      </w:pPr>
      <w:r w:rsidRPr="008A51D3">
        <w:rPr>
          <w:rFonts w:eastAsia="Times New Roman"/>
          <w:b/>
          <w:szCs w:val="20"/>
          <w:lang w:val="fr-FR" w:eastAsia="en-GB"/>
        </w:rPr>
        <w:t>1.</w:t>
      </w:r>
      <w:r w:rsidRPr="008A51D3">
        <w:rPr>
          <w:rFonts w:eastAsia="Times New Roman"/>
          <w:szCs w:val="20"/>
          <w:lang w:val="fr-FR" w:eastAsia="en-GB"/>
        </w:rPr>
        <w:tab/>
      </w:r>
      <w:r w:rsidRPr="008A51D3">
        <w:rPr>
          <w:rFonts w:eastAsia="Times New Roman"/>
          <w:b/>
          <w:szCs w:val="20"/>
          <w:lang w:val="fr-FR" w:eastAsia="en-GB"/>
        </w:rPr>
        <w:t>Rapporteur(e)(s):</w:t>
      </w:r>
      <w:r w:rsidRPr="008A51D3">
        <w:rPr>
          <w:rFonts w:eastAsia="Times New Roman"/>
          <w:szCs w:val="20"/>
          <w:lang w:val="fr-FR" w:eastAsia="en-GB"/>
        </w:rPr>
        <w:t xml:space="preserve"> Ladislav ILČIĆ (ECR / HR)</w:t>
      </w:r>
    </w:p>
    <w:p w:rsidR="008A51D3" w:rsidRPr="008A51D3" w:rsidRDefault="008A51D3" w:rsidP="008A51D3">
      <w:pPr>
        <w:spacing w:after="240" w:line="240" w:lineRule="atLeast"/>
        <w:ind w:left="567" w:hanging="567"/>
        <w:rPr>
          <w:rFonts w:eastAsia="Times New Roman"/>
          <w:szCs w:val="20"/>
          <w:lang w:val="fr-FR" w:eastAsia="en-GB"/>
        </w:rPr>
      </w:pPr>
      <w:r w:rsidRPr="008A51D3">
        <w:rPr>
          <w:rFonts w:eastAsia="Times New Roman"/>
          <w:b/>
          <w:szCs w:val="20"/>
          <w:lang w:val="fr-FR" w:eastAsia="en-GB"/>
        </w:rPr>
        <w:t>2.</w:t>
      </w:r>
      <w:r w:rsidRPr="008A51D3">
        <w:rPr>
          <w:rFonts w:eastAsia="Times New Roman"/>
          <w:szCs w:val="20"/>
          <w:lang w:val="fr-FR" w:eastAsia="en-GB"/>
        </w:rPr>
        <w:tab/>
      </w:r>
      <w:r w:rsidRPr="008A51D3">
        <w:rPr>
          <w:rFonts w:eastAsia="Times New Roman"/>
          <w:b/>
          <w:szCs w:val="20"/>
          <w:lang w:val="fr-FR" w:eastAsia="en-GB"/>
        </w:rPr>
        <w:t>Numéros de référence:</w:t>
      </w:r>
      <w:r w:rsidRPr="008A51D3">
        <w:rPr>
          <w:rFonts w:eastAsia="Times New Roman"/>
          <w:szCs w:val="20"/>
          <w:lang w:val="fr-FR" w:eastAsia="en-GB"/>
        </w:rPr>
        <w:t xml:space="preserve"> 2021/0248 (COD) / A9-0136/2022 / P9_TA(2023)0274</w:t>
      </w:r>
    </w:p>
    <w:p w:rsidR="008A51D3" w:rsidRPr="008A51D3" w:rsidRDefault="008A51D3" w:rsidP="008A51D3">
      <w:pPr>
        <w:spacing w:after="240" w:line="240" w:lineRule="atLeast"/>
        <w:ind w:left="567" w:hanging="567"/>
        <w:jc w:val="left"/>
        <w:rPr>
          <w:rFonts w:eastAsia="Times New Roman"/>
          <w:szCs w:val="20"/>
          <w:lang w:val="fr-FR" w:eastAsia="en-GB"/>
        </w:rPr>
      </w:pPr>
      <w:r w:rsidRPr="008A51D3">
        <w:rPr>
          <w:rFonts w:eastAsia="Times New Roman"/>
          <w:b/>
          <w:szCs w:val="20"/>
          <w:lang w:val="fr-FR" w:eastAsia="en-GB"/>
        </w:rPr>
        <w:t>3.</w:t>
      </w:r>
      <w:r w:rsidRPr="008A51D3">
        <w:rPr>
          <w:rFonts w:eastAsia="Times New Roman"/>
          <w:szCs w:val="20"/>
          <w:lang w:val="fr-FR" w:eastAsia="en-GB"/>
        </w:rPr>
        <w:tab/>
      </w:r>
      <w:r w:rsidRPr="008A51D3">
        <w:rPr>
          <w:rFonts w:eastAsia="Times New Roman"/>
          <w:b/>
          <w:szCs w:val="20"/>
          <w:lang w:val="fr-FR" w:eastAsia="en-GB"/>
        </w:rPr>
        <w:t xml:space="preserve">Date d’adoption de la résolution: </w:t>
      </w:r>
      <w:r w:rsidRPr="008A51D3">
        <w:rPr>
          <w:rFonts w:eastAsia="Times New Roman"/>
          <w:szCs w:val="20"/>
          <w:lang w:val="fr-FR" w:eastAsia="en-GB"/>
        </w:rPr>
        <w:t>12 juillet 2023</w:t>
      </w:r>
    </w:p>
    <w:p w:rsidR="008A51D3" w:rsidRPr="008A51D3" w:rsidRDefault="008A51D3" w:rsidP="008A51D3">
      <w:pPr>
        <w:spacing w:after="240" w:line="240" w:lineRule="atLeast"/>
        <w:ind w:left="567" w:hanging="567"/>
        <w:rPr>
          <w:rFonts w:eastAsia="Times New Roman"/>
          <w:szCs w:val="20"/>
          <w:lang w:val="fr-FR" w:eastAsia="en-GB"/>
        </w:rPr>
      </w:pPr>
      <w:r w:rsidRPr="008A51D3">
        <w:rPr>
          <w:rFonts w:eastAsia="Times New Roman"/>
          <w:b/>
          <w:szCs w:val="20"/>
          <w:lang w:val="fr-FR" w:eastAsia="en-GB"/>
        </w:rPr>
        <w:t>4.</w:t>
      </w:r>
      <w:r w:rsidRPr="008A51D3">
        <w:rPr>
          <w:rFonts w:eastAsia="Times New Roman"/>
          <w:szCs w:val="20"/>
          <w:lang w:val="fr-FR" w:eastAsia="en-GB"/>
        </w:rPr>
        <w:tab/>
      </w:r>
      <w:r w:rsidRPr="008A51D3">
        <w:rPr>
          <w:rFonts w:eastAsia="Times New Roman"/>
          <w:b/>
          <w:szCs w:val="20"/>
          <w:lang w:val="fr-FR" w:eastAsia="en-GB"/>
        </w:rPr>
        <w:t xml:space="preserve">Base juridique: </w:t>
      </w:r>
      <w:r w:rsidRPr="008A51D3">
        <w:rPr>
          <w:rFonts w:eastAsia="Times New Roman"/>
          <w:szCs w:val="20"/>
          <w:lang w:val="fr-FR" w:eastAsia="en-GB"/>
        </w:rPr>
        <w:t>article 43, paragraphe 2, du traité sur le fonctionnement de l’Union européenne</w:t>
      </w:r>
    </w:p>
    <w:p w:rsidR="008A51D3" w:rsidRPr="008A51D3" w:rsidRDefault="008A51D3" w:rsidP="008A51D3">
      <w:pPr>
        <w:spacing w:after="240" w:line="240" w:lineRule="atLeast"/>
        <w:ind w:left="567" w:hanging="567"/>
        <w:rPr>
          <w:rFonts w:eastAsia="Times New Roman"/>
          <w:i/>
          <w:szCs w:val="20"/>
          <w:lang w:val="fr-FR" w:eastAsia="en-GB"/>
        </w:rPr>
      </w:pPr>
      <w:r w:rsidRPr="008A51D3">
        <w:rPr>
          <w:rFonts w:eastAsia="Times New Roman"/>
          <w:b/>
          <w:szCs w:val="20"/>
          <w:lang w:val="fr-FR" w:eastAsia="en-GB"/>
        </w:rPr>
        <w:t>5.</w:t>
      </w:r>
      <w:r w:rsidRPr="008A51D3">
        <w:rPr>
          <w:rFonts w:eastAsia="Times New Roman"/>
          <w:szCs w:val="20"/>
          <w:lang w:val="fr-FR" w:eastAsia="en-GB"/>
        </w:rPr>
        <w:tab/>
      </w:r>
      <w:r w:rsidRPr="008A51D3">
        <w:rPr>
          <w:rFonts w:eastAsia="Times New Roman"/>
          <w:b/>
          <w:szCs w:val="20"/>
          <w:lang w:val="fr-FR" w:eastAsia="en-GB"/>
        </w:rPr>
        <w:t xml:space="preserve">Commission parlementaire compétente: </w:t>
      </w:r>
      <w:r w:rsidRPr="008A51D3">
        <w:rPr>
          <w:rFonts w:eastAsia="Times New Roman"/>
          <w:szCs w:val="20"/>
          <w:lang w:val="fr-FR" w:eastAsia="en-GB"/>
        </w:rPr>
        <w:t>commission de la pêche (PECH)</w:t>
      </w:r>
    </w:p>
    <w:p w:rsidR="008A51D3" w:rsidRPr="008A51D3" w:rsidRDefault="008A51D3" w:rsidP="008A51D3">
      <w:pPr>
        <w:tabs>
          <w:tab w:val="left" w:pos="567"/>
        </w:tabs>
        <w:spacing w:after="200" w:line="276" w:lineRule="auto"/>
        <w:jc w:val="left"/>
        <w:rPr>
          <w:rFonts w:eastAsia="Times New Roman"/>
          <w:color w:val="000000"/>
          <w:lang w:val="fr-FR" w:eastAsia="en-GB"/>
        </w:rPr>
      </w:pPr>
      <w:r w:rsidRPr="008A51D3">
        <w:rPr>
          <w:rFonts w:eastAsia="Times New Roman"/>
          <w:b/>
          <w:szCs w:val="20"/>
          <w:lang w:val="fr-FR" w:eastAsia="en-GB"/>
        </w:rPr>
        <w:t>6.</w:t>
      </w:r>
      <w:r w:rsidRPr="008A51D3">
        <w:rPr>
          <w:rFonts w:eastAsia="Times New Roman"/>
          <w:szCs w:val="20"/>
          <w:lang w:val="fr-FR" w:eastAsia="en-GB"/>
        </w:rPr>
        <w:tab/>
      </w:r>
      <w:r w:rsidRPr="008A51D3">
        <w:rPr>
          <w:rFonts w:eastAsia="Times New Roman"/>
          <w:b/>
          <w:szCs w:val="20"/>
          <w:lang w:val="fr-FR" w:eastAsia="en-GB"/>
        </w:rPr>
        <w:t>Position de la Commission:</w:t>
      </w:r>
      <w:r w:rsidRPr="008A51D3">
        <w:rPr>
          <w:rFonts w:eastAsia="Times New Roman"/>
          <w:color w:val="000000"/>
          <w:sz w:val="22"/>
          <w:szCs w:val="20"/>
          <w:lang w:val="fr-FR" w:eastAsia="en-GB"/>
        </w:rPr>
        <w:t xml:space="preserve"> </w:t>
      </w:r>
      <w:r w:rsidRPr="008A51D3">
        <w:rPr>
          <w:rFonts w:eastAsia="Times New Roman"/>
          <w:color w:val="000000"/>
          <w:szCs w:val="20"/>
          <w:lang w:val="fr-FR" w:eastAsia="en-GB"/>
        </w:rPr>
        <w:t>la Commission accepte tous les amendements.</w:t>
      </w:r>
    </w:p>
    <w:p w:rsidR="008765BE" w:rsidRDefault="008A51D3" w:rsidP="008A51D3">
      <w:r w:rsidRPr="008A51D3">
        <w:rPr>
          <w:rFonts w:eastAsia="Times New Roman"/>
          <w:color w:val="000000"/>
          <w:szCs w:val="20"/>
          <w:lang w:val="fr-FR" w:eastAsia="en-GB"/>
        </w:rPr>
        <w:t xml:space="preserve">Déclaration présentée par la Commission: </w:t>
      </w:r>
      <w:r w:rsidRPr="008A51D3">
        <w:rPr>
          <w:rFonts w:eastAsia="Times New Roman"/>
          <w:szCs w:val="20"/>
          <w:lang w:val="fr-FR" w:eastAsia="en-GB"/>
        </w:rPr>
        <w:t>«La Commission élabore actuellement une proposition visant à mettre en œuvre les recommandations de la Commission générale des pêches pour la Méditerranée (CGPM) découlant des sessions annuelles de la CGPM de 2021 et 2022, en vue de présenter cette proposition au Parlement européen et au Conseil en temps utile.»</w:t>
      </w:r>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D3"/>
    <w:rsid w:val="005762E3"/>
    <w:rsid w:val="008765BE"/>
    <w:rsid w:val="008A5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F76BC-300B-4B28-968A-6035252E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952</Characters>
  <Application>Microsoft Office Word</Application>
  <DocSecurity>0</DocSecurity>
  <Lines>7</Lines>
  <Paragraphs>2</Paragraphs>
  <ScaleCrop>false</ScaleCrop>
  <Company>European Parliament</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2023-10-30T15:41:00Z</dcterms:created>
  <dcterms:modified xsi:type="dcterms:W3CDTF">2023-10-30T15:41:00Z</dcterms:modified>
</cp:coreProperties>
</file>