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42" w:rsidRPr="00AB6D42" w:rsidRDefault="00AB6D42" w:rsidP="00AB6D42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AB6D42">
        <w:rPr>
          <w:rFonts w:eastAsia="Times New Roman"/>
          <w:b/>
          <w:szCs w:val="20"/>
          <w:lang w:val="fr-FR" w:eastAsia="en-GB"/>
        </w:rPr>
        <w:t>PROCÉDURE LÉGISLATIVE ORDINAIRE – Première lecture</w:t>
      </w:r>
    </w:p>
    <w:p w:rsidR="00AB6D42" w:rsidRPr="00AB6D42" w:rsidRDefault="00AB6D42" w:rsidP="00AB6D42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1" w:name="Jaki1"/>
      <w:r w:rsidRPr="00AB6D42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la décision 2005/671/JAI du Conseil en ce qui concerne sa mise en conformité avec les règles de l’Union relatives à la protection des données à caractère personnel</w:t>
      </w:r>
      <w:bookmarkEnd w:id="1"/>
    </w:p>
    <w:p w:rsidR="00AB6D42" w:rsidRPr="00AB6D42" w:rsidRDefault="00AB6D42" w:rsidP="00AB6D4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AB6D42">
        <w:rPr>
          <w:rFonts w:eastAsia="Times New Roman"/>
          <w:b/>
          <w:szCs w:val="20"/>
          <w:lang w:val="fr-FR" w:eastAsia="en-GB"/>
        </w:rPr>
        <w:t>1.</w:t>
      </w:r>
      <w:r w:rsidRPr="00AB6D42">
        <w:rPr>
          <w:rFonts w:eastAsia="Times New Roman"/>
          <w:szCs w:val="20"/>
          <w:lang w:val="fr-FR" w:eastAsia="en-GB"/>
        </w:rPr>
        <w:tab/>
      </w:r>
      <w:r w:rsidRPr="00AB6D42">
        <w:rPr>
          <w:rFonts w:eastAsia="Times New Roman"/>
          <w:b/>
          <w:szCs w:val="20"/>
          <w:lang w:val="fr-FR" w:eastAsia="en-GB"/>
        </w:rPr>
        <w:t>Rapporteur(e)(s):</w:t>
      </w:r>
      <w:r w:rsidRPr="00AB6D42">
        <w:rPr>
          <w:rFonts w:eastAsia="Times New Roman"/>
          <w:szCs w:val="20"/>
          <w:lang w:val="fr-FR" w:eastAsia="en-GB"/>
        </w:rPr>
        <w:t xml:space="preserve"> Patryk JAKI (ECR / PL)</w:t>
      </w:r>
    </w:p>
    <w:p w:rsidR="00AB6D42" w:rsidRPr="00AB6D42" w:rsidRDefault="00AB6D42" w:rsidP="00AB6D4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AB6D42">
        <w:rPr>
          <w:rFonts w:eastAsia="Times New Roman"/>
          <w:b/>
          <w:szCs w:val="20"/>
          <w:lang w:val="fr-FR" w:eastAsia="en-GB"/>
        </w:rPr>
        <w:t>2.</w:t>
      </w:r>
      <w:r w:rsidRPr="00AB6D42">
        <w:rPr>
          <w:rFonts w:eastAsia="Times New Roman"/>
          <w:szCs w:val="20"/>
          <w:lang w:val="fr-FR" w:eastAsia="en-GB"/>
        </w:rPr>
        <w:tab/>
      </w:r>
      <w:r w:rsidRPr="00AB6D42">
        <w:rPr>
          <w:rFonts w:eastAsia="Times New Roman"/>
          <w:b/>
          <w:szCs w:val="20"/>
          <w:lang w:val="fr-FR" w:eastAsia="en-GB"/>
        </w:rPr>
        <w:t>Numéros de référence:</w:t>
      </w:r>
      <w:r w:rsidRPr="00AB6D42">
        <w:rPr>
          <w:rFonts w:eastAsia="Times New Roman"/>
          <w:szCs w:val="20"/>
          <w:lang w:val="fr-FR" w:eastAsia="en-GB"/>
        </w:rPr>
        <w:t xml:space="preserve"> 2021/0399 (COD) / A9-0041/2023 / P9_TA(2023)0276</w:t>
      </w:r>
    </w:p>
    <w:p w:rsidR="00AB6D42" w:rsidRPr="00AB6D42" w:rsidRDefault="00AB6D42" w:rsidP="00AB6D4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AB6D42">
        <w:rPr>
          <w:rFonts w:eastAsia="Times New Roman"/>
          <w:b/>
          <w:szCs w:val="20"/>
          <w:lang w:val="fr-FR" w:eastAsia="en-GB"/>
        </w:rPr>
        <w:t>3.</w:t>
      </w:r>
      <w:r w:rsidRPr="00AB6D42">
        <w:rPr>
          <w:rFonts w:eastAsia="Times New Roman"/>
          <w:szCs w:val="20"/>
          <w:lang w:val="fr-FR" w:eastAsia="en-GB"/>
        </w:rPr>
        <w:tab/>
      </w:r>
      <w:r w:rsidRPr="00AB6D42">
        <w:rPr>
          <w:rFonts w:eastAsia="Times New Roman"/>
          <w:b/>
          <w:szCs w:val="20"/>
          <w:lang w:val="fr-FR" w:eastAsia="en-GB"/>
        </w:rPr>
        <w:t xml:space="preserve">Date d’adoption de la résolution: </w:t>
      </w:r>
      <w:r w:rsidRPr="00AB6D42">
        <w:rPr>
          <w:rFonts w:eastAsia="Times New Roman"/>
          <w:szCs w:val="20"/>
          <w:lang w:val="fr-FR" w:eastAsia="en-GB"/>
        </w:rPr>
        <w:t>12 juillet 2023</w:t>
      </w:r>
    </w:p>
    <w:p w:rsidR="00AB6D42" w:rsidRPr="00AB6D42" w:rsidRDefault="00AB6D42" w:rsidP="00AB6D4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AB6D42">
        <w:rPr>
          <w:rFonts w:eastAsia="Times New Roman"/>
          <w:b/>
          <w:szCs w:val="20"/>
          <w:lang w:val="fr-FR" w:eastAsia="en-GB"/>
        </w:rPr>
        <w:t>4.</w:t>
      </w:r>
      <w:r w:rsidRPr="00AB6D42">
        <w:rPr>
          <w:rFonts w:eastAsia="Times New Roman"/>
          <w:szCs w:val="20"/>
          <w:lang w:val="fr-FR" w:eastAsia="en-GB"/>
        </w:rPr>
        <w:tab/>
      </w:r>
      <w:r w:rsidRPr="00AB6D42">
        <w:rPr>
          <w:rFonts w:eastAsia="Times New Roman"/>
          <w:b/>
          <w:szCs w:val="20"/>
          <w:lang w:val="fr-FR" w:eastAsia="en-GB"/>
        </w:rPr>
        <w:t xml:space="preserve">Base juridique: </w:t>
      </w:r>
      <w:r w:rsidRPr="00AB6D42">
        <w:rPr>
          <w:rFonts w:eastAsia="Times New Roman"/>
          <w:szCs w:val="20"/>
          <w:lang w:val="fr-FR" w:eastAsia="en-GB"/>
        </w:rPr>
        <w:t>article 16, paragraphe 2, du traité sur le fonctionnement de l’Union européenne</w:t>
      </w:r>
    </w:p>
    <w:p w:rsidR="00AB6D42" w:rsidRPr="00AB6D42" w:rsidRDefault="00AB6D42" w:rsidP="00AB6D42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AB6D42">
        <w:rPr>
          <w:rFonts w:eastAsia="Times New Roman"/>
          <w:b/>
          <w:szCs w:val="20"/>
          <w:lang w:val="fr-FR" w:eastAsia="en-GB"/>
        </w:rPr>
        <w:t>5.</w:t>
      </w:r>
      <w:r w:rsidRPr="00AB6D42">
        <w:rPr>
          <w:rFonts w:eastAsia="Times New Roman"/>
          <w:szCs w:val="20"/>
          <w:lang w:val="fr-FR" w:eastAsia="en-GB"/>
        </w:rPr>
        <w:tab/>
      </w:r>
      <w:r w:rsidRPr="00AB6D42">
        <w:rPr>
          <w:rFonts w:eastAsia="Times New Roman"/>
          <w:b/>
          <w:szCs w:val="20"/>
          <w:lang w:val="fr-FR" w:eastAsia="en-GB"/>
        </w:rPr>
        <w:t xml:space="preserve">Commission parlementaire compétente: </w:t>
      </w:r>
      <w:r w:rsidRPr="00AB6D42">
        <w:rPr>
          <w:rFonts w:eastAsia="Times New Roman"/>
          <w:szCs w:val="20"/>
          <w:lang w:val="fr-FR" w:eastAsia="en-GB"/>
        </w:rPr>
        <w:t>commission des libertés civiles, de la justice et des affaires intérieures (LIBE)</w:t>
      </w:r>
    </w:p>
    <w:p w:rsidR="008765BE" w:rsidRDefault="00AB6D42" w:rsidP="00AB6D42">
      <w:r w:rsidRPr="00AB6D42">
        <w:rPr>
          <w:rFonts w:eastAsia="Times New Roman"/>
          <w:b/>
          <w:szCs w:val="20"/>
          <w:lang w:val="fr-FR" w:eastAsia="en-GB"/>
        </w:rPr>
        <w:t>6.</w:t>
      </w:r>
      <w:r w:rsidRPr="00AB6D42">
        <w:rPr>
          <w:rFonts w:eastAsia="Times New Roman"/>
          <w:szCs w:val="20"/>
          <w:lang w:val="fr-FR" w:eastAsia="en-GB"/>
        </w:rPr>
        <w:tab/>
      </w:r>
      <w:r w:rsidRPr="00AB6D42">
        <w:rPr>
          <w:rFonts w:eastAsia="Times New Roman"/>
          <w:b/>
          <w:szCs w:val="20"/>
          <w:lang w:val="fr-FR" w:eastAsia="en-GB"/>
        </w:rPr>
        <w:t>Position de la Commission:</w:t>
      </w:r>
      <w:r w:rsidRPr="00AB6D42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AB6D42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42"/>
    <w:rsid w:val="005762E3"/>
    <w:rsid w:val="008765BE"/>
    <w:rsid w:val="00A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8C3D-FAB9-452B-8276-927EF8C0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2023-10-30T15:41:00Z</dcterms:created>
  <dcterms:modified xsi:type="dcterms:W3CDTF">2023-10-30T15:41:00Z</dcterms:modified>
</cp:coreProperties>
</file>