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48D2" w14:textId="54958393" w:rsidR="00713D21" w:rsidRPr="00713D21" w:rsidRDefault="00963420" w:rsidP="00F316F4">
      <w:pPr>
        <w:spacing w:after="600"/>
        <w:jc w:val="center"/>
        <w:rPr>
          <w:rFonts w:ascii="Times New Roman" w:hAnsi="Times New Roman"/>
          <w:b/>
          <w:bCs/>
          <w:szCs w:val="24"/>
        </w:rPr>
      </w:pPr>
      <w:r>
        <w:rPr>
          <w:rFonts w:ascii="Times New Roman" w:hAnsi="Times New Roman"/>
          <w:b/>
        </w:rPr>
        <w:t xml:space="preserve">Suite donnée à la résolution non législative du Parlement européen intitulée </w:t>
      </w:r>
      <w:bookmarkStart w:id="0" w:name="title"/>
      <w:r>
        <w:rPr>
          <w:rFonts w:ascii="Times New Roman" w:hAnsi="Times New Roman"/>
          <w:b/>
        </w:rPr>
        <w:t>«Promouvoir et adapter la formation professionnelle en tant qu’outil pour la réussite des travailleurs et élément constitutif de l’économie de l’Union dans la nouvelle industrie 4.0»</w:t>
      </w:r>
      <w:bookmarkEnd w:id="0"/>
    </w:p>
    <w:p w14:paraId="3B72F7D6" w14:textId="5092F127" w:rsidR="00963420" w:rsidRPr="00F316F4" w:rsidRDefault="00963420" w:rsidP="00F316F4">
      <w:pPr>
        <w:numPr>
          <w:ilvl w:val="0"/>
          <w:numId w:val="34"/>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Anna ZALEWSKA (ECR/PL)</w:t>
      </w:r>
    </w:p>
    <w:p w14:paraId="449AAD2D" w14:textId="00A292FF" w:rsidR="00963420" w:rsidRPr="00A0010B" w:rsidRDefault="00063DCE" w:rsidP="00F316F4">
      <w:pPr>
        <w:pStyle w:val="Default"/>
        <w:numPr>
          <w:ilvl w:val="0"/>
          <w:numId w:val="34"/>
        </w:numPr>
        <w:spacing w:after="240"/>
        <w:ind w:left="567" w:hanging="567"/>
        <w:jc w:val="both"/>
        <w:rPr>
          <w:color w:val="auto"/>
        </w:rPr>
      </w:pPr>
      <w:r>
        <w:rPr>
          <w:b/>
          <w:color w:val="auto"/>
        </w:rPr>
        <w:t>Numéro de référence:</w:t>
      </w:r>
      <w:r>
        <w:rPr>
          <w:color w:val="auto"/>
        </w:rPr>
        <w:t xml:space="preserve"> 2022/2207 (INI) / A9-0232/2023 / P9_TA-(2023)0271</w:t>
      </w:r>
    </w:p>
    <w:p w14:paraId="7CF2686B" w14:textId="7C40ACC9" w:rsidR="001F0B89" w:rsidRDefault="00963420" w:rsidP="00F316F4">
      <w:pPr>
        <w:numPr>
          <w:ilvl w:val="0"/>
          <w:numId w:val="34"/>
        </w:numPr>
        <w:ind w:left="567" w:hanging="567"/>
        <w:rPr>
          <w:rFonts w:ascii="Times New Roman" w:hAnsi="Times New Roman"/>
          <w:szCs w:val="24"/>
        </w:rPr>
      </w:pPr>
      <w:r>
        <w:rPr>
          <w:rFonts w:ascii="Times New Roman" w:hAnsi="Times New Roman"/>
          <w:b/>
        </w:rPr>
        <w:t>Date d’adoption de la résolution</w:t>
      </w:r>
      <w:r w:rsidR="00AA2105">
        <w:rPr>
          <w:rFonts w:ascii="Times New Roman" w:hAnsi="Times New Roman"/>
          <w:b/>
        </w:rPr>
        <w:t>:</w:t>
      </w:r>
      <w:r>
        <w:rPr>
          <w:rFonts w:ascii="Times New Roman" w:hAnsi="Times New Roman"/>
        </w:rPr>
        <w:t xml:space="preserve"> 11 juillet 2023</w:t>
      </w:r>
    </w:p>
    <w:p w14:paraId="7A9CBF3D" w14:textId="583184F8" w:rsidR="00963420" w:rsidRPr="00A0010B" w:rsidRDefault="00963420" w:rsidP="00F316F4">
      <w:pPr>
        <w:numPr>
          <w:ilvl w:val="0"/>
          <w:numId w:val="34"/>
        </w:numPr>
        <w:ind w:left="567" w:hanging="567"/>
        <w:rPr>
          <w:rFonts w:ascii="Times New Roman" w:hAnsi="Times New Roman"/>
          <w:i/>
          <w:szCs w:val="24"/>
        </w:rPr>
      </w:pPr>
      <w:r>
        <w:rPr>
          <w:rFonts w:ascii="Times New Roman" w:hAnsi="Times New Roman"/>
          <w:b/>
        </w:rPr>
        <w:t>Commission parlementaire compétente</w:t>
      </w:r>
      <w:r w:rsidR="00AA2105">
        <w:rPr>
          <w:rFonts w:ascii="Times New Roman" w:hAnsi="Times New Roman"/>
          <w:b/>
        </w:rPr>
        <w:t>:</w:t>
      </w:r>
      <w:r>
        <w:rPr>
          <w:rFonts w:ascii="Times New Roman" w:hAnsi="Times New Roman"/>
        </w:rPr>
        <w:t xml:space="preserve"> commission de l’emploi et des affaires sociales (EMPL)</w:t>
      </w:r>
    </w:p>
    <w:p w14:paraId="32134C60" w14:textId="77777777" w:rsidR="00D97A1B" w:rsidRDefault="00963420" w:rsidP="00F316F4">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34043195" w14:textId="742CBDE3" w:rsidR="00D97A1B" w:rsidRPr="00D97A1B" w:rsidRDefault="00D97A1B" w:rsidP="00F316F4">
      <w:pPr>
        <w:widowControl w:val="0"/>
        <w:spacing w:after="120"/>
        <w:rPr>
          <w:rFonts w:ascii="Times New Roman" w:hAnsi="Times New Roman"/>
          <w:bCs/>
          <w:szCs w:val="24"/>
        </w:rPr>
      </w:pPr>
      <w:r>
        <w:rPr>
          <w:rFonts w:ascii="Times New Roman" w:hAnsi="Times New Roman"/>
        </w:rPr>
        <w:t>Cette résolution souligne l’importance de l’apprentissage tout au long de la vie et de l’enseignement et de la formation professionnels (EFP) pour le développement des individus et la promotion d’une croissance durable dans l’UE. Elle demande la mise en place d’un espace européen de l’enseignement et de la formation professionnels et préconise l’accès à la formation professionnelle pendant les heures de travail.</w:t>
      </w:r>
    </w:p>
    <w:p w14:paraId="2CE57BDD" w14:textId="39A88891" w:rsidR="00D97A1B" w:rsidRPr="00D97A1B" w:rsidRDefault="00D97A1B" w:rsidP="00F316F4">
      <w:pPr>
        <w:widowControl w:val="0"/>
        <w:spacing w:after="120"/>
        <w:rPr>
          <w:rFonts w:ascii="Times New Roman" w:hAnsi="Times New Roman"/>
          <w:bCs/>
          <w:szCs w:val="24"/>
        </w:rPr>
      </w:pPr>
      <w:r>
        <w:rPr>
          <w:rFonts w:ascii="Times New Roman" w:hAnsi="Times New Roman"/>
        </w:rPr>
        <w:t>Le texte souligne la nécessité d’une double transition juste des lieux de travail et souligne l’importance du développement des compétences transversales ainsi que le rôle des partenaires sociaux dans l’EFP. Il met en évidence diverses problématiques, tels que les stages non rémunérés, les disparités entre les hommes et les femmes dans les domaines des sciences, des technologies, de l’ingénierie et des mathématiques (STIM) et de l’EFP, ainsi que les obstacles au niveau des entreprises qui entravent la participation à la formation. La résolution appelle également à promouvoir des possibilités d’EFP inclusives pour les groupes vulnérables, à mettre en place des stratégies de lutte contre la pauvreté et les inégalités et à soutenir les migrants et les réfugiés en ce qui concerne le perfectionnement et la reconversion professionnels.</w:t>
      </w:r>
    </w:p>
    <w:p w14:paraId="3CD3BC58" w14:textId="434E1C24" w:rsidR="00D97A1B" w:rsidRPr="00D97A1B" w:rsidRDefault="00D97A1B" w:rsidP="00F316F4">
      <w:pPr>
        <w:widowControl w:val="0"/>
        <w:spacing w:after="120"/>
        <w:rPr>
          <w:rFonts w:ascii="Times New Roman" w:hAnsi="Times New Roman"/>
          <w:bCs/>
          <w:szCs w:val="24"/>
        </w:rPr>
      </w:pPr>
      <w:r>
        <w:rPr>
          <w:rFonts w:ascii="Times New Roman" w:hAnsi="Times New Roman"/>
        </w:rPr>
        <w:t>Elle souligne aussi l’importance d’investir de manière continue dans les infrastructures d’EFP et la formation des enseignants, ainsi que dans la formation par le travail. Le texte encourage le développement de systèmes d’EFP en alternance et la participation des petites et moyennes entreprises (PME) et des organisations à but non lucratif à la fourniture de possibilités d’apprentissage et de formation.</w:t>
      </w:r>
    </w:p>
    <w:p w14:paraId="26F0CFAB" w14:textId="2D8997F4" w:rsidR="00D97A1B" w:rsidRPr="00D97A1B" w:rsidRDefault="00D97A1B" w:rsidP="00F316F4">
      <w:pPr>
        <w:widowControl w:val="0"/>
        <w:spacing w:after="120"/>
        <w:rPr>
          <w:rFonts w:ascii="Times New Roman" w:hAnsi="Times New Roman"/>
          <w:bCs/>
          <w:szCs w:val="24"/>
        </w:rPr>
      </w:pPr>
      <w:r>
        <w:rPr>
          <w:rFonts w:ascii="Times New Roman" w:hAnsi="Times New Roman"/>
        </w:rPr>
        <w:t>Par ailleurs, la résolution souligne le rôle des enseignants et des formateurs dans l’EFP, la nécessité d’une nouvelle culture de l’apprentissage et les avantages de la mobilité internationale dans l’EFP. Elle reconnaît les difficultés et les perspectives que présentent les évolutions technologiques, en particulier dans les domaines de l’intelligence artificielle et de la réalité virtuelle, et appelle à une coopération entre les établissements d’enseignement et les employeurs afin de renforcer les compétences numériques.</w:t>
      </w:r>
    </w:p>
    <w:p w14:paraId="380929C3" w14:textId="3675B870" w:rsidR="00963420" w:rsidRDefault="00963420" w:rsidP="00F316F4">
      <w:pPr>
        <w:widowControl w:val="0"/>
        <w:numPr>
          <w:ilvl w:val="0"/>
          <w:numId w:val="34"/>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635BA3B6" w14:textId="4ADBFA7E" w:rsidR="00D35C32" w:rsidRDefault="00D35C32" w:rsidP="00F316F4">
      <w:pPr>
        <w:widowControl w:val="0"/>
        <w:spacing w:after="120"/>
        <w:rPr>
          <w:rFonts w:ascii="Times New Roman" w:hAnsi="Times New Roman"/>
          <w:b/>
          <w:szCs w:val="24"/>
        </w:rPr>
      </w:pPr>
      <w:r>
        <w:rPr>
          <w:rFonts w:ascii="Times New Roman" w:hAnsi="Times New Roman"/>
          <w:b/>
        </w:rPr>
        <w:t xml:space="preserve">Paragraphe 1 </w:t>
      </w:r>
    </w:p>
    <w:p w14:paraId="055C0B68" w14:textId="3483A64E" w:rsidR="008759DF" w:rsidRDefault="00D35C32" w:rsidP="00F316F4">
      <w:pPr>
        <w:widowControl w:val="0"/>
        <w:spacing w:after="120"/>
        <w:rPr>
          <w:rFonts w:ascii="Times New Roman" w:hAnsi="Times New Roman"/>
          <w:bCs/>
          <w:szCs w:val="24"/>
        </w:rPr>
      </w:pPr>
      <w:r>
        <w:rPr>
          <w:rFonts w:ascii="Times New Roman" w:hAnsi="Times New Roman"/>
        </w:rPr>
        <w:t xml:space="preserve">La politique dans le domaine de l’EFP au niveau de l’UE est élaborée dans le cadre du processus de Copenhague lancé en novembre 2002. L’objectif de ce processus est de promouvoir la coopération entre les États membres afin d’améliorer l’offre d’EFP en Europe. En conséquence, le cadre stratégique de l’UE en matière d’EFP a été développé davantage au moyen de plusieurs déclarations ministérielles/communiqués, en dernier lieu </w:t>
      </w:r>
      <w:r>
        <w:rPr>
          <w:rFonts w:ascii="Times New Roman" w:hAnsi="Times New Roman"/>
        </w:rPr>
        <w:lastRenderedPageBreak/>
        <w:t>par la déclaration d’Osnabrück adoptée en 2020. En outre, une recommandation du Conseil en matière d’enseignement et de formation professionnels (EFP) en faveur de la compétitivité durable, de l’équité sociale et de la résilience</w:t>
      </w:r>
      <w:r>
        <w:rPr>
          <w:rStyle w:val="FootnoteReference"/>
          <w:rFonts w:ascii="Times New Roman" w:hAnsi="Times New Roman"/>
          <w:bCs/>
          <w:szCs w:val="24"/>
        </w:rPr>
        <w:footnoteReference w:id="1"/>
      </w:r>
      <w:r>
        <w:rPr>
          <w:rFonts w:ascii="Times New Roman" w:hAnsi="Times New Roman"/>
        </w:rPr>
        <w:t xml:space="preserve"> a été adoptée en 2020 et définit des principes essentiels pour que l’enseignement et la formation professionnels puissent s’adapter rapidement aux besoins du marché du travail et offrir des possibilités d’apprentissage de qualité tant aux jeunes qu’aux adultes. La recommandation définit une vision à long terme et des principes généraux de réforme pour adapter l’EFP à l’avenir, tandis que la déclaration d’Osnabrück complète la recommandation en définissant un ensemble d’actions concrètes à mettre en œuvre tant au niveau national qu’au niveau européen. Les États membres mettent actuellement en œuvre la recommandation et la déclaration d’Osnabrück ainsi qu’il a été défini dans leurs plans nationaux de mise en œuvre.</w:t>
      </w:r>
    </w:p>
    <w:p w14:paraId="74258824" w14:textId="20266182" w:rsidR="00D35C32" w:rsidRDefault="00ED4BF8" w:rsidP="00F316F4">
      <w:pPr>
        <w:widowControl w:val="0"/>
        <w:spacing w:after="120"/>
        <w:rPr>
          <w:rFonts w:ascii="Times New Roman" w:hAnsi="Times New Roman"/>
          <w:bCs/>
          <w:szCs w:val="24"/>
        </w:rPr>
      </w:pPr>
      <w:r>
        <w:rPr>
          <w:rFonts w:ascii="Times New Roman" w:hAnsi="Times New Roman"/>
        </w:rPr>
        <w:t xml:space="preserve">Plusieurs initiatives stratégiques visant à soutenir la mise en œuvre de réformes nationales ont été lancées, telles que l’alliance européenne pour l’apprentissage, le cadre européen de référence pour l’assurance de la qualité (CERAQ) ou les centres d’excellence professionnelle. La Commission est prête à aider les États membres, à leur demande, à entreprendre des réformes dans le domaine de l’apprentissage tout au long de la vie et de l’enseignement et de la formation professionnels, au moyen de l’instrument d’appui technique. Toutes ces initiatives et actions font partie de l’espace européen de l’éducation, qui vise à promouvoir la coopération entre les États membres de l’UE afin de mettre en place des systèmes nationaux d’éducation et de formation plus résilients et plus inclusifs dans un certain nombre de domaines horizontaux pertinents pour tous les secteurs de l’éducation et de la formation, y compris l’EFP. </w:t>
      </w:r>
    </w:p>
    <w:p w14:paraId="30042532" w14:textId="2B3CDEA5" w:rsidR="007765CF" w:rsidRDefault="007765CF" w:rsidP="00F316F4">
      <w:pPr>
        <w:widowControl w:val="0"/>
        <w:spacing w:after="120"/>
        <w:rPr>
          <w:rFonts w:ascii="Times New Roman" w:hAnsi="Times New Roman"/>
          <w:b/>
          <w:szCs w:val="24"/>
        </w:rPr>
      </w:pPr>
      <w:r>
        <w:rPr>
          <w:rFonts w:ascii="Times New Roman" w:hAnsi="Times New Roman"/>
          <w:b/>
        </w:rPr>
        <w:t>Paragraphe 10</w:t>
      </w:r>
    </w:p>
    <w:p w14:paraId="7CE3A20A" w14:textId="0E651593" w:rsidR="007B0C9B" w:rsidRDefault="007765CF" w:rsidP="00F316F4">
      <w:pPr>
        <w:widowControl w:val="0"/>
        <w:spacing w:after="120"/>
        <w:rPr>
          <w:rFonts w:ascii="Times New Roman" w:hAnsi="Times New Roman"/>
          <w:bCs/>
          <w:szCs w:val="24"/>
        </w:rPr>
      </w:pPr>
      <w:r>
        <w:rPr>
          <w:rFonts w:ascii="Times New Roman" w:hAnsi="Times New Roman"/>
        </w:rPr>
        <w:t>La Commission met en œuvre des services de soutien et des actions visant à promouvoir l’échange de bonnes pratiques dans des domaines d’action spécifiques tels que les programmes d’apprentissage, la formation en alternance, le suivi des diplômés et l’assurance de la qualité. Par ailleurs, des échanges réguliers avec les représentants des États membres et les partenaires sociaux sont organisés dans le cadre du comité consultatif pour la formation professionnelle (CCFP) et des réunions des directeurs généraux de l’enseignement et de la formation professionnels (DGFP) afin d’analyser, d’examiner et de développer des initiatives dans le domaine de l’EFP.</w:t>
      </w:r>
    </w:p>
    <w:p w14:paraId="6762689C" w14:textId="39F2B9A2" w:rsidR="007765CF" w:rsidRPr="007765CF" w:rsidRDefault="003A5657" w:rsidP="00F316F4">
      <w:pPr>
        <w:widowControl w:val="0"/>
        <w:spacing w:after="120"/>
        <w:rPr>
          <w:rFonts w:ascii="Times New Roman" w:hAnsi="Times New Roman"/>
          <w:bCs/>
          <w:szCs w:val="24"/>
        </w:rPr>
      </w:pPr>
      <w:r>
        <w:rPr>
          <w:rFonts w:ascii="Times New Roman" w:hAnsi="Times New Roman"/>
        </w:rPr>
        <w:t>La recommandation du Conseil susmentionnée</w:t>
      </w:r>
      <w:r>
        <w:t xml:space="preserve"> </w:t>
      </w:r>
      <w:r>
        <w:rPr>
          <w:rFonts w:ascii="Times New Roman" w:hAnsi="Times New Roman"/>
        </w:rPr>
        <w:t>sur l’EFP a défini une vision pour la mise en œuvre de la politique en matière d’enseignement et de formation professionnels, y compris un certain nombre de domaines mis en évidence dans cette résolution, tels que la nécessité d’investir dans la formation, la nécessité du renforcement des compétences et de la reconversion professionnelle des adultes, l’accent mis sur les groupes défavorisés, l’importance de la formation par le travail et du dialogue social, pour n’en citer que quelques-uns. Premièrement, la politique en matière d’EFP devrait doter les jeunes et les adultes des connaissances, des compétences et des aptitudes nécessaires pour s’épanouir sur un marché du travail et au sein d’une société en mutation, pour gérer la relance et les transitions justes vers une économie verte et numérique, en période de changement démographique et à travers tous les cycles économiques. Deuxièmement, elle devrait favoriser l’inclusion et l’égalité des chances et contribue à la résilience, à l’équité sociale et à la prospérité pour tous. Troisièmement, elle devrait promouvoir les systèmes européens d’enseignement et de formation professionnels sur le plan international afin qu’ils soient reconnus comme une référence mondiale pour les apprenants des filières professionnelles.</w:t>
      </w:r>
    </w:p>
    <w:p w14:paraId="0CB43D7D" w14:textId="77777777" w:rsidR="007765CF" w:rsidRDefault="007765CF" w:rsidP="009F52EC">
      <w:pPr>
        <w:keepNext/>
        <w:keepLines/>
        <w:widowControl w:val="0"/>
        <w:spacing w:after="120"/>
        <w:rPr>
          <w:rFonts w:ascii="Times New Roman" w:hAnsi="Times New Roman"/>
          <w:b/>
          <w:szCs w:val="24"/>
        </w:rPr>
      </w:pPr>
      <w:r>
        <w:rPr>
          <w:rFonts w:ascii="Times New Roman" w:hAnsi="Times New Roman"/>
          <w:b/>
        </w:rPr>
        <w:lastRenderedPageBreak/>
        <w:t>Paragraphe 11</w:t>
      </w:r>
    </w:p>
    <w:p w14:paraId="5F1B1934" w14:textId="048F2AEB" w:rsidR="00185646" w:rsidRDefault="00185646" w:rsidP="009F52EC">
      <w:pPr>
        <w:keepNext/>
        <w:keepLines/>
        <w:widowControl w:val="0"/>
        <w:spacing w:after="120"/>
        <w:rPr>
          <w:rFonts w:ascii="Times New Roman" w:hAnsi="Times New Roman"/>
          <w:bCs/>
          <w:szCs w:val="24"/>
        </w:rPr>
      </w:pPr>
      <w:r>
        <w:rPr>
          <w:rFonts w:ascii="Times New Roman" w:hAnsi="Times New Roman"/>
        </w:rPr>
        <w:t>Le Conseil a adopté en 2014 un cadre de qualité pour les stages</w:t>
      </w:r>
      <w:r>
        <w:rPr>
          <w:rStyle w:val="FootnoteReference"/>
          <w:rFonts w:ascii="Times New Roman" w:hAnsi="Times New Roman"/>
          <w:bCs/>
          <w:szCs w:val="24"/>
        </w:rPr>
        <w:footnoteReference w:id="2"/>
      </w:r>
      <w:r>
        <w:rPr>
          <w:rFonts w:ascii="Times New Roman" w:hAnsi="Times New Roman"/>
        </w:rPr>
        <w:t>. Ce cadre a été évalué</w:t>
      </w:r>
      <w:r>
        <w:rPr>
          <w:rStyle w:val="FootnoteReference"/>
          <w:rFonts w:ascii="Times New Roman" w:hAnsi="Times New Roman"/>
          <w:bCs/>
          <w:szCs w:val="24"/>
        </w:rPr>
        <w:footnoteReference w:id="3"/>
      </w:r>
      <w:r>
        <w:rPr>
          <w:rFonts w:ascii="Times New Roman" w:hAnsi="Times New Roman"/>
        </w:rPr>
        <w:t xml:space="preserve"> en janvier 2023. Le rapport d’évaluation du cadre de qualité 2023 de la Commission et une récente enquête Eurobaromètre (2964/FL5235) ont fait état de tendances globalement positives en ce qui concerne le niveau de qualité des stages dans l’ensemble de l’UE depuis l’adoption de la recommandation du Conseil du 10 mars 2014. Toutefois, ils ont également mis en évidence les problèmes de qualité qui subsistent en ce qui concerne les conditions de travail des stagiaires, qui méritent une attention particulière. Comme indiqué dans son programme de travail pour 2023, la Commission proposera un cadre renforcé concernant la rémunération et la protection sociale. La Commission a aussi pris note des demandes spécifiques de mesures législatives formulées par le Parlement européen dans sa récente résolution</w:t>
      </w:r>
      <w:r>
        <w:rPr>
          <w:rStyle w:val="FootnoteReference"/>
          <w:rFonts w:ascii="Times New Roman" w:hAnsi="Times New Roman"/>
          <w:bCs/>
          <w:szCs w:val="24"/>
        </w:rPr>
        <w:footnoteReference w:id="4"/>
      </w:r>
      <w:r>
        <w:rPr>
          <w:rFonts w:ascii="Times New Roman" w:hAnsi="Times New Roman"/>
        </w:rPr>
        <w:t>. Dans le cadre de l’élaboration de son initiative, la Commission mettra tout en œuvre pour examiner les différents éléments de la résolution du Parlement européen, tout en respectant les limites juridiques fixées par les traités et sans porter atteinte à l’acquis social existant.</w:t>
      </w:r>
    </w:p>
    <w:p w14:paraId="238B8933" w14:textId="78BFF36A" w:rsidR="00A601B0" w:rsidRDefault="00185646" w:rsidP="00F316F4">
      <w:pPr>
        <w:widowControl w:val="0"/>
        <w:spacing w:after="120"/>
        <w:rPr>
          <w:rFonts w:ascii="Times New Roman" w:hAnsi="Times New Roman"/>
          <w:bCs/>
          <w:szCs w:val="24"/>
        </w:rPr>
      </w:pPr>
      <w:r>
        <w:rPr>
          <w:rFonts w:ascii="Times New Roman" w:hAnsi="Times New Roman"/>
        </w:rPr>
        <w:t>En ce qui concerne les apprentissages, le cadre européen pour un apprentissage efficace et de qualité de 2018</w:t>
      </w:r>
      <w:r>
        <w:rPr>
          <w:rStyle w:val="FootnoteReference"/>
          <w:rFonts w:ascii="Times New Roman" w:hAnsi="Times New Roman"/>
          <w:bCs/>
          <w:szCs w:val="24"/>
        </w:rPr>
        <w:footnoteReference w:id="5"/>
      </w:r>
      <w:r>
        <w:rPr>
          <w:rFonts w:ascii="Times New Roman" w:hAnsi="Times New Roman"/>
        </w:rPr>
        <w:t xml:space="preserve"> stipule déjà que les apprentis devraient percevoir une rémunération ou bien une indemnité, le cas échéant conformément aux exigences nationales ou sectorielles ou aux conventions collectives existantes, et sur la base de mécanismes de partage des coûts entre les employeurs et les pouvoirs publics.</w:t>
      </w:r>
    </w:p>
    <w:p w14:paraId="378C1574" w14:textId="12C5AA5D" w:rsidR="007B0C9B" w:rsidRPr="007B0C9B" w:rsidRDefault="007B0C9B" w:rsidP="00F316F4">
      <w:pPr>
        <w:widowControl w:val="0"/>
        <w:spacing w:after="120"/>
        <w:rPr>
          <w:rFonts w:ascii="Times New Roman" w:hAnsi="Times New Roman"/>
          <w:b/>
          <w:szCs w:val="24"/>
        </w:rPr>
      </w:pPr>
      <w:r>
        <w:rPr>
          <w:rFonts w:ascii="Times New Roman" w:hAnsi="Times New Roman"/>
          <w:b/>
        </w:rPr>
        <w:t>Paragraphe 16</w:t>
      </w:r>
    </w:p>
    <w:p w14:paraId="650F4D49" w14:textId="7E8A09CC" w:rsidR="004B0D12" w:rsidRDefault="004B0D12" w:rsidP="00F316F4">
      <w:pPr>
        <w:spacing w:after="120"/>
        <w:rPr>
          <w:rFonts w:ascii="Times New Roman" w:hAnsi="Times New Roman"/>
          <w:bCs/>
          <w:szCs w:val="24"/>
        </w:rPr>
      </w:pPr>
      <w:r>
        <w:rPr>
          <w:rFonts w:ascii="Times New Roman" w:hAnsi="Times New Roman"/>
        </w:rPr>
        <w:t>En ce qui concerne les travaux en cours de la Commission en matière d’intégration sociale et professionnelle des personnes qui ne travaillent pas et ne suivent pas d’études ou de formation (NEET), veuillez vous reporter à la réponse aux paragraphes 31 et 32 ci-dessous.</w:t>
      </w:r>
    </w:p>
    <w:p w14:paraId="441F7A51" w14:textId="10A6CF73" w:rsidR="007B0C9B" w:rsidRPr="007B0C9B" w:rsidRDefault="007B0C9B" w:rsidP="00F316F4">
      <w:pPr>
        <w:spacing w:after="120"/>
        <w:rPr>
          <w:rFonts w:ascii="Times New Roman" w:hAnsi="Times New Roman"/>
          <w:bCs/>
          <w:szCs w:val="24"/>
        </w:rPr>
      </w:pPr>
      <w:r>
        <w:rPr>
          <w:rFonts w:ascii="Times New Roman" w:hAnsi="Times New Roman"/>
        </w:rPr>
        <w:t xml:space="preserve">En 2018, le Conseil a adopté une </w:t>
      </w:r>
      <w:hyperlink r:id="rId12" w:history="1">
        <w:r>
          <w:rPr>
            <w:rStyle w:val="Hyperlink"/>
            <w:rFonts w:ascii="Times New Roman" w:hAnsi="Times New Roman"/>
          </w:rPr>
          <w:t>recommandation relative aux compétences clés pour l’éducation et la formation tout au long de la vie</w:t>
        </w:r>
      </w:hyperlink>
      <w:r>
        <w:rPr>
          <w:rFonts w:ascii="Times New Roman" w:hAnsi="Times New Roman"/>
        </w:rPr>
        <w:t>. Cette recommandation est accompagnée, en annexe, d’un cadre de référence européen pour les huit compétences couvertes par la recommandation, parmi lesquelles figurent les compétences transversales.</w:t>
      </w:r>
    </w:p>
    <w:p w14:paraId="66E0E820" w14:textId="511A1068" w:rsidR="007B0C9B" w:rsidRPr="007B0C9B" w:rsidRDefault="007B0C9B" w:rsidP="00F316F4">
      <w:pPr>
        <w:spacing w:after="120"/>
        <w:rPr>
          <w:rFonts w:ascii="Times New Roman" w:hAnsi="Times New Roman"/>
          <w:bCs/>
          <w:szCs w:val="24"/>
        </w:rPr>
      </w:pPr>
      <w:r>
        <w:rPr>
          <w:rFonts w:ascii="Times New Roman" w:hAnsi="Times New Roman"/>
        </w:rPr>
        <w:t xml:space="preserve">En outre, dans le cadre des travaux réalisés par le groupe d’experts ESCO (classification européenne des aptitudes, compétences, certifications et professions), 96 compétences transversales ont été ajoutées à la taxinomie en 2020. </w:t>
      </w:r>
      <w:r w:rsidRPr="00AA770E">
        <w:rPr>
          <w:rFonts w:ascii="Times New Roman" w:hAnsi="Times New Roman"/>
        </w:rPr>
        <w:t>L</w:t>
      </w:r>
      <w:r w:rsidR="00AA770E" w:rsidRPr="00AA770E">
        <w:rPr>
          <w:rFonts w:ascii="Times New Roman" w:hAnsi="Times New Roman"/>
        </w:rPr>
        <w:t>’</w:t>
      </w:r>
      <w:hyperlink r:id="rId13" w:history="1">
        <w:r>
          <w:rPr>
            <w:rFonts w:ascii="Times New Roman" w:hAnsi="Times New Roman"/>
            <w:color w:val="0000FF"/>
            <w:u w:val="single"/>
          </w:rPr>
          <w:t>ESCO</w:t>
        </w:r>
      </w:hyperlink>
      <w:r>
        <w:rPr>
          <w:rFonts w:ascii="Times New Roman" w:hAnsi="Times New Roman"/>
        </w:rPr>
        <w:t xml:space="preserve"> définit les compétences transversales comme étant les capacités acquises dont dispose une personne et qui peuvent être nécessaires ou utiles pour une action efficace dans pratiquement tout type de travail, d’apprentissage ou d’activité de la vie. Ces compétences sont «transversales» car elles ne sont pas exclusivement liées à un contexte particulier (emploi, profession, discipline académique, secteur professionnel, groupe de secteurs professionnels, etc.). </w:t>
      </w:r>
    </w:p>
    <w:p w14:paraId="7C227A86" w14:textId="0F67801D" w:rsidR="007B0C9B" w:rsidRDefault="007B0C9B" w:rsidP="00F316F4">
      <w:pPr>
        <w:spacing w:after="120"/>
        <w:rPr>
          <w:rFonts w:ascii="Times New Roman" w:hAnsi="Times New Roman"/>
          <w:bCs/>
          <w:szCs w:val="24"/>
        </w:rPr>
      </w:pPr>
      <w:r>
        <w:rPr>
          <w:rFonts w:ascii="Times New Roman" w:hAnsi="Times New Roman"/>
        </w:rPr>
        <w:t xml:space="preserve">Les projets Erasmus+, et en particulier </w:t>
      </w:r>
      <w:hyperlink r:id="rId14" w:history="1">
        <w:r>
          <w:rPr>
            <w:rFonts w:ascii="Times New Roman" w:hAnsi="Times New Roman"/>
            <w:color w:val="0000FF"/>
            <w:u w:val="single"/>
          </w:rPr>
          <w:t>TRANSVAL-EU</w:t>
        </w:r>
      </w:hyperlink>
      <w:r>
        <w:rPr>
          <w:rFonts w:ascii="Times New Roman" w:hAnsi="Times New Roman"/>
        </w:rPr>
        <w:t xml:space="preserve">, ont mis au point un </w:t>
      </w:r>
      <w:hyperlink r:id="rId15" w:history="1">
        <w:r>
          <w:rPr>
            <w:rFonts w:ascii="Times New Roman" w:hAnsi="Times New Roman"/>
            <w:color w:val="0000FF"/>
            <w:u w:val="single"/>
          </w:rPr>
          <w:t>cadre de compétences sur les compétences transversales</w:t>
        </w:r>
      </w:hyperlink>
      <w:r>
        <w:rPr>
          <w:rFonts w:ascii="Times New Roman" w:hAnsi="Times New Roman"/>
        </w:rPr>
        <w:t xml:space="preserve"> afin de soutenir la validation de ces compétences transversales.</w:t>
      </w:r>
    </w:p>
    <w:p w14:paraId="61B4B831" w14:textId="51A047A1" w:rsidR="001443BF" w:rsidRPr="001443BF" w:rsidRDefault="001443BF" w:rsidP="00F316F4">
      <w:pPr>
        <w:spacing w:after="120" w:line="252" w:lineRule="auto"/>
        <w:rPr>
          <w:rFonts w:ascii="Times New Roman" w:hAnsi="Times New Roman"/>
          <w:szCs w:val="24"/>
        </w:rPr>
      </w:pPr>
      <w:r>
        <w:rPr>
          <w:rFonts w:ascii="Times New Roman" w:hAnsi="Times New Roman"/>
        </w:rPr>
        <w:t xml:space="preserve">La </w:t>
      </w:r>
      <w:hyperlink r:id="rId16" w:history="1">
        <w:r>
          <w:rPr>
            <w:rFonts w:ascii="Times New Roman" w:hAnsi="Times New Roman"/>
            <w:color w:val="0563C1"/>
            <w:u w:val="single"/>
          </w:rPr>
          <w:t>recommandation du Conseil de 2012 sur la validation de l’apprentissage non formel et informel</w:t>
        </w:r>
      </w:hyperlink>
      <w:r>
        <w:rPr>
          <w:rFonts w:ascii="Times New Roman" w:hAnsi="Times New Roman"/>
        </w:rPr>
        <w:t xml:space="preserve"> invitait les États membres à mettre en place des dispositifs permettant aux individus de faire valider leurs compétences. La Commission soutient les États membres et les parties prenantes dans la mise en œuvre de cette recommandation en procédant </w:t>
      </w:r>
      <w:r>
        <w:rPr>
          <w:rFonts w:ascii="Times New Roman" w:hAnsi="Times New Roman"/>
        </w:rPr>
        <w:lastRenderedPageBreak/>
        <w:t xml:space="preserve">régulièrement au réexamen de l’inventaire européen et des lignes directrices européennes sur la validation des acquis non formels et informels, en coopération avec les États membres. La prochaine mise à jour de l’inventaire européen sur la validation des acquis non formels et informels devrait être publiée au premier trimestre 2024. La troisième édition des </w:t>
      </w:r>
      <w:hyperlink r:id="rId17" w:history="1">
        <w:r>
          <w:rPr>
            <w:rFonts w:ascii="Times New Roman" w:hAnsi="Times New Roman"/>
            <w:color w:val="0000FF"/>
            <w:u w:val="single"/>
          </w:rPr>
          <w:t>lignes directrices européennes pour la validation des acquis non formels et informels</w:t>
        </w:r>
      </w:hyperlink>
      <w:r>
        <w:rPr>
          <w:rFonts w:ascii="Times New Roman" w:hAnsi="Times New Roman"/>
        </w:rPr>
        <w:t xml:space="preserve"> (mai 2023) décrit les conditions et éléments nécessaires au lancement, au développement et à la mise en œuvre de la validation. Les lignes directrices donnent la priorité aux personnes et fournissent des informations sur la fourniture, les méthodologies, la coordination et la mise en œuvre du processus de validation.</w:t>
      </w:r>
    </w:p>
    <w:p w14:paraId="5EA2860A" w14:textId="386034FD" w:rsidR="001443BF" w:rsidRPr="001443BF" w:rsidRDefault="001443BF" w:rsidP="00F316F4">
      <w:pPr>
        <w:spacing w:after="120" w:line="252" w:lineRule="auto"/>
        <w:rPr>
          <w:rFonts w:ascii="Times New Roman" w:hAnsi="Times New Roman"/>
          <w:szCs w:val="24"/>
        </w:rPr>
      </w:pPr>
      <w:r>
        <w:rPr>
          <w:rFonts w:ascii="Times New Roman" w:hAnsi="Times New Roman"/>
        </w:rPr>
        <w:t xml:space="preserve">La validation est également essentielle à une approche donnant la priorité aux compétences, notamment dans le contexte des pénuries de compétences sur le marché du travail. Comme indiqué dans la </w:t>
      </w:r>
      <w:hyperlink r:id="rId18" w:history="1">
        <w:r>
          <w:rPr>
            <w:rFonts w:ascii="Times New Roman" w:hAnsi="Times New Roman"/>
            <w:color w:val="0563C1"/>
            <w:u w:val="single"/>
          </w:rPr>
          <w:t>communication relative à un plan industriel du pacte vert pour l’ère du zéro émission nette</w:t>
        </w:r>
      </w:hyperlink>
      <w:r>
        <w:rPr>
          <w:rFonts w:ascii="Times New Roman" w:hAnsi="Times New Roman"/>
        </w:rPr>
        <w:t xml:space="preserve"> et comme prévu dans le programme de travail de la Commission pour 2023, la Commission examine actuellement une approche fondée sur les compétences afin de faciliter l’accès des ressortissants de pays tiers aux marchés du travail de l’UE dans des secteurs prioritaires grâce à la création d’un réservoir de talents de l’UE et présentera une initiative sur la reconnaissance des qualifications des ressortissants de pays tiers.</w:t>
      </w:r>
    </w:p>
    <w:p w14:paraId="44257226" w14:textId="4A841EE5" w:rsidR="007B0C9B" w:rsidRDefault="001443BF" w:rsidP="00F316F4">
      <w:pPr>
        <w:spacing w:after="120"/>
        <w:rPr>
          <w:rFonts w:ascii="Times New Roman" w:hAnsi="Times New Roman"/>
          <w:szCs w:val="24"/>
        </w:rPr>
      </w:pPr>
      <w:r>
        <w:rPr>
          <w:rFonts w:ascii="Times New Roman" w:hAnsi="Times New Roman"/>
        </w:rPr>
        <w:t xml:space="preserve">La Commission ayant noté dans la </w:t>
      </w:r>
      <w:hyperlink r:id="rId19" w:history="1">
        <w:r>
          <w:rPr>
            <w:rFonts w:ascii="Times New Roman" w:hAnsi="Times New Roman"/>
            <w:color w:val="0563C1"/>
            <w:u w:val="single"/>
          </w:rPr>
          <w:t>stratégie européenne en matière de soins</w:t>
        </w:r>
      </w:hyperlink>
      <w:r>
        <w:rPr>
          <w:rFonts w:ascii="Times New Roman" w:hAnsi="Times New Roman"/>
        </w:rPr>
        <w:t xml:space="preserve"> de 2022 que le secteur des soins est particulièrement touché par des pénuries de main-d’œuvre en raison d’un certain nombre de facteurs, elle a entrepris diverses actions pour contribuer à remédier à ce problème, y compris par le lancement, en avril 2023, d’un </w:t>
      </w:r>
      <w:hyperlink r:id="rId20" w:history="1">
        <w:r>
          <w:rPr>
            <w:rFonts w:ascii="Times New Roman" w:hAnsi="Times New Roman"/>
            <w:color w:val="0563C1"/>
            <w:u w:val="single"/>
          </w:rPr>
          <w:t>partenariat à grande échelle en matière de compétences</w:t>
        </w:r>
      </w:hyperlink>
      <w:r>
        <w:rPr>
          <w:rFonts w:ascii="Times New Roman" w:hAnsi="Times New Roman"/>
        </w:rPr>
        <w:t xml:space="preserve"> et par l’évaluation de la</w:t>
      </w:r>
      <w:r>
        <w:rPr>
          <w:rFonts w:ascii="Calibri" w:hAnsi="Calibri"/>
          <w:sz w:val="22"/>
        </w:rPr>
        <w:t xml:space="preserve"> </w:t>
      </w:r>
      <w:r>
        <w:rPr>
          <w:rFonts w:ascii="Times New Roman" w:hAnsi="Times New Roman"/>
        </w:rPr>
        <w:t>faisabilité de la mise en place, au niveau de l’UE, de programmes visant à attirer des aidants professionnels, y compris en provenance de pays tiers.</w:t>
      </w:r>
    </w:p>
    <w:p w14:paraId="171C2699" w14:textId="5DDDAA12" w:rsidR="007765CF" w:rsidRDefault="007765CF" w:rsidP="00F316F4">
      <w:pPr>
        <w:widowControl w:val="0"/>
        <w:spacing w:after="120"/>
        <w:rPr>
          <w:rFonts w:ascii="Times New Roman" w:hAnsi="Times New Roman"/>
          <w:b/>
          <w:szCs w:val="24"/>
        </w:rPr>
      </w:pPr>
      <w:r>
        <w:rPr>
          <w:rFonts w:ascii="Times New Roman" w:hAnsi="Times New Roman"/>
          <w:b/>
        </w:rPr>
        <w:t>Paragraphe 22</w:t>
      </w:r>
    </w:p>
    <w:p w14:paraId="7AC6370D" w14:textId="2591DE4A" w:rsidR="007765CF" w:rsidRDefault="000701F0" w:rsidP="00F316F4">
      <w:pPr>
        <w:widowControl w:val="0"/>
        <w:spacing w:after="120"/>
        <w:rPr>
          <w:rFonts w:ascii="Times New Roman" w:hAnsi="Times New Roman"/>
          <w:bCs/>
          <w:szCs w:val="24"/>
        </w:rPr>
      </w:pPr>
      <w:r>
        <w:rPr>
          <w:rFonts w:ascii="Times New Roman" w:hAnsi="Times New Roman"/>
        </w:rPr>
        <w:t>La Commission, en coopération avec les États membres, a mis au point un grand nombre d’instruments pour soutenir la participation des groupes vulnérables tels que les groupes peu qualifiés et défavorisés à l’EFP et au marché du travail. Ces instruments comprennent notamment des financements au titre du Fonds social européen plus, du Fonds européen de développement régional, de la facilité pour la reprise et la résilience, le soutien aux réformes nationales au titre de l’instrument d’appui technique, ainsi que des instruments tels que la recommandation relative à la garantie renforcée pour la jeunesse</w:t>
      </w:r>
      <w:r>
        <w:rPr>
          <w:rStyle w:val="FootnoteReference"/>
          <w:rFonts w:ascii="Times New Roman" w:hAnsi="Times New Roman"/>
          <w:bCs/>
          <w:szCs w:val="24"/>
        </w:rPr>
        <w:footnoteReference w:id="6"/>
      </w:r>
      <w:r>
        <w:rPr>
          <w:rFonts w:ascii="Times New Roman" w:hAnsi="Times New Roman"/>
        </w:rPr>
        <w:t xml:space="preserve"> et la recommandation du Conseil sur l’EFP de 2020, dans laquelle les États membres ont convenu de mesures spécifiques pour répondre à la nécessité d’inclure les groupes vulnérables dans l’EFP en veillant à ce que les programmes professionnels soient inclusifs et accessibles aux groupes vulnérables, tels que les personnes handicapées, les personnes peu qualifiées/formées, les minorités, les personnes issues de l’immigration et les personnes moins favorisées en raison de leur éloignement géographique et/ou de leur situation socio-économique défavorable. Des mesures ciblées et des formations modulables devraient prévenir la sortie précoce du système d’éducation et de formation et soutenir le passage de la scolarité au monde du travail.</w:t>
      </w:r>
    </w:p>
    <w:p w14:paraId="1BC1D24A" w14:textId="718DA795" w:rsidR="00510281" w:rsidRPr="003B5287" w:rsidRDefault="00510281" w:rsidP="00F316F4">
      <w:pPr>
        <w:widowControl w:val="0"/>
        <w:spacing w:after="120"/>
        <w:rPr>
          <w:rFonts w:ascii="Times New Roman" w:hAnsi="Times New Roman"/>
          <w:b/>
          <w:szCs w:val="24"/>
        </w:rPr>
      </w:pPr>
      <w:r>
        <w:rPr>
          <w:rFonts w:ascii="Times New Roman" w:hAnsi="Times New Roman"/>
          <w:b/>
        </w:rPr>
        <w:t>Paragraphe 29</w:t>
      </w:r>
    </w:p>
    <w:p w14:paraId="6263028D" w14:textId="5FF0928B" w:rsidR="00510281" w:rsidRPr="000701F0" w:rsidRDefault="003B5287" w:rsidP="00F316F4">
      <w:pPr>
        <w:widowControl w:val="0"/>
        <w:spacing w:after="120"/>
        <w:rPr>
          <w:rFonts w:ascii="Times New Roman" w:hAnsi="Times New Roman"/>
          <w:bCs/>
          <w:szCs w:val="24"/>
        </w:rPr>
      </w:pPr>
      <w:r>
        <w:rPr>
          <w:rFonts w:ascii="Times New Roman" w:hAnsi="Times New Roman"/>
        </w:rPr>
        <w:t xml:space="preserve">La Commission convient qu’il est important d’adopter à l’égard de l’Année européenne des compétences une perspective globale et large et d’inviter toutes les parties prenantes à redoubler d’efforts pour encourager la formation et le perfectionnement professionnel des individus. Comme indiqué dans la décision relative à une Année européenne des </w:t>
      </w:r>
      <w:r>
        <w:rPr>
          <w:rFonts w:ascii="Times New Roman" w:hAnsi="Times New Roman"/>
        </w:rPr>
        <w:lastRenderedPageBreak/>
        <w:t>compétences</w:t>
      </w:r>
      <w:r>
        <w:rPr>
          <w:rStyle w:val="FootnoteReference"/>
          <w:rFonts w:ascii="Times New Roman" w:hAnsi="Times New Roman"/>
          <w:bCs/>
          <w:szCs w:val="24"/>
        </w:rPr>
        <w:footnoteReference w:id="7"/>
      </w:r>
      <w:r>
        <w:rPr>
          <w:rFonts w:ascii="Times New Roman" w:hAnsi="Times New Roman"/>
        </w:rPr>
        <w:t>, les activités de l’Année européenne des compétences visent à promouvoir les politiques et les investissements en matière de compétences de manière à garantir que personne ne sera laissé pour compte lors des transitions écologique et numérique et de la reprise économique, et, en particulier, à remédier aux pénuries de travailleurs en comblant les lacunes et en corrigeant les inadéquations de compétences afin de disposer, dans l’Union, d’une main-d’œuvre et d’une société capables et à même de tirer parti des possibilités offertes par les transitions écologique et numérique. Il y est également précisé qu’en promouvant un esprit de reconversion et de perfectionnement dans l’ensemble de l’Union, l’Année européenne des compétences peut avoir une incidence positive plus large sur la société et la démocratie, étant donné qu’une main-d’œuvre mieux qualifiée est également synonyme de citoyens plus actifs et plus engagés. La reconversion et le perfectionnement dotent les travailleurs des compétences nécessaires pour bénéficier de possibilités d’emploi de meilleure qualité, améliorer leur bien-être au travail et progresser dans leur développement personnel et professionnel, tout en renforçant la compétitivité de l’économie et en contribuant à la création de nouveaux emplois de qualité.</w:t>
      </w:r>
    </w:p>
    <w:p w14:paraId="65441C66" w14:textId="67E1BFFD" w:rsidR="003B5287" w:rsidRDefault="003B5287" w:rsidP="00F316F4">
      <w:pPr>
        <w:widowControl w:val="0"/>
        <w:spacing w:after="120"/>
        <w:rPr>
          <w:rFonts w:ascii="Times New Roman" w:hAnsi="Times New Roman"/>
          <w:b/>
          <w:szCs w:val="24"/>
        </w:rPr>
      </w:pPr>
      <w:r>
        <w:rPr>
          <w:rFonts w:ascii="Times New Roman" w:hAnsi="Times New Roman"/>
          <w:b/>
        </w:rPr>
        <w:t>Paragraphe 30</w:t>
      </w:r>
    </w:p>
    <w:p w14:paraId="33BB359A" w14:textId="2BBC6DA1" w:rsidR="007765CF" w:rsidRPr="00E22548" w:rsidRDefault="003B5287" w:rsidP="00F316F4">
      <w:pPr>
        <w:widowControl w:val="0"/>
        <w:spacing w:after="120"/>
        <w:rPr>
          <w:rFonts w:ascii="Times New Roman" w:hAnsi="Times New Roman"/>
          <w:bCs/>
          <w:szCs w:val="24"/>
        </w:rPr>
      </w:pPr>
      <w:r>
        <w:rPr>
          <w:rFonts w:ascii="Times New Roman" w:hAnsi="Times New Roman"/>
        </w:rPr>
        <w:t>La Commission continue d’élaborer et de mener de vastes campagnes visant à promouvoir l’EFP ainsi que le perfectionnement et la reconversion professionnels des adultes depuis le lancement de la Semaine européenne des compétences professionnelles en 2016. En 2023, la Commission intensifiera ses efforts dans ce domaine, notamment dans le cadre de l’Année européenne des compétences et de l’organisation de la prochaine édition de la Semaine européenne des compétences professionnelles (23-27 octobre 2023). Des manifestations telles qu’EuroSkills, qui mettent en avant la qualité et l’excellence dans l’EFP et présentent un grand potentiel pour accroître l’attrait des possibilités offertes par un EFP de qualité et l’éducation des adultes, figureront en bonne place dans le cadre de l’Année européenne des compétences et de la Semaine européenne des compétences professionnelles. En outre, dans le cadre de l’alliance européenne pour l’apprentissage, des activités de communication sont mises en place, entre autres, pour mobiliser les collectivités locales et régionales et renforcer le dialogue social grâce à une participation plus active des organisations nationales de partenaires sociaux.</w:t>
      </w:r>
    </w:p>
    <w:p w14:paraId="1B4B17D2" w14:textId="1F9F7376" w:rsidR="009A6516" w:rsidRDefault="009A6516" w:rsidP="00F316F4">
      <w:pPr>
        <w:widowControl w:val="0"/>
        <w:spacing w:after="120"/>
        <w:rPr>
          <w:rFonts w:ascii="Times New Roman" w:hAnsi="Times New Roman"/>
          <w:b/>
          <w:szCs w:val="24"/>
        </w:rPr>
      </w:pPr>
      <w:r>
        <w:rPr>
          <w:rFonts w:ascii="Times New Roman" w:hAnsi="Times New Roman"/>
          <w:b/>
        </w:rPr>
        <w:t>Paragraphes 31 et 32</w:t>
      </w:r>
    </w:p>
    <w:p w14:paraId="556D7186" w14:textId="371185F6" w:rsidR="009A6516" w:rsidRPr="009A6516" w:rsidRDefault="009A6516" w:rsidP="00F316F4">
      <w:pPr>
        <w:widowControl w:val="0"/>
        <w:spacing w:after="120"/>
        <w:rPr>
          <w:rFonts w:ascii="Times New Roman" w:hAnsi="Times New Roman"/>
          <w:bCs/>
          <w:szCs w:val="24"/>
        </w:rPr>
      </w:pPr>
      <w:r>
        <w:rPr>
          <w:rFonts w:ascii="Times New Roman" w:hAnsi="Times New Roman"/>
        </w:rPr>
        <w:t>La recommandation du Conseil de 2020 sur une garantie renforcée pour la jeunesse est un engagement pris par tous les États membres de veiller à ce que tous les jeunes de moins de 30 ans, notamment les jeunes défavorisés et les jeunes qui ne travaillent pas et ne suivent pas d’études ou de formation (NEET), bénéficient d’une offre de qualité pour un emploi, une formation continue, un apprentissage ou un stage, y compris en mobilisant les ressources pertinentes nationales et de l’UE.</w:t>
      </w:r>
    </w:p>
    <w:p w14:paraId="5CF715E7" w14:textId="6721E101" w:rsidR="00B7245C" w:rsidRDefault="00B7245C" w:rsidP="00F316F4">
      <w:pPr>
        <w:widowControl w:val="0"/>
        <w:spacing w:after="120"/>
        <w:rPr>
          <w:rFonts w:ascii="Times New Roman" w:hAnsi="Times New Roman"/>
          <w:bCs/>
          <w:szCs w:val="24"/>
        </w:rPr>
      </w:pPr>
      <w:r>
        <w:rPr>
          <w:rFonts w:ascii="Times New Roman" w:hAnsi="Times New Roman"/>
        </w:rPr>
        <w:t>La recommandation du Conseil du 28 novembre 2022 concernant l’initiative «Passeport pour la réussite scolaire»</w:t>
      </w:r>
      <w:r>
        <w:rPr>
          <w:rStyle w:val="FootnoteReference"/>
          <w:rFonts w:ascii="Times New Roman" w:hAnsi="Times New Roman"/>
          <w:bCs/>
          <w:szCs w:val="24"/>
        </w:rPr>
        <w:footnoteReference w:id="8"/>
      </w:r>
      <w:r>
        <w:rPr>
          <w:rFonts w:ascii="Times New Roman" w:hAnsi="Times New Roman"/>
        </w:rPr>
        <w:t xml:space="preserve"> vise à améliorer les résultats scolaires de tous les apprenants, en renforçant la maîtrise des compétences de base et en réduisant l’abandon précoce de l’éducation et de la formation. Elle adopte une approche globale de la réussite scolaire, en se concentrant à la fois sur la maîtrise de compétences et l’obtention de résultats, d’une part, et sur le bien-être à l’école, de l’autre.</w:t>
      </w:r>
    </w:p>
    <w:p w14:paraId="77E2501A" w14:textId="429866AD" w:rsidR="009A6516" w:rsidRPr="007E5A8C" w:rsidRDefault="00B7245C" w:rsidP="00F316F4">
      <w:pPr>
        <w:widowControl w:val="0"/>
        <w:spacing w:after="120"/>
        <w:rPr>
          <w:rFonts w:ascii="Times New Roman" w:hAnsi="Times New Roman"/>
          <w:bCs/>
          <w:szCs w:val="24"/>
        </w:rPr>
      </w:pPr>
      <w:r>
        <w:rPr>
          <w:rFonts w:ascii="Times New Roman" w:hAnsi="Times New Roman"/>
        </w:rPr>
        <w:t>La recommandation du Conseil du 12 mars 2021 sur l’égalité, l’inclusion et la participation des Roms</w:t>
      </w:r>
      <w:r>
        <w:rPr>
          <w:rStyle w:val="FootnoteReference"/>
          <w:rFonts w:ascii="Times New Roman" w:hAnsi="Times New Roman"/>
          <w:bCs/>
          <w:szCs w:val="24"/>
        </w:rPr>
        <w:footnoteReference w:id="9"/>
      </w:r>
      <w:r>
        <w:rPr>
          <w:rFonts w:ascii="Times New Roman" w:hAnsi="Times New Roman"/>
        </w:rPr>
        <w:t xml:space="preserve"> définit un certain nombre de mesures à prendre au niveau des États membres pour relever les défis spécifiques liés aux Roms.</w:t>
      </w:r>
    </w:p>
    <w:p w14:paraId="430FF8A2" w14:textId="76C6719B" w:rsidR="00180501" w:rsidRDefault="006D5E39" w:rsidP="00F316F4">
      <w:pPr>
        <w:widowControl w:val="0"/>
        <w:spacing w:after="120"/>
        <w:rPr>
          <w:rFonts w:ascii="Times New Roman" w:hAnsi="Times New Roman"/>
          <w:bCs/>
          <w:szCs w:val="24"/>
        </w:rPr>
      </w:pPr>
      <w:r>
        <w:rPr>
          <w:rFonts w:ascii="Times New Roman" w:hAnsi="Times New Roman"/>
        </w:rPr>
        <w:lastRenderedPageBreak/>
        <w:t>Au cours de la période de programmation 2021-2027, 17,3 milliards d’EUR, dont un montant de 10,93 milliards d’EUR pour l’UE, seront investis par l’intermédiaire du FSE+ pour apporter un soutien spécifique à l’emploi des jeunes et à l’intégration socio-économique des jeunes (18-29 ans) dans l’UE. Les mesures cofinancées par le FSE+ en faveur de l’emploi des jeunes se concentrent sur un large éventail de questions, qui tendent toutes vers la manière d’accompagner les jeunes sur le marché du travail, en mettant l’accent sur les personnes vulnérables, y compris les jeunes défavorisés et les jeunes qui ne travaillent pas et ne suivent pas d’études ou de formation (NEET).</w:t>
      </w:r>
    </w:p>
    <w:p w14:paraId="729DC784" w14:textId="12A8D83A" w:rsidR="00A04324" w:rsidRDefault="006D5E39" w:rsidP="00F316F4">
      <w:pPr>
        <w:widowControl w:val="0"/>
        <w:spacing w:after="120"/>
        <w:rPr>
          <w:rFonts w:ascii="Times New Roman" w:hAnsi="Times New Roman"/>
          <w:bCs/>
          <w:szCs w:val="24"/>
        </w:rPr>
      </w:pPr>
      <w:r>
        <w:rPr>
          <w:rFonts w:ascii="Times New Roman" w:hAnsi="Times New Roman"/>
        </w:rPr>
        <w:t>La plupart des programmes du FSE+ comprennent des mesures visant à garantir l’accès à l’éducation et l’acquisition de compétences scolaires de base, ainsi que des mesures visant à intégrer les jeunes défavorisés et les NEET sur le marché du travail ainsi qu’à réduire les taux de décrochage scolaire. Une éventuelle augmentation du budget alloué à ces mesures en faveur de ces priorités d’action dans le cadre des dotations disponibles du FSE+ doit être examinée au niveau national ou régional, en tenant compte des différents besoins et défis.</w:t>
      </w:r>
    </w:p>
    <w:p w14:paraId="589A122E" w14:textId="6A691B07" w:rsidR="00BF468F" w:rsidRPr="00BF468F" w:rsidRDefault="00BF468F" w:rsidP="00F316F4">
      <w:pPr>
        <w:widowControl w:val="0"/>
        <w:spacing w:after="120"/>
        <w:rPr>
          <w:rFonts w:ascii="Times New Roman" w:hAnsi="Times New Roman"/>
          <w:bCs/>
          <w:szCs w:val="24"/>
        </w:rPr>
      </w:pPr>
      <w:r>
        <w:rPr>
          <w:rFonts w:ascii="Times New Roman" w:hAnsi="Times New Roman"/>
        </w:rPr>
        <w:t xml:space="preserve">Le Fonds européen de développement régional (FEDER) est également à la disposition des États membres pour mettre en œuvre des mesures destinées à soutenir l’accès à l’emploi et à une éducation, une formation et un apprentissage tout au long de la vie suivant une approche inclusive et de qualité, y compris l’EFP, au moyen d’investissements dans les infrastructures, les équipements et l’accès aux services. Les États membres devraient aussi inclure des mesures favorisant l’accès à ces services de base pour les groupes marginalisés, tels que les Roms, les personnes issues de l’immigration, les personnes handicapées, etc. Dans les programmes de la politique de cohésion 2021-2027, au moins </w:t>
      </w:r>
      <w:bookmarkStart w:id="1" w:name="_Hlk145076968"/>
      <w:r>
        <w:rPr>
          <w:rFonts w:ascii="Times New Roman" w:hAnsi="Times New Roman"/>
        </w:rPr>
        <w:t>8,4 milliards d’EUR</w:t>
      </w:r>
      <w:bookmarkEnd w:id="1"/>
      <w:r>
        <w:rPr>
          <w:rFonts w:ascii="Times New Roman" w:hAnsi="Times New Roman"/>
        </w:rPr>
        <w:t xml:space="preserve"> provenant de ressources de l’UE au titre du FEDER sont alloués à des infrastructures en matière d’éducation, de formation et de compétences. Ce montant comprend 685 millions d’EUR qui ont été alloués aux infrastructures pour l’EFP.</w:t>
      </w:r>
    </w:p>
    <w:p w14:paraId="1247F21A" w14:textId="74E45DE3" w:rsidR="00A04324" w:rsidRPr="007E5A8C" w:rsidRDefault="00B7245C" w:rsidP="00F316F4">
      <w:pPr>
        <w:widowControl w:val="0"/>
        <w:spacing w:after="120"/>
        <w:rPr>
          <w:rFonts w:ascii="Times New Roman" w:hAnsi="Times New Roman"/>
          <w:b/>
          <w:szCs w:val="24"/>
        </w:rPr>
      </w:pPr>
      <w:r>
        <w:rPr>
          <w:rFonts w:ascii="Times New Roman" w:hAnsi="Times New Roman"/>
          <w:b/>
        </w:rPr>
        <w:t>Paragraphe 34</w:t>
      </w:r>
    </w:p>
    <w:p w14:paraId="33322D0F" w14:textId="4B7ECE3A" w:rsidR="007765CF" w:rsidRPr="007765CF" w:rsidRDefault="00B7245C" w:rsidP="00F316F4">
      <w:pPr>
        <w:widowControl w:val="0"/>
        <w:spacing w:after="120"/>
        <w:rPr>
          <w:rFonts w:ascii="Times New Roman" w:hAnsi="Times New Roman"/>
          <w:bCs/>
          <w:szCs w:val="24"/>
        </w:rPr>
      </w:pPr>
      <w:r>
        <w:rPr>
          <w:rFonts w:ascii="Times New Roman" w:hAnsi="Times New Roman"/>
        </w:rPr>
        <w:t>Dans le cadre de l’Année européenne des compétences, la Commission adoptera, à l’automne 2023, une proposition de recommandation du Conseil relative à un cadre actualisé concernant la mobilité à des fins d’éducation et de formation couvrant également l’EFP.</w:t>
      </w:r>
    </w:p>
    <w:sectPr w:rsidR="007765CF" w:rsidRPr="007765CF" w:rsidSect="00812321">
      <w:footerReference w:type="even" r:id="rId21"/>
      <w:footerReference w:type="default" r:id="rId22"/>
      <w:footerReference w:type="first" r:id="rId2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543D" w14:textId="77777777" w:rsidR="000873EC" w:rsidRDefault="000873EC">
      <w:r>
        <w:separator/>
      </w:r>
    </w:p>
  </w:endnote>
  <w:endnote w:type="continuationSeparator" w:id="0">
    <w:p w14:paraId="273E68D8" w14:textId="77777777" w:rsidR="000873EC" w:rsidRDefault="0008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5DE1"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519346F2"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8FB9"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44B38B5E"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068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476783B"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36F5" w14:textId="77777777" w:rsidR="000873EC" w:rsidRDefault="000873EC">
      <w:r>
        <w:separator/>
      </w:r>
    </w:p>
  </w:footnote>
  <w:footnote w:type="continuationSeparator" w:id="0">
    <w:p w14:paraId="19AD3E16" w14:textId="77777777" w:rsidR="000873EC" w:rsidRDefault="000873EC">
      <w:r>
        <w:continuationSeparator/>
      </w:r>
    </w:p>
  </w:footnote>
  <w:footnote w:id="1">
    <w:p w14:paraId="54C9AEE8" w14:textId="66BA3ED9" w:rsidR="00D930E6" w:rsidRPr="00E22548" w:rsidRDefault="00D930E6" w:rsidP="00B17D8F">
      <w:pPr>
        <w:pStyle w:val="FootnoteText"/>
        <w:spacing w:after="0"/>
      </w:pPr>
      <w:r>
        <w:rPr>
          <w:rStyle w:val="FootnoteReference"/>
        </w:rPr>
        <w:footnoteRef/>
      </w:r>
      <w:r>
        <w:t xml:space="preserve"> </w:t>
      </w:r>
      <w:r>
        <w:tab/>
      </w:r>
      <w:hyperlink r:id="rId1" w:history="1">
        <w:r>
          <w:rPr>
            <w:rStyle w:val="Hyperlink"/>
            <w:rFonts w:ascii="Times New Roman" w:hAnsi="Times New Roman"/>
          </w:rPr>
          <w:t>https://eur-lex.europa.eu/legal-content/FR/TXT/PDF/?uri=CELEX:32020H1202(01)</w:t>
        </w:r>
      </w:hyperlink>
    </w:p>
  </w:footnote>
  <w:footnote w:id="2">
    <w:p w14:paraId="458E4F06" w14:textId="2D4B3F01" w:rsidR="00185646" w:rsidRPr="00827D36" w:rsidRDefault="00185646" w:rsidP="00B17D8F">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2" w:history="1">
        <w:r>
          <w:rPr>
            <w:rStyle w:val="Hyperlink"/>
            <w:rFonts w:ascii="Times New Roman" w:hAnsi="Times New Roman"/>
          </w:rPr>
          <w:t>https://eur-lex.europa.eu/legal-content/FR/TXT/PDF/?uri=CELEX:32014H0327(01)</w:t>
        </w:r>
      </w:hyperlink>
    </w:p>
  </w:footnote>
  <w:footnote w:id="3">
    <w:p w14:paraId="7F7A7FAE" w14:textId="3ABCC54E" w:rsidR="00185646" w:rsidRPr="00827D36" w:rsidRDefault="00185646" w:rsidP="00E86B84">
      <w:pPr>
        <w:pStyle w:val="FootnoteText"/>
        <w:spacing w:after="0"/>
      </w:pPr>
      <w:r>
        <w:rPr>
          <w:rStyle w:val="FootnoteReference"/>
          <w:rFonts w:ascii="Times New Roman" w:hAnsi="Times New Roman"/>
        </w:rPr>
        <w:footnoteRef/>
      </w:r>
      <w:r>
        <w:rPr>
          <w:rFonts w:ascii="Times New Roman" w:hAnsi="Times New Roman"/>
        </w:rPr>
        <w:t xml:space="preserve"> </w:t>
      </w:r>
      <w:r>
        <w:tab/>
      </w:r>
      <w:hyperlink r:id="rId3" w:history="1">
        <w:r>
          <w:rPr>
            <w:rStyle w:val="Hyperlink"/>
            <w:rFonts w:ascii="Times New Roman" w:hAnsi="Times New Roman"/>
          </w:rPr>
          <w:t>https://ec.europa.eu/social/BlobServlet?docId=26509&amp;langId=en</w:t>
        </w:r>
      </w:hyperlink>
    </w:p>
  </w:footnote>
  <w:footnote w:id="4">
    <w:p w14:paraId="1965D9EB" w14:textId="76EA2729" w:rsidR="004B0D12" w:rsidRPr="00F316F4" w:rsidRDefault="004B0D12" w:rsidP="00F316F4">
      <w:pPr>
        <w:pStyle w:val="FootnoteText"/>
        <w:spacing w:after="0"/>
        <w:rPr>
          <w:rFonts w:ascii="Times New Roman" w:hAnsi="Times New Roman"/>
        </w:rPr>
      </w:pPr>
      <w:r>
        <w:rPr>
          <w:rStyle w:val="Hyperlink"/>
          <w:rFonts w:ascii="Times New Roman" w:hAnsi="Times New Roman"/>
          <w:bCs/>
          <w:lang w:val="fr-BE"/>
        </w:rPr>
        <w:footnoteRef/>
      </w:r>
      <w:r>
        <w:rPr>
          <w:rStyle w:val="Hyperlink"/>
          <w:rFonts w:ascii="Times New Roman" w:hAnsi="Times New Roman"/>
        </w:rPr>
        <w:t xml:space="preserve"> </w:t>
      </w:r>
      <w:r>
        <w:tab/>
      </w:r>
      <w:r>
        <w:rPr>
          <w:rStyle w:val="Hyperlink"/>
          <w:rFonts w:ascii="Times New Roman" w:hAnsi="Times New Roman"/>
        </w:rPr>
        <w:t>Résolution du Parlement européen du 14 juin 2023 contenant des recommandations à la Commission sur des stages de qualité dans l’Union (2020/2005(INL))</w:t>
      </w:r>
    </w:p>
  </w:footnote>
  <w:footnote w:id="5">
    <w:p w14:paraId="07AFEE31" w14:textId="0FED4A55" w:rsidR="00185646" w:rsidRPr="00F316F4" w:rsidRDefault="00185646" w:rsidP="00F316F4">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Style w:val="Hyperlink"/>
          <w:rFonts w:ascii="Times New Roman" w:hAnsi="Times New Roman"/>
        </w:rPr>
        <w:t>https://eur-lex.europa.eu/legal-content/FR/TXT/PDF/?uri=CELEX:32018H0502(01)</w:t>
      </w:r>
    </w:p>
  </w:footnote>
  <w:footnote w:id="6">
    <w:p w14:paraId="464002B8" w14:textId="60DA793C" w:rsidR="009A6516" w:rsidRPr="00F316F4" w:rsidRDefault="009A6516" w:rsidP="00F316F4">
      <w:pPr>
        <w:pStyle w:val="FootnoteText"/>
        <w:spacing w:after="0"/>
        <w:rPr>
          <w:rStyle w:val="Hyperlink"/>
          <w:rFonts w:ascii="Times New Roman" w:hAnsi="Times New Roman"/>
          <w:bCs/>
        </w:rPr>
      </w:pPr>
      <w:r>
        <w:rPr>
          <w:rStyle w:val="FootnoteReference"/>
        </w:rPr>
        <w:footnoteRef/>
      </w:r>
      <w:r>
        <w:t xml:space="preserve"> </w:t>
      </w:r>
      <w:r>
        <w:tab/>
      </w:r>
      <w:hyperlink r:id="rId4" w:history="1">
        <w:r>
          <w:rPr>
            <w:rStyle w:val="Hyperlink"/>
            <w:rFonts w:ascii="Times New Roman" w:hAnsi="Times New Roman"/>
          </w:rPr>
          <w:t>https://eur-lex.europa.eu/legal-content/FR/TXT/PDF/?uri=CELEX:32020H1104(01)</w:t>
        </w:r>
      </w:hyperlink>
    </w:p>
  </w:footnote>
  <w:footnote w:id="7">
    <w:p w14:paraId="179A104F" w14:textId="3869D2B5" w:rsidR="00C24F9B" w:rsidRPr="00F316F4" w:rsidRDefault="00C24F9B" w:rsidP="00F316F4">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Style w:val="Hyperlink"/>
          <w:rFonts w:ascii="Times New Roman" w:hAnsi="Times New Roman"/>
        </w:rPr>
        <w:t>https://eur-lex.europa.eu/legal-content/FR/TXT/PDF/?uri=CELEX:32023D0936</w:t>
      </w:r>
    </w:p>
  </w:footnote>
  <w:footnote w:id="8">
    <w:p w14:paraId="19C1C958" w14:textId="247F84D2" w:rsidR="00B7245C" w:rsidRPr="00F316F4" w:rsidRDefault="00B7245C" w:rsidP="00F316F4">
      <w:pPr>
        <w:pStyle w:val="FootnoteText"/>
        <w:spacing w:after="0"/>
        <w:rPr>
          <w:rStyle w:val="Hyperlink"/>
          <w:rFonts w:ascii="Times New Roman" w:hAnsi="Times New Roman"/>
          <w:bCs/>
        </w:rPr>
      </w:pPr>
      <w:r>
        <w:rPr>
          <w:rStyle w:val="FootnoteReference"/>
        </w:rPr>
        <w:footnoteRef/>
      </w:r>
      <w:r>
        <w:rPr>
          <w:rStyle w:val="FootnoteReference"/>
        </w:rPr>
        <w:t xml:space="preserve"> </w:t>
      </w:r>
      <w:r>
        <w:tab/>
      </w:r>
      <w:r>
        <w:rPr>
          <w:rStyle w:val="Hyperlink"/>
          <w:rFonts w:ascii="Times New Roman" w:hAnsi="Times New Roman"/>
        </w:rPr>
        <w:t>https://eur-lex.europa.eu/legal-content/FR/TXT/PDF/?uri=CELEX:32022H1209(01)</w:t>
      </w:r>
    </w:p>
  </w:footnote>
  <w:footnote w:id="9">
    <w:p w14:paraId="6BA7C6D3" w14:textId="55A9709C" w:rsidR="00272158" w:rsidRPr="00F316F4" w:rsidRDefault="00272158" w:rsidP="00F316F4">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Style w:val="Hyperlink"/>
          <w:rFonts w:ascii="Times New Roman" w:hAnsi="Times New Roman"/>
        </w:rPr>
        <w:t>https://eur-lex.europa.eu/legal-content/FR/TXT/PDF/?uri=CELEX:32021H0319(01)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428"/>
    <w:multiLevelType w:val="hybridMultilevel"/>
    <w:tmpl w:val="3CF28646"/>
    <w:lvl w:ilvl="0" w:tplc="D6ECC19E">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FD6FDF"/>
    <w:multiLevelType w:val="hybridMultilevel"/>
    <w:tmpl w:val="F60CEE4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1"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6"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70D06"/>
    <w:multiLevelType w:val="hybridMultilevel"/>
    <w:tmpl w:val="A5BEF10A"/>
    <w:lvl w:ilvl="0" w:tplc="D6ECC19E">
      <w:numFmt w:val="bullet"/>
      <w:lvlText w:val="•"/>
      <w:lvlJc w:val="left"/>
      <w:pPr>
        <w:ind w:left="1494" w:hanging="360"/>
      </w:pPr>
      <w:rPr>
        <w:rFonts w:ascii="Times New Roman" w:eastAsia="Times New Roman" w:hAnsi="Times New Roman" w:cs="Times New Roman"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8"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2" w15:restartNumberingAfterBreak="0">
    <w:nsid w:val="71A058A5"/>
    <w:multiLevelType w:val="hybridMultilevel"/>
    <w:tmpl w:val="D47C307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3"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46943192">
    <w:abstractNumId w:val="8"/>
  </w:num>
  <w:num w:numId="2" w16cid:durableId="1199514503">
    <w:abstractNumId w:val="2"/>
  </w:num>
  <w:num w:numId="3" w16cid:durableId="1160583476">
    <w:abstractNumId w:val="36"/>
  </w:num>
  <w:num w:numId="4" w16cid:durableId="91248832">
    <w:abstractNumId w:val="15"/>
  </w:num>
  <w:num w:numId="5" w16cid:durableId="1071081301">
    <w:abstractNumId w:val="31"/>
  </w:num>
  <w:num w:numId="6" w16cid:durableId="2069112723">
    <w:abstractNumId w:val="12"/>
  </w:num>
  <w:num w:numId="7" w16cid:durableId="1878276804">
    <w:abstractNumId w:val="7"/>
  </w:num>
  <w:num w:numId="8" w16cid:durableId="1921941356">
    <w:abstractNumId w:val="17"/>
  </w:num>
  <w:num w:numId="9" w16cid:durableId="1184515344">
    <w:abstractNumId w:val="35"/>
  </w:num>
  <w:num w:numId="10" w16cid:durableId="255409678">
    <w:abstractNumId w:val="25"/>
  </w:num>
  <w:num w:numId="11" w16cid:durableId="372534718">
    <w:abstractNumId w:val="28"/>
  </w:num>
  <w:num w:numId="12" w16cid:durableId="692459678">
    <w:abstractNumId w:val="14"/>
  </w:num>
  <w:num w:numId="13" w16cid:durableId="2090039406">
    <w:abstractNumId w:val="18"/>
  </w:num>
  <w:num w:numId="14" w16cid:durableId="731196543">
    <w:abstractNumId w:val="33"/>
  </w:num>
  <w:num w:numId="15" w16cid:durableId="1970822590">
    <w:abstractNumId w:val="16"/>
  </w:num>
  <w:num w:numId="16" w16cid:durableId="1086880895">
    <w:abstractNumId w:val="39"/>
  </w:num>
  <w:num w:numId="17" w16cid:durableId="403916692">
    <w:abstractNumId w:val="34"/>
  </w:num>
  <w:num w:numId="18" w16cid:durableId="921793024">
    <w:abstractNumId w:val="23"/>
  </w:num>
  <w:num w:numId="19" w16cid:durableId="1080567361">
    <w:abstractNumId w:val="24"/>
  </w:num>
  <w:num w:numId="20" w16cid:durableId="813066500">
    <w:abstractNumId w:val="30"/>
  </w:num>
  <w:num w:numId="21" w16cid:durableId="640232770">
    <w:abstractNumId w:val="4"/>
  </w:num>
  <w:num w:numId="22" w16cid:durableId="1897155501">
    <w:abstractNumId w:val="5"/>
  </w:num>
  <w:num w:numId="23" w16cid:durableId="113718987">
    <w:abstractNumId w:val="6"/>
  </w:num>
  <w:num w:numId="24" w16cid:durableId="621764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79111">
    <w:abstractNumId w:val="37"/>
  </w:num>
  <w:num w:numId="26" w16cid:durableId="217281330">
    <w:abstractNumId w:val="26"/>
  </w:num>
  <w:num w:numId="27" w16cid:durableId="1486584056">
    <w:abstractNumId w:val="19"/>
  </w:num>
  <w:num w:numId="28" w16cid:durableId="1877740548">
    <w:abstractNumId w:val="38"/>
  </w:num>
  <w:num w:numId="29" w16cid:durableId="828910655">
    <w:abstractNumId w:val="3"/>
  </w:num>
  <w:num w:numId="30" w16cid:durableId="1544635311">
    <w:abstractNumId w:val="22"/>
  </w:num>
  <w:num w:numId="31" w16cid:durableId="1297494456">
    <w:abstractNumId w:val="21"/>
  </w:num>
  <w:num w:numId="32" w16cid:durableId="1441296188">
    <w:abstractNumId w:val="10"/>
  </w:num>
  <w:num w:numId="33" w16cid:durableId="1066337674">
    <w:abstractNumId w:val="13"/>
  </w:num>
  <w:num w:numId="34" w16cid:durableId="874929681">
    <w:abstractNumId w:val="20"/>
  </w:num>
  <w:num w:numId="35" w16cid:durableId="1445343834">
    <w:abstractNumId w:val="32"/>
  </w:num>
  <w:num w:numId="36" w16cid:durableId="1930891397">
    <w:abstractNumId w:val="0"/>
  </w:num>
  <w:num w:numId="37" w16cid:durableId="347219071">
    <w:abstractNumId w:val="27"/>
  </w:num>
  <w:num w:numId="38" w16cid:durableId="174020845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B9A"/>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C26"/>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BB2"/>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1F0"/>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3EC"/>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61"/>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4EC"/>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85"/>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D04"/>
    <w:rsid w:val="000E6FA8"/>
    <w:rsid w:val="000E702D"/>
    <w:rsid w:val="000E719A"/>
    <w:rsid w:val="000E72A8"/>
    <w:rsid w:val="000E7303"/>
    <w:rsid w:val="000E75D1"/>
    <w:rsid w:val="000E7C38"/>
    <w:rsid w:val="000E7FD0"/>
    <w:rsid w:val="000F0118"/>
    <w:rsid w:val="000F023F"/>
    <w:rsid w:val="000F0582"/>
    <w:rsid w:val="000F0603"/>
    <w:rsid w:val="000F065A"/>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3BF"/>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9A7"/>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501"/>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6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31"/>
    <w:rsid w:val="002178CA"/>
    <w:rsid w:val="00217919"/>
    <w:rsid w:val="002179F6"/>
    <w:rsid w:val="00217D07"/>
    <w:rsid w:val="00217E30"/>
    <w:rsid w:val="00217E33"/>
    <w:rsid w:val="00217E48"/>
    <w:rsid w:val="002205A9"/>
    <w:rsid w:val="00220EC6"/>
    <w:rsid w:val="002210AF"/>
    <w:rsid w:val="002212B8"/>
    <w:rsid w:val="002216B1"/>
    <w:rsid w:val="002216EE"/>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158"/>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829"/>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657"/>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287"/>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60"/>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3A6"/>
    <w:rsid w:val="00421840"/>
    <w:rsid w:val="00421975"/>
    <w:rsid w:val="00421BB3"/>
    <w:rsid w:val="00421F35"/>
    <w:rsid w:val="0042208B"/>
    <w:rsid w:val="00422404"/>
    <w:rsid w:val="004229AD"/>
    <w:rsid w:val="00422C05"/>
    <w:rsid w:val="0042304A"/>
    <w:rsid w:val="004232DA"/>
    <w:rsid w:val="00423366"/>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0D64"/>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04"/>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D12"/>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2E0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88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281"/>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B0A"/>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8E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38"/>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2BB"/>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6E1A"/>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6E"/>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30"/>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5F84"/>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5E39"/>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3F65"/>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56D8"/>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3D21"/>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D1"/>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6F26"/>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CC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4DA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5CF"/>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0C9B"/>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A8C"/>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1DA"/>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D36"/>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ABB"/>
    <w:rsid w:val="00873CDB"/>
    <w:rsid w:val="00873E43"/>
    <w:rsid w:val="00874609"/>
    <w:rsid w:val="0087490F"/>
    <w:rsid w:val="00874991"/>
    <w:rsid w:val="00874AD4"/>
    <w:rsid w:val="00874B51"/>
    <w:rsid w:val="00874DD4"/>
    <w:rsid w:val="00874E18"/>
    <w:rsid w:val="008751E6"/>
    <w:rsid w:val="0087531F"/>
    <w:rsid w:val="008759D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8C6"/>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CA3"/>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5EA9"/>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AA2"/>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0FBC"/>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516"/>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2EC"/>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324"/>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7B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153"/>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1B0"/>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105"/>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0E"/>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5AB"/>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3A03"/>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D8F"/>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BFF"/>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45C"/>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68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4F9B"/>
    <w:rsid w:val="00C25159"/>
    <w:rsid w:val="00C253E2"/>
    <w:rsid w:val="00C25D5F"/>
    <w:rsid w:val="00C26040"/>
    <w:rsid w:val="00C264EB"/>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5E9"/>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DB"/>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A"/>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6FDD"/>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32"/>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ED8"/>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6E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B18"/>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2FE0"/>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0E6"/>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A1B"/>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281"/>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548"/>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7F3"/>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B84"/>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C7"/>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BF8"/>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981"/>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2"/>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6F4"/>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7C7"/>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232"/>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0D5EF"/>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5CF"/>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styleId="UnresolvedMention">
    <w:name w:val="Unresolved Mention"/>
    <w:uiPriority w:val="99"/>
    <w:semiHidden/>
    <w:unhideWhenUsed/>
    <w:rsid w:val="0062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8272">
      <w:bodyDiv w:val="1"/>
      <w:marLeft w:val="0"/>
      <w:marRight w:val="0"/>
      <w:marTop w:val="0"/>
      <w:marBottom w:val="0"/>
      <w:divBdr>
        <w:top w:val="none" w:sz="0" w:space="0" w:color="auto"/>
        <w:left w:val="none" w:sz="0" w:space="0" w:color="auto"/>
        <w:bottom w:val="none" w:sz="0" w:space="0" w:color="auto"/>
        <w:right w:val="none" w:sz="0" w:space="0" w:color="auto"/>
      </w:divBdr>
    </w:div>
    <w:div w:id="204756878">
      <w:bodyDiv w:val="1"/>
      <w:marLeft w:val="0"/>
      <w:marRight w:val="0"/>
      <w:marTop w:val="0"/>
      <w:marBottom w:val="0"/>
      <w:divBdr>
        <w:top w:val="none" w:sz="0" w:space="0" w:color="auto"/>
        <w:left w:val="none" w:sz="0" w:space="0" w:color="auto"/>
        <w:bottom w:val="none" w:sz="0" w:space="0" w:color="auto"/>
        <w:right w:val="none" w:sz="0" w:space="0" w:color="auto"/>
      </w:divBdr>
    </w:div>
    <w:div w:id="405691250">
      <w:bodyDiv w:val="1"/>
      <w:marLeft w:val="0"/>
      <w:marRight w:val="0"/>
      <w:marTop w:val="0"/>
      <w:marBottom w:val="0"/>
      <w:divBdr>
        <w:top w:val="none" w:sz="0" w:space="0" w:color="auto"/>
        <w:left w:val="none" w:sz="0" w:space="0" w:color="auto"/>
        <w:bottom w:val="none" w:sz="0" w:space="0" w:color="auto"/>
        <w:right w:val="none" w:sz="0" w:space="0" w:color="auto"/>
      </w:divBdr>
    </w:div>
    <w:div w:id="479424631">
      <w:bodyDiv w:val="1"/>
      <w:marLeft w:val="0"/>
      <w:marRight w:val="0"/>
      <w:marTop w:val="0"/>
      <w:marBottom w:val="0"/>
      <w:divBdr>
        <w:top w:val="none" w:sz="0" w:space="0" w:color="auto"/>
        <w:left w:val="none" w:sz="0" w:space="0" w:color="auto"/>
        <w:bottom w:val="none" w:sz="0" w:space="0" w:color="auto"/>
        <w:right w:val="none" w:sz="0" w:space="0" w:color="auto"/>
      </w:divBdr>
    </w:div>
    <w:div w:id="869148455">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347516864">
      <w:bodyDiv w:val="1"/>
      <w:marLeft w:val="0"/>
      <w:marRight w:val="0"/>
      <w:marTop w:val="0"/>
      <w:marBottom w:val="0"/>
      <w:divBdr>
        <w:top w:val="none" w:sz="0" w:space="0" w:color="auto"/>
        <w:left w:val="none" w:sz="0" w:space="0" w:color="auto"/>
        <w:bottom w:val="none" w:sz="0" w:space="0" w:color="auto"/>
        <w:right w:val="none" w:sz="0" w:space="0" w:color="auto"/>
      </w:divBdr>
    </w:div>
    <w:div w:id="1587763488">
      <w:bodyDiv w:val="1"/>
      <w:marLeft w:val="0"/>
      <w:marRight w:val="0"/>
      <w:marTop w:val="0"/>
      <w:marBottom w:val="0"/>
      <w:divBdr>
        <w:top w:val="none" w:sz="0" w:space="0" w:color="auto"/>
        <w:left w:val="none" w:sz="0" w:space="0" w:color="auto"/>
        <w:bottom w:val="none" w:sz="0" w:space="0" w:color="auto"/>
        <w:right w:val="none" w:sz="0" w:space="0" w:color="auto"/>
      </w:divBdr>
    </w:div>
    <w:div w:id="1681816366">
      <w:bodyDiv w:val="1"/>
      <w:marLeft w:val="0"/>
      <w:marRight w:val="0"/>
      <w:marTop w:val="0"/>
      <w:marBottom w:val="0"/>
      <w:divBdr>
        <w:top w:val="none" w:sz="0" w:space="0" w:color="auto"/>
        <w:left w:val="none" w:sz="0" w:space="0" w:color="auto"/>
        <w:bottom w:val="none" w:sz="0" w:space="0" w:color="auto"/>
        <w:right w:val="none" w:sz="0" w:space="0" w:color="auto"/>
      </w:divBdr>
    </w:div>
    <w:div w:id="1975332988">
      <w:bodyDiv w:val="1"/>
      <w:marLeft w:val="0"/>
      <w:marRight w:val="0"/>
      <w:marTop w:val="0"/>
      <w:marBottom w:val="0"/>
      <w:divBdr>
        <w:top w:val="none" w:sz="0" w:space="0" w:color="auto"/>
        <w:left w:val="none" w:sz="0" w:space="0" w:color="auto"/>
        <w:bottom w:val="none" w:sz="0" w:space="0" w:color="auto"/>
        <w:right w:val="none" w:sz="0" w:space="0" w:color="auto"/>
      </w:divBdr>
    </w:div>
    <w:div w:id="20526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co.ec.europa.eu/fr/classification/skill_main" TargetMode="External"/><Relationship Id="rId18" Type="http://schemas.openxmlformats.org/officeDocument/2006/relationships/hyperlink" Target="https://eur-lex.europa.eu/legal-content/FR/TXT/PDF/?uri=CELEX:52023DC006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ur-lex.europa.eu/legal-content/FR/TXT/PDF/?uri=CELEX:32018H0604(01)" TargetMode="External"/><Relationship Id="rId17" Type="http://schemas.openxmlformats.org/officeDocument/2006/relationships/hyperlink" Target="https://www.cedefop.europa.eu/en/publications/309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FR/TXT/?uri=celex%3A32012H1222%2801%29" TargetMode="External"/><Relationship Id="rId20" Type="http://schemas.openxmlformats.org/officeDocument/2006/relationships/hyperlink" Target="https://ec.europa.eu/social/main.jsp?langId=en&amp;catId=89&amp;furtherNews=yes&amp;newsId=1055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ansvalproject.eu/wp-content/uploads/2022/02/D2.3-Transversal-Competence-Framework_FR.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ur-lex.europa.eu/legal-content/FR/TXT/PDF/?uri=CELEX:52022DC04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valproject.eu/f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BlobServlet?docId=26509&amp;langId=en" TargetMode="External"/><Relationship Id="rId2" Type="http://schemas.openxmlformats.org/officeDocument/2006/relationships/hyperlink" Target="https://eur-lex.europa.eu/legal-content/FR/TXT/PDF/?uri=CELEX:32014H0327(01)" TargetMode="External"/><Relationship Id="rId1" Type="http://schemas.openxmlformats.org/officeDocument/2006/relationships/hyperlink" Target="https://eur-lex.europa.eu/legal-content/FR/TXT/PDF/?uri=CELEX:32020H1202(01)" TargetMode="External"/><Relationship Id="rId4" Type="http://schemas.openxmlformats.org/officeDocument/2006/relationships/hyperlink" Target="https://eur-lex.europa.eu/legal-content/FR/TXT/PDF/?uri=CELEX:32020H1104(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Id xmlns="0b55029b-5b16-416b-99bf-3f3b6110a335">646014</DocumentId>
    <LeadDG xmlns="0b55029b-5b16-416b-99bf-3f3b6110a335">EMPL</LeadDG>
    <DocumentTitle xmlns="0b55029b-5b16-416b-99bf-3f3b6110a335">Fostering and adapting vocational training as a tool for employees' success and a building block for the EU economy</DocumentTitle>
    <_Status xmlns="http://schemas.microsoft.com/sharepoint/v3/fields">Not Started</_Status>
    <EC_Collab_DocumentLanguage xmlns="0b55029b-5b16-416b-99bf-3f3b6110a335">EN</EC_Collab_DocumentLanguage>
    <FileTitle xmlns="0b55029b-5b16-416b-99bf-3f3b6110a335">Fostering and adapting vocational training as a tool for employees' success and a building block for the EU economy</FileTitle>
    <AuthorName xmlns="0b55029b-5b16-416b-99bf-3f3b6110a335">BOIS D'ENGHIEN Koen (EMPL/B/3)</AuthorName>
    <RequestID xmlns="0b55029b-5b16-416b-99bf-3f3b6110a335">EMPL/2349</RequestID>
    <EC_Collab_Status xmlns="0b55029b-5b16-416b-99bf-3f3b6110a335">Not Started</EC_Collab_Status>
    <EC_Collab_Reference xmlns="0b55029b-5b16-416b-99bf-3f3b6110a335" xsi:nil="true"/>
    <FileType xmlns="0b55029b-5b16-416b-99bf-3f3b6110a335">Briefing</FileType>
    <AuthorId xmlns="0b55029b-5b16-416b-99bf-3f3b6110a335">33047</AuthorId>
    <FileId xmlns="0b55029b-5b16-416b-99bf-3f3b6110a335">1308954</File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 Document</p:Name>
  <p:Description/>
  <p:Statement/>
  <p:PolicyItems>
    <p:PolicyItem featureId="Microsoft.Office.RecordsManagement.PolicyFeatures.PolicyAudit" staticId="0x010100258AA79CEB83498886A3A08681123250007CE4EE98B097364BA1CE10C743F55FCB|937198175" UniqueId="3d7ed18d-c2b3-4b3a-94ca-aba3ee56beb7">
      <p:Name>Auditing</p:Name>
      <p:Description>Audits user actions on documents and list items to the Audit Log.</p:Description>
      <p:CustomData>
        <Audit>
          <View/>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7CE4EE98B097364BA1CE10C743F55FCB" ma:contentTypeVersion="16" ma:contentTypeDescription="Create a new document in this library." ma:contentTypeScope="" ma:versionID="639d4678511f5fcff9e9a87fb2b52ef7">
  <xsd:schema xmlns:xsd="http://www.w3.org/2001/XMLSchema" xmlns:xs="http://www.w3.org/2001/XMLSchema" xmlns:p="http://schemas.microsoft.com/office/2006/metadata/properties" xmlns:ns1="http://schemas.microsoft.com/sharepoint/v3" xmlns:ns2="http://schemas.microsoft.com/sharepoint/v3/fields" xmlns:ns3="0b55029b-5b16-416b-99bf-3f3b6110a335" xmlns:ns4="65bc8209-69a8-4ab3-a137-482f5403cf31" targetNamespace="http://schemas.microsoft.com/office/2006/metadata/properties" ma:root="true" ma:fieldsID="bf44ba5b4b4b662b901c858f79a266c1" ns1:_="" ns2:_="" ns3:_="" ns4:_="">
    <xsd:import namespace="http://schemas.microsoft.com/sharepoint/v3"/>
    <xsd:import namespace="http://schemas.microsoft.com/sharepoint/v3/fields"/>
    <xsd:import namespace="0b55029b-5b16-416b-99bf-3f3b6110a335"/>
    <xsd:import namespace="65bc8209-69a8-4ab3-a137-482f5403cf31"/>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AuthorId" minOccurs="0"/>
                <xsd:element ref="ns3:AuthorName" minOccurs="0"/>
                <xsd:element ref="ns3:DocumentId" minOccurs="0"/>
                <xsd:element ref="ns3:DocumentTitle" minOccurs="0"/>
                <xsd:element ref="ns3:FileId" minOccurs="0"/>
                <xsd:element ref="ns3:FileTitle" minOccurs="0"/>
                <xsd:element ref="ns3:FileType" minOccurs="0"/>
                <xsd:element ref="ns3:LeadDG" minOccurs="0"/>
                <xsd:element ref="ns3:RequestID" minOccurs="0"/>
                <xsd:element ref="ns1:_dlc_Exemp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b55029b-5b16-416b-99bf-3f3b6110a3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uthorId" ma:index="16" nillable="true" ma:displayName="AuthorId" ma:internalName="AuthorId">
      <xsd:simpleType>
        <xsd:restriction base="dms:Number"/>
      </xsd:simpleType>
    </xsd:element>
    <xsd:element name="AuthorName" ma:index="17" nillable="true" ma:displayName="AuthorName" ma:internalName="AuthorName">
      <xsd:simpleType>
        <xsd:restriction base="dms:Text">
          <xsd:maxLength value="255"/>
        </xsd:restriction>
      </xsd:simpleType>
    </xsd:element>
    <xsd:element name="DocumentId" ma:index="18" nillable="true" ma:displayName="DocumentId" ma:internalName="DocumentId">
      <xsd:simpleType>
        <xsd:restriction base="dms:Text">
          <xsd:maxLength value="255"/>
        </xsd:restriction>
      </xsd:simpleType>
    </xsd:element>
    <xsd:element name="DocumentTitle" ma:index="19" nillable="true" ma:displayName="DocumentTitle" ma:internalName="DocumentTitle">
      <xsd:simpleType>
        <xsd:restriction base="dms:Text">
          <xsd:maxLength value="255"/>
        </xsd:restriction>
      </xsd:simpleType>
    </xsd:element>
    <xsd:element name="FileId" ma:index="20" nillable="true" ma:displayName="FileId" ma:internalName="FileId">
      <xsd:simpleType>
        <xsd:restriction base="dms:Text">
          <xsd:maxLength value="255"/>
        </xsd:restriction>
      </xsd:simpleType>
    </xsd:element>
    <xsd:element name="FileTitle" ma:index="21" nillable="true" ma:displayName="FileTitle" ma:internalName="FileTitle">
      <xsd:simpleType>
        <xsd:restriction base="dms:Text">
          <xsd:maxLength value="255"/>
        </xsd:restriction>
      </xsd:simpleType>
    </xsd:element>
    <xsd:element name="FileType" ma:index="22" nillable="true" ma:displayName="FileType" ma:internalName="FileType">
      <xsd:simpleType>
        <xsd:restriction base="dms:Text">
          <xsd:maxLength value="255"/>
        </xsd:restriction>
      </xsd:simpleType>
    </xsd:element>
    <xsd:element name="LeadDG" ma:index="23" nillable="true" ma:displayName="LeadDG" ma:internalName="LeadDG">
      <xsd:simpleType>
        <xsd:restriction base="dms:Text">
          <xsd:maxLength value="255"/>
        </xsd:restriction>
      </xsd:simpleType>
    </xsd:element>
    <xsd:element name="RequestID" ma:index="24" nillable="true" ma:displayName="RequestID" ma:internalName="Reque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bc8209-69a8-4ab3-a137-482f5403cf31"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F1B87-E824-4645-BECB-CD72BE8BD26D}">
  <ds:schemaRefs>
    <ds:schemaRef ds:uri="http://schemas.microsoft.com/office/2006/metadata/properties"/>
    <ds:schemaRef ds:uri="http://schemas.microsoft.com/office/infopath/2007/PartnerControls"/>
    <ds:schemaRef ds:uri="0b55029b-5b16-416b-99bf-3f3b6110a335"/>
    <ds:schemaRef ds:uri="http://schemas.microsoft.com/sharepoint/v3/fields"/>
  </ds:schemaRefs>
</ds:datastoreItem>
</file>

<file path=customXml/itemProps2.xml><?xml version="1.0" encoding="utf-8"?>
<ds:datastoreItem xmlns:ds="http://schemas.openxmlformats.org/officeDocument/2006/customXml" ds:itemID="{916D4D27-BCE6-436C-9004-B27DF013081E}">
  <ds:schemaRefs>
    <ds:schemaRef ds:uri="http://schemas.openxmlformats.org/officeDocument/2006/bibliography"/>
  </ds:schemaRefs>
</ds:datastoreItem>
</file>

<file path=customXml/itemProps3.xml><?xml version="1.0" encoding="utf-8"?>
<ds:datastoreItem xmlns:ds="http://schemas.openxmlformats.org/officeDocument/2006/customXml" ds:itemID="{EFD4D87C-250B-4563-AC2B-B3A4D3B9B8DB}">
  <ds:schemaRefs>
    <ds:schemaRef ds:uri="http://schemas.microsoft.com/sharepoint/v3/contenttype/forms"/>
  </ds:schemaRefs>
</ds:datastoreItem>
</file>

<file path=customXml/itemProps4.xml><?xml version="1.0" encoding="utf-8"?>
<ds:datastoreItem xmlns:ds="http://schemas.openxmlformats.org/officeDocument/2006/customXml" ds:itemID="{831A2F96-F07E-4C23-BE82-9ABCAAFEF4CA}">
  <ds:schemaRefs>
    <ds:schemaRef ds:uri="office.server.policy"/>
  </ds:schemaRefs>
</ds:datastoreItem>
</file>

<file path=customXml/itemProps5.xml><?xml version="1.0" encoding="utf-8"?>
<ds:datastoreItem xmlns:ds="http://schemas.openxmlformats.org/officeDocument/2006/customXml" ds:itemID="{67D7959B-CA05-40C4-B5C8-E27FE6A3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0b55029b-5b16-416b-99bf-3f3b6110a335"/>
    <ds:schemaRef ds:uri="65bc8209-69a8-4ab3-a137-482f5403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6</Pages>
  <Words>3220</Words>
  <Characters>18163</Characters>
  <Application>Microsoft Office Word</Application>
  <DocSecurity>0</DocSecurity>
  <PresentationFormat>Microsoft Word 8.0b</PresentationFormat>
  <Lines>267</Lines>
  <Paragraphs>52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21331</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2023-08-17T09:02:00Z</cp:lastPrinted>
  <dcterms:created xsi:type="dcterms:W3CDTF">2023-10-18T09:38:00Z</dcterms:created>
  <dcterms:modified xsi:type="dcterms:W3CDTF">2023-10-18T09:38:00Z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2023-08-17T09:02:49Z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89349f52-65a4-42c8-9055-a1b8a0500126</vt:lpwstr>
  </property>
  <property fmtid="{D5CDD505-2E9C-101B-9397-08002B2CF9AE}" pid="19" name="MSIP_Label_6bd9ddd1-4d20-43f6-abfa-fc3c07406f94_ContentBits">
    <vt:lpwstr>0</vt:lpwstr>
  </property>
  <property fmtid="{D5CDD505-2E9C-101B-9397-08002B2CF9AE}" pid="20" name="ContentTypeId">
    <vt:lpwstr>0x010100258AA79CEB83498886A3A08681123250007CE4EE98B097364BA1CE10C743F55FCB</vt:lpwstr>
  </property>
</Properties>
</file>