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9E36" w14:textId="046BEF1E" w:rsidR="003720DA" w:rsidRPr="000E3AFE" w:rsidRDefault="003720DA" w:rsidP="00BE1051">
      <w:pPr>
        <w:spacing w:after="600"/>
        <w:jc w:val="center"/>
        <w:rPr>
          <w:b/>
          <w:bCs/>
        </w:rPr>
      </w:pPr>
      <w:r>
        <w:rPr>
          <w:b/>
          <w:bCs/>
        </w:rPr>
        <w:t>Suite donnée à la résolution non législative du Parlement européen sur le projet de décision d’exécution de la Commission renouvelant l’autorisation de mise sur le marché de produits contenant du soja génétiquement modifié A5547-127, consistant en ce soja ou produits à partir de celui-ci, en application du règlement (CE) n° 1829/2003 du Parlement européen et du Conseil</w:t>
      </w:r>
    </w:p>
    <w:p w14:paraId="01F375C1" w14:textId="58C67823" w:rsidR="003720DA" w:rsidRPr="000E3AFE" w:rsidRDefault="003720DA" w:rsidP="00BE1051">
      <w:pPr>
        <w:spacing w:after="240"/>
        <w:ind w:left="720" w:hanging="720"/>
      </w:pPr>
      <w:r>
        <w:rPr>
          <w:b/>
        </w:rPr>
        <w:t>1.</w:t>
      </w:r>
      <w:r>
        <w:tab/>
      </w:r>
      <w:r>
        <w:rPr>
          <w:b/>
        </w:rPr>
        <w:t>Résolution présentée conformément à l’article 112, paragraphes 2 et 3, du règlement intérieur du Parlement européen</w:t>
      </w:r>
    </w:p>
    <w:p w14:paraId="50FBAF5B" w14:textId="3950A3FC" w:rsidR="003720DA" w:rsidRPr="000E3AFE" w:rsidRDefault="003720DA" w:rsidP="00BE1051">
      <w:pPr>
        <w:spacing w:after="240"/>
        <w:ind w:left="720" w:hanging="720"/>
      </w:pPr>
      <w:r>
        <w:rPr>
          <w:b/>
        </w:rPr>
        <w:t>2.</w:t>
      </w:r>
      <w:r>
        <w:tab/>
      </w:r>
      <w:r>
        <w:rPr>
          <w:b/>
        </w:rPr>
        <w:t xml:space="preserve">Numéros de </w:t>
      </w:r>
      <w:proofErr w:type="gramStart"/>
      <w:r>
        <w:rPr>
          <w:b/>
        </w:rPr>
        <w:t>référence:</w:t>
      </w:r>
      <w:proofErr w:type="gramEnd"/>
      <w:r>
        <w:t xml:space="preserve"> 2022/2930 (RSP) / B9-0548/2022 / P9_TA(2022)0433</w:t>
      </w:r>
    </w:p>
    <w:p w14:paraId="2CFE0CEA" w14:textId="755D53D9" w:rsidR="003720DA" w:rsidRPr="000E3AFE" w:rsidRDefault="003720DA" w:rsidP="00BE1051">
      <w:pPr>
        <w:spacing w:after="240"/>
        <w:ind w:left="720" w:hanging="720"/>
      </w:pPr>
      <w:r>
        <w:rPr>
          <w:b/>
        </w:rPr>
        <w:t>3.</w:t>
      </w:r>
      <w:r>
        <w:tab/>
      </w:r>
      <w:r>
        <w:rPr>
          <w:b/>
        </w:rPr>
        <w:t xml:space="preserve">Date d’adoption de la </w:t>
      </w:r>
      <w:proofErr w:type="gramStart"/>
      <w:r>
        <w:rPr>
          <w:b/>
        </w:rPr>
        <w:t>résolution:</w:t>
      </w:r>
      <w:proofErr w:type="gramEnd"/>
      <w:r>
        <w:t xml:space="preserve"> 13 décembre 2022</w:t>
      </w:r>
    </w:p>
    <w:p w14:paraId="2A9EBE3F" w14:textId="3D44185C" w:rsidR="003720DA" w:rsidRPr="000E3AFE" w:rsidRDefault="003720DA" w:rsidP="003720DA">
      <w:pPr>
        <w:ind w:left="720" w:hanging="720"/>
      </w:pPr>
      <w:r>
        <w:rPr>
          <w:b/>
        </w:rPr>
        <w:t>4.</w:t>
      </w:r>
      <w:r>
        <w:tab/>
      </w:r>
      <w:r>
        <w:rPr>
          <w:b/>
        </w:rPr>
        <w:t xml:space="preserve">Commission parlementaire </w:t>
      </w:r>
      <w:proofErr w:type="gramStart"/>
      <w:r>
        <w:rPr>
          <w:b/>
        </w:rPr>
        <w:t>compétente:</w:t>
      </w:r>
      <w:proofErr w:type="gramEnd"/>
      <w:r>
        <w:t xml:space="preserve"> commission de l’environnement, de la santé publique et de la sécurité alimentaire (ENVI)</w:t>
      </w:r>
    </w:p>
    <w:p w14:paraId="78674EE5" w14:textId="030FBE3B" w:rsidR="003720DA" w:rsidRPr="000E3AFE" w:rsidRDefault="003720DA" w:rsidP="00BE1051">
      <w:pPr>
        <w:spacing w:after="240"/>
        <w:ind w:left="720" w:hanging="720"/>
        <w:rPr>
          <w:b/>
          <w:bCs/>
        </w:rPr>
      </w:pPr>
      <w:r>
        <w:rPr>
          <w:b/>
        </w:rPr>
        <w:t>5.</w:t>
      </w:r>
      <w:r>
        <w:tab/>
      </w:r>
      <w:r>
        <w:rPr>
          <w:b/>
        </w:rPr>
        <w:t>Analyse/évaluation succincte de la résolution et des demandes qu’elle contient</w:t>
      </w:r>
    </w:p>
    <w:p w14:paraId="4E1976CF" w14:textId="01392186" w:rsidR="00F97CB7" w:rsidRPr="000E3AFE" w:rsidRDefault="00F97CB7" w:rsidP="00BE1051">
      <w:pPr>
        <w:spacing w:after="120" w:line="240" w:lineRule="auto"/>
      </w:pPr>
      <w:r>
        <w:t>Dans sa résolution, le Parlement européen demande le retrait du projet de décision d’exécution de la Commission (</w:t>
      </w:r>
      <w:r>
        <w:rPr>
          <w:b/>
          <w:bCs/>
        </w:rPr>
        <w:t>paragraphe 3</w:t>
      </w:r>
      <w:r>
        <w:t>), aux motifs que ce projet excède les compétences d’exécution prévues dans le règlement (CE) nº 1829/2003 (</w:t>
      </w:r>
      <w:r>
        <w:rPr>
          <w:b/>
          <w:bCs/>
        </w:rPr>
        <w:t>paragraphe 1</w:t>
      </w:r>
      <w:r>
        <w:t>)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b/>
          <w:bCs/>
        </w:rPr>
        <w:t>paragraphe 2</w:t>
      </w:r>
      <w:r>
        <w:t>).</w:t>
      </w:r>
    </w:p>
    <w:p w14:paraId="0ECB83AC" w14:textId="154DE7EF" w:rsidR="003720DA" w:rsidRPr="000E3AFE" w:rsidRDefault="006C39A0" w:rsidP="00BE1051">
      <w:pPr>
        <w:spacing w:after="120" w:line="240" w:lineRule="auto"/>
      </w:pPr>
      <w:r>
        <w:t>Dans sa résolution, le Parlement rappelle que le soja génétiquement modifié (GM) est tolérant aux herbicides contenant du glufosinate d’ammonium (</w:t>
      </w:r>
      <w:r>
        <w:rPr>
          <w:b/>
          <w:bCs/>
        </w:rPr>
        <w:t>considérant D</w:t>
      </w:r>
      <w:r>
        <w:t>) et prie la Commission de ne pas autoriser l’importation de cultures génétiquement modifiées tolérantes aux herbicides, en raison de l’utilisation accrue d’herbicides complémentaires et des risques connexes (</w:t>
      </w:r>
      <w:r>
        <w:rPr>
          <w:b/>
          <w:bCs/>
        </w:rPr>
        <w:t>paragraphe 6</w:t>
      </w:r>
      <w:r>
        <w:t>).</w:t>
      </w:r>
    </w:p>
    <w:p w14:paraId="6DC272CE" w14:textId="454C46FC" w:rsidR="005965B8" w:rsidRPr="000E3AFE" w:rsidRDefault="006C39A0" w:rsidP="00BE1051">
      <w:pPr>
        <w:spacing w:after="120" w:line="240" w:lineRule="auto"/>
      </w:pPr>
      <w:r>
        <w:t>Dans sa résolution, le Parlement se félicite que la Commission reconnaisse que les décisions d’autorisation relatives aux organismes génétiquement modifiés (OGM) doivent tenir compte de la durabilité et exprime sa déception quant au fait que la Commission continue d’autoriser l’importation d’OGM malgré les objections exprimées à de multiples reprises par le Parlement européen et le vote défavorable de la majorité des États membres (</w:t>
      </w:r>
      <w:r>
        <w:rPr>
          <w:b/>
          <w:bCs/>
        </w:rPr>
        <w:t>paragraphe 5</w:t>
      </w:r>
      <w:r>
        <w:t>).</w:t>
      </w:r>
    </w:p>
    <w:p w14:paraId="1F320A56" w14:textId="38FF5606" w:rsidR="00C92103" w:rsidRPr="000E3AFE" w:rsidRDefault="005965B8" w:rsidP="00BE1051">
      <w:pPr>
        <w:spacing w:after="120" w:line="240" w:lineRule="auto"/>
      </w:pPr>
      <w:r>
        <w:t xml:space="preserve">Le Parlement invite également la Commission à présenter une proposition visant à garantir </w:t>
      </w:r>
      <w:proofErr w:type="gramStart"/>
      <w:r>
        <w:t>que</w:t>
      </w:r>
      <w:proofErr w:type="gramEnd"/>
      <w:r>
        <w:t xml:space="preserve"> les produits chimiques dangereux interdits dans l’Union ne soient pas produits à des fins d’exportation (</w:t>
      </w:r>
      <w:r>
        <w:rPr>
          <w:b/>
          <w:bCs/>
        </w:rPr>
        <w:t>paragraphe 7</w:t>
      </w:r>
      <w:r>
        <w:t>). En lien avec cet appel, la résolution mentionne le glufosinate et le fait que, bien que son utilisation soit interdite dans l’Union depuis le 31 juillet 2018, il a été exporté de l’Union vers des pays tiers depuis 2020 (</w:t>
      </w:r>
      <w:r>
        <w:rPr>
          <w:b/>
          <w:bCs/>
        </w:rPr>
        <w:t>considérant K</w:t>
      </w:r>
      <w:r>
        <w:t>).</w:t>
      </w:r>
    </w:p>
    <w:p w14:paraId="1CF2D78D" w14:textId="77D1B864" w:rsidR="006C39A0" w:rsidRPr="000E3AFE" w:rsidRDefault="006C39A0" w:rsidP="00BE1051">
      <w:pPr>
        <w:spacing w:after="120" w:line="240" w:lineRule="auto"/>
      </w:pPr>
      <w:r>
        <w:t>La résolution mentionne que la production de soja est un facteur essentiel de la déforestation à grande échelle en Amérique du Sud (</w:t>
      </w:r>
      <w:r>
        <w:rPr>
          <w:b/>
          <w:bCs/>
        </w:rPr>
        <w:t>considérant M</w:t>
      </w:r>
      <w:r>
        <w:t>) et que la déforestation est une cause majeure du déclin de la biodiversité (</w:t>
      </w:r>
      <w:r>
        <w:rPr>
          <w:b/>
          <w:bCs/>
        </w:rPr>
        <w:t>considérant L</w:t>
      </w:r>
      <w:r>
        <w:t>), et invite la Commission à suspendre immédiatement l’importation de soja génétiquement modifié cultivé en Argentine et au Brésil jusqu’à ce que des mécanismes juridiquement contraignants et efficaces aient été mis en place pour empêcher la mise sur le marché de l’Union de produits liés à la déforestation et aux violations des droits de l’homme associées à celle-ci (</w:t>
      </w:r>
      <w:r>
        <w:rPr>
          <w:b/>
          <w:bCs/>
        </w:rPr>
        <w:t>paragraphe 8</w:t>
      </w:r>
      <w:r>
        <w:t>).</w:t>
      </w:r>
    </w:p>
    <w:p w14:paraId="30E72C17" w14:textId="74C1EB16" w:rsidR="003333E8" w:rsidRPr="000E3AFE" w:rsidRDefault="003333E8" w:rsidP="00BE1051">
      <w:pPr>
        <w:spacing w:after="120" w:line="240" w:lineRule="auto"/>
      </w:pPr>
      <w:r>
        <w:lastRenderedPageBreak/>
        <w:t xml:space="preserve">La résolution souligne les amendements à la proposition de règlement du Parlement européen et du Conseil modifiant le règlement (UE) nº 182/2011, adoptés par le Parlement le 17 décembre 2020 et invite le Conseil à poursuivre d’urgence ses </w:t>
      </w:r>
      <w:proofErr w:type="gramStart"/>
      <w:r>
        <w:t>travaux;</w:t>
      </w:r>
      <w:proofErr w:type="gramEnd"/>
      <w:r>
        <w:t xml:space="preserve"> elle déclare que la Commission ne devrait pas autoriser des OGM en l’absence d’une majorité qualifiée d’États membres favorables (</w:t>
      </w:r>
      <w:r>
        <w:rPr>
          <w:b/>
          <w:bCs/>
        </w:rPr>
        <w:t>paragraphe 9</w:t>
      </w:r>
      <w:r>
        <w:t>).</w:t>
      </w:r>
    </w:p>
    <w:p w14:paraId="0ECD2F61" w14:textId="0BC81306" w:rsidR="009A750B" w:rsidRPr="000E3AFE" w:rsidRDefault="009A750B" w:rsidP="00BE1051">
      <w:pPr>
        <w:spacing w:after="120" w:line="240" w:lineRule="auto"/>
      </w:pPr>
      <w:r>
        <w:t>La résolution mentionne que le glufosinate est classé comme toxique pour la reproduction 1B, que l’autorisation de l’utilisation du glufosinate dans l’Union est arrivée à échéance le 31 juillet 2018 (</w:t>
      </w:r>
      <w:r>
        <w:rPr>
          <w:b/>
          <w:bCs/>
        </w:rPr>
        <w:t>considérant G</w:t>
      </w:r>
      <w:r>
        <w:t>) et qu’une quantité potentiellement plus élevée de résidus de la pulvérisation avec du glufosinate peut être présente dans la récolte (</w:t>
      </w:r>
      <w:r>
        <w:rPr>
          <w:b/>
          <w:bCs/>
        </w:rPr>
        <w:t>considérant F</w:t>
      </w:r>
      <w:r>
        <w:t xml:space="preserve">). Selon le Parlement européen, le fait de considérer que l’évaluation des herbicides et de leurs résidus ne relève pas des compétences du groupe scientifique de l’EFSA sur les OGM pose </w:t>
      </w:r>
      <w:proofErr w:type="gramStart"/>
      <w:r>
        <w:t>problème</w:t>
      </w:r>
      <w:proofErr w:type="gramEnd"/>
      <w:r>
        <w:t>, car la formation des métabolites, ainsi que leur composition et leur toxicité, peuvent être influencées par la modification génétique elle-même (</w:t>
      </w:r>
      <w:r>
        <w:rPr>
          <w:b/>
          <w:bCs/>
        </w:rPr>
        <w:t>considérant H</w:t>
      </w:r>
      <w:r>
        <w:t>).</w:t>
      </w:r>
    </w:p>
    <w:p w14:paraId="0831C765" w14:textId="077D38E4" w:rsidR="00C35B99" w:rsidRPr="000E3AFE" w:rsidRDefault="00C35B99" w:rsidP="00BE1051">
      <w:pPr>
        <w:spacing w:after="120" w:line="240" w:lineRule="auto"/>
      </w:pPr>
      <w:r>
        <w:t>La résolution rappelle les observations critiques formulées par les États membres au cours de la période de consultation de trois mois concernant les évaluations des risques toxicologiques et environnementaux du soja génétiquement modifié A5547-127 (</w:t>
      </w:r>
      <w:r>
        <w:rPr>
          <w:b/>
          <w:bCs/>
        </w:rPr>
        <w:t>considérant I</w:t>
      </w:r>
      <w:r>
        <w:t>).</w:t>
      </w:r>
    </w:p>
    <w:p w14:paraId="2B3EC756" w14:textId="051B6DE3" w:rsidR="00C35B99" w:rsidRPr="000E3AFE" w:rsidRDefault="00C35B99" w:rsidP="00BE1051">
      <w:pPr>
        <w:spacing w:after="120" w:line="240" w:lineRule="auto"/>
      </w:pPr>
      <w:r>
        <w:t>La résolution demande instamment à la Commission de tenir compte des obligations qui incombent à l’Union en vertu d’accords internationaux, tels que l’accord de Paris sur le climat, la convention des Nations unies sur la diversité biologique et les objectifs de développement durable des Nations unies (</w:t>
      </w:r>
      <w:r>
        <w:rPr>
          <w:b/>
          <w:bCs/>
        </w:rPr>
        <w:t>paragraphe 4</w:t>
      </w:r>
      <w:r>
        <w:t xml:space="preserve"> et </w:t>
      </w:r>
      <w:r>
        <w:rPr>
          <w:b/>
          <w:bCs/>
        </w:rPr>
        <w:t>considérants J à O</w:t>
      </w:r>
      <w:r>
        <w:t>).</w:t>
      </w:r>
    </w:p>
    <w:p w14:paraId="677FC1E8" w14:textId="1CA61161" w:rsidR="00C35B99" w:rsidRPr="000E3AFE" w:rsidRDefault="009A750B" w:rsidP="00BE1051">
      <w:pPr>
        <w:widowControl w:val="0"/>
        <w:spacing w:after="120" w:line="240" w:lineRule="auto"/>
      </w:pPr>
      <w:r>
        <w:t>La résolution rappelle que le fait que les décisions d’autorisation continuent d’être adoptées par la Commission sans majorité qualifiée d’États membres favorables est devenu la norme pour les décisions concernant les autorisations de denrées alimentaires génétiquement modifiées et d’aliments génétiquement modifiés pour animaux (</w:t>
      </w:r>
      <w:r>
        <w:rPr>
          <w:b/>
          <w:bCs/>
        </w:rPr>
        <w:t>considérant Q</w:t>
      </w:r>
      <w:r>
        <w:t>). De plus, elle rappelle les nombreuses résolutions s’opposant à l’autorisation d’OGM que le Parlement européen a adoptées au cours de ses huitième et neuvième législatures (</w:t>
      </w:r>
      <w:r>
        <w:rPr>
          <w:b/>
          <w:bCs/>
        </w:rPr>
        <w:t>considérant R</w:t>
      </w:r>
      <w:r>
        <w:t>) et déclare qu’il n’est pas nécessaire de modifier la législation pour que la Commission puisse refuser d’autoriser des OGM en l’absence d’une majorité qualifiée d’États membres favorables au sein du comité d’appel (</w:t>
      </w:r>
      <w:r>
        <w:rPr>
          <w:b/>
          <w:bCs/>
        </w:rPr>
        <w:t>considérant T</w:t>
      </w:r>
      <w:r>
        <w:t>).</w:t>
      </w:r>
    </w:p>
    <w:p w14:paraId="6D2448D6" w14:textId="4D9CC5A1" w:rsidR="003720DA" w:rsidRPr="000E3AFE" w:rsidRDefault="003720DA" w:rsidP="00BE1051">
      <w:pPr>
        <w:widowControl w:val="0"/>
        <w:spacing w:after="240"/>
        <w:ind w:left="720" w:hanging="720"/>
        <w:rPr>
          <w:b/>
          <w:bCs/>
        </w:rPr>
      </w:pPr>
      <w:r>
        <w:rPr>
          <w:b/>
        </w:rPr>
        <w:t>6.</w:t>
      </w:r>
      <w:r>
        <w:tab/>
      </w:r>
      <w:r>
        <w:rPr>
          <w:b/>
        </w:rPr>
        <w:t>Réponse à ces demandes et aperçu des mesures que la Commission a prises ou envisage de prendre</w:t>
      </w:r>
    </w:p>
    <w:p w14:paraId="031C7FCC" w14:textId="2EEE860D" w:rsidR="003720DA" w:rsidRPr="000E3AFE" w:rsidRDefault="003720DA" w:rsidP="00BE1051">
      <w:pPr>
        <w:widowControl w:val="0"/>
        <w:spacing w:after="120" w:line="240" w:lineRule="auto"/>
      </w:pPr>
      <w:r>
        <w:t>La Commission tient à préciser que le projet de décision d’exécution concerne le renouvellement de l’autorisation de mise sur le marché de produits contenant du soja génétiquement modifié A5547-127, consistant en ce soja ou produits à partir de celui-ci, mais non la culture de ce soja.</w:t>
      </w:r>
    </w:p>
    <w:p w14:paraId="64A89CBE" w14:textId="073C763B" w:rsidR="003720DA" w:rsidRPr="000E3AFE" w:rsidRDefault="003720DA" w:rsidP="00BE1051">
      <w:pPr>
        <w:spacing w:after="120" w:line="240" w:lineRule="auto"/>
      </w:pPr>
      <w:r>
        <w:t xml:space="preserve">En ce qui concerne les </w:t>
      </w:r>
      <w:r>
        <w:rPr>
          <w:b/>
          <w:bCs/>
        </w:rPr>
        <w:t>paragraphes 1 à 3</w:t>
      </w:r>
      <w:r>
        <w:t xml:space="preserve"> de la résolution, la Commission tient à souligner que l’élaboration du projet de décision est conforme à la procédure décrite dans le règlement (CE) nº 1829/2003 concernant les denrées alimentaires et les aliments pour animaux génétiquement modifiés et dans le règlement (UE) nº 182/2011 relatif à la comitologie, et a suivi lesdites étapes de la procédure, comme illustré ci-</w:t>
      </w:r>
      <w:proofErr w:type="gramStart"/>
      <w:r>
        <w:t>dessous:</w:t>
      </w:r>
      <w:proofErr w:type="gramEnd"/>
    </w:p>
    <w:p w14:paraId="0EA84A21" w14:textId="35BF5A5B" w:rsidR="009A750B" w:rsidRPr="000E3AFE" w:rsidRDefault="00D85DEC" w:rsidP="00BE1051">
      <w:pPr>
        <w:pStyle w:val="ListParagraph"/>
        <w:numPr>
          <w:ilvl w:val="0"/>
          <w:numId w:val="3"/>
        </w:numPr>
        <w:spacing w:after="120" w:line="240" w:lineRule="auto"/>
        <w:ind w:left="714" w:hanging="357"/>
      </w:pPr>
      <w:r>
        <w:t xml:space="preserve">La décision d’exécution 2012/81/UE de la Commission a autorisé la mise sur le marché de denrées alimentaires et d’aliments pour animaux contenant du soja génétiquement modifié A5547-127, consistant en ce soja ou produits à partir de celui-ci. Cette autorisation portait également sur la mise sur le marché de produits autres que les denrées alimentaires et les aliments pour animaux, contenant du soja </w:t>
      </w:r>
      <w:r>
        <w:lastRenderedPageBreak/>
        <w:t>génétiquement modifié A5547-127 ou consistant en celui-ci, et destinés aux mêmes utilisations que tout autre soja, à l’exception de la culture.</w:t>
      </w:r>
    </w:p>
    <w:p w14:paraId="20F7D122" w14:textId="72EBE7B3" w:rsidR="003720DA" w:rsidRPr="000E3AFE" w:rsidRDefault="00D85DEC" w:rsidP="00BE1051">
      <w:pPr>
        <w:pStyle w:val="ListParagraph"/>
        <w:numPr>
          <w:ilvl w:val="0"/>
          <w:numId w:val="3"/>
        </w:numPr>
        <w:spacing w:after="120" w:line="240" w:lineRule="auto"/>
        <w:ind w:left="714" w:hanging="357"/>
      </w:pPr>
      <w:r>
        <w:t xml:space="preserve">Le 10 décembre 2020, BASF SE </w:t>
      </w:r>
      <w:proofErr w:type="gramStart"/>
      <w:r>
        <w:t>a</w:t>
      </w:r>
      <w:proofErr w:type="gramEnd"/>
      <w:r>
        <w:t xml:space="preserve"> présenté à la Commission, au nom de BASF Agricultural Solutions </w:t>
      </w:r>
      <w:proofErr w:type="spellStart"/>
      <w:r>
        <w:t>Seed</w:t>
      </w:r>
      <w:proofErr w:type="spellEnd"/>
      <w:r>
        <w:t xml:space="preserve"> US LLC, une demande de renouvellement de cette autorisation.</w:t>
      </w:r>
    </w:p>
    <w:p w14:paraId="031AA533" w14:textId="7510BB81" w:rsidR="003720DA" w:rsidRPr="000E3AFE" w:rsidRDefault="00D85DEC" w:rsidP="00BE1051">
      <w:pPr>
        <w:pStyle w:val="ListParagraph"/>
        <w:numPr>
          <w:ilvl w:val="0"/>
          <w:numId w:val="3"/>
        </w:numPr>
        <w:spacing w:after="120" w:line="240" w:lineRule="auto"/>
        <w:ind w:left="714" w:hanging="357"/>
      </w:pPr>
      <w:r>
        <w:t>Le 20 juin 2022, l’EFSA a rendu un avis scientifique favorable. Elle y concluait qu’aucun danger nouveau ou exposition modifiée ni aucune nouvelle incertitude scientifique n’avaient été mis en évidence dans le cadre de la demande de renouvellement qui seraient de nature à modifier les conclusions de l’évaluation des risques initiale relative au soja génétiquement modifié A5547-127, qu’elle avait publiées en 2011.</w:t>
      </w:r>
    </w:p>
    <w:p w14:paraId="58A5C9E9" w14:textId="5FB18E39" w:rsidR="003720DA" w:rsidRPr="000E3AFE" w:rsidRDefault="00D85DEC" w:rsidP="00BE1051">
      <w:pPr>
        <w:pStyle w:val="ListParagraph"/>
        <w:numPr>
          <w:ilvl w:val="0"/>
          <w:numId w:val="3"/>
        </w:numPr>
        <w:spacing w:after="120" w:line="240" w:lineRule="auto"/>
        <w:ind w:left="714" w:hanging="357"/>
      </w:pPr>
      <w:r>
        <w:t>Dans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2F633168" w14:textId="752756C2" w:rsidR="003720DA" w:rsidRPr="000E3AFE" w:rsidRDefault="00D85DEC" w:rsidP="00BE1051">
      <w:pPr>
        <w:pStyle w:val="ListParagraph"/>
        <w:numPr>
          <w:ilvl w:val="0"/>
          <w:numId w:val="3"/>
        </w:numPr>
        <w:spacing w:after="120" w:line="240" w:lineRule="auto"/>
        <w:ind w:left="714" w:hanging="357"/>
      </w:pPr>
      <w:r>
        <w:t>Le public a commenté l’avis de l’EFSA et aucune observation de nature scientifique n’a été reçue</w:t>
      </w:r>
      <w:r>
        <w:rPr>
          <w:rStyle w:val="FootnoteReference"/>
        </w:rPr>
        <w:t xml:space="preserve"> </w:t>
      </w:r>
      <w:r>
        <w:rPr>
          <w:rStyle w:val="FootnoteReference"/>
          <w:lang w:val="en-IE"/>
        </w:rPr>
        <w:footnoteReference w:id="1"/>
      </w:r>
      <w:r w:rsidRPr="00CA05EF">
        <w:rPr>
          <w:rStyle w:val="FootnoteReference"/>
          <w:vertAlign w:val="baseline"/>
          <w:lang w:val="fr-BE"/>
        </w:rPr>
        <w:t>.</w:t>
      </w:r>
      <w:r>
        <w:rPr>
          <w:rStyle w:val="FootnoteReference"/>
          <w:vertAlign w:val="baseline"/>
        </w:rPr>
        <w:t>.</w:t>
      </w:r>
      <w:r>
        <w:t>.</w:t>
      </w:r>
    </w:p>
    <w:p w14:paraId="0960D9FB" w14:textId="77777777" w:rsidR="003720DA" w:rsidRPr="000E3AFE" w:rsidRDefault="003720DA" w:rsidP="00BE1051">
      <w:pPr>
        <w:pStyle w:val="ListParagraph"/>
        <w:numPr>
          <w:ilvl w:val="0"/>
          <w:numId w:val="3"/>
        </w:numPr>
        <w:spacing w:after="120" w:line="240" w:lineRule="auto"/>
        <w:ind w:left="714" w:hanging="357"/>
      </w:pPr>
      <w:r>
        <w:t>Le projet de décision a fait l’objet d’un vote au sein du comité permanent le 27 octobre 2022 et aucune majorité qualifiée favorable ou défavorable n’a été dégagée.</w:t>
      </w:r>
    </w:p>
    <w:p w14:paraId="756C08FE" w14:textId="2830C925" w:rsidR="003720DA" w:rsidRPr="000E3AFE" w:rsidRDefault="003720DA" w:rsidP="00BE1051">
      <w:pPr>
        <w:pStyle w:val="ListParagraph"/>
        <w:numPr>
          <w:ilvl w:val="0"/>
          <w:numId w:val="3"/>
        </w:numPr>
        <w:spacing w:after="120" w:line="240" w:lineRule="auto"/>
        <w:ind w:left="714" w:hanging="357"/>
      </w:pPr>
      <w:r>
        <w:t>Conformément aux règles établies dans le règlement (UE) nº 182/2011 relatif à la comitologie, la Commission a soumis le projet de décision au comité d’appel le 8 décembre 2022. Là non plus, aucune majorité qualifiée n’a été réunie en faveur ou contre la décision.</w:t>
      </w:r>
    </w:p>
    <w:p w14:paraId="788D797A" w14:textId="6C5BC987" w:rsidR="008E34E4" w:rsidRPr="000E3AFE" w:rsidRDefault="008E34E4" w:rsidP="00BE1051">
      <w:pPr>
        <w:pStyle w:val="ListParagraph"/>
        <w:numPr>
          <w:ilvl w:val="0"/>
          <w:numId w:val="3"/>
        </w:numPr>
        <w:spacing w:after="120" w:line="240" w:lineRule="auto"/>
        <w:ind w:left="714" w:hanging="357"/>
      </w:pPr>
      <w:r>
        <w:t>En conséquence, il appartient à la Commission de décider du renouvellement de l’autorisation de mise sur le marché de produits contenant du soja génétiquement modifié A5547-127, consistant en ce soja ou produits à partir de celui-ci.</w:t>
      </w:r>
    </w:p>
    <w:p w14:paraId="139C2B83" w14:textId="1B4638CB" w:rsidR="008E34E4" w:rsidRPr="000E3AFE" w:rsidRDefault="008E34E4" w:rsidP="00BE1051">
      <w:pPr>
        <w:spacing w:after="120" w:line="240" w:lineRule="auto"/>
      </w:pPr>
      <w:r>
        <w:t>Aussi la Commission considère-t-elle qu’en adoptant une décision pleinement conforme à la procédure fixée par les colégislateurs dans la législation sur les OGM, elle n’excède pas ses compétences d’exécution. Par conséquent, aucun motif ne justifie le retrait du projet de décision concernant le renouvellement de l’autorisation du soja génétiquement modifié A5547-127. En outre, à la suite de l’introduction d’une demande et de la publication de l’avis de l’EFSA s’y rapportant, l’article 7, paragraphe 3, et l’article 19, paragraphe 3, du règlement (CE) nº 1829/2003 imposent à la Commission d’agir, en l’occurrence d’adopter une décision finale concernant la demande.</w:t>
      </w:r>
    </w:p>
    <w:p w14:paraId="184F3A1B" w14:textId="1978B146" w:rsidR="008E34E4" w:rsidRPr="000E3AFE" w:rsidRDefault="008E34E4" w:rsidP="00BE1051">
      <w:pPr>
        <w:spacing w:after="120" w:line="240" w:lineRule="auto"/>
      </w:pPr>
      <w:r>
        <w:t xml:space="preserve">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la position exprimée par le Parlement et souhaite formuler les observations qui </w:t>
      </w:r>
      <w:proofErr w:type="gramStart"/>
      <w:r>
        <w:t>suivent:</w:t>
      </w:r>
      <w:proofErr w:type="gramEnd"/>
    </w:p>
    <w:p w14:paraId="3795C001" w14:textId="206DA2DB" w:rsidR="00D5380A" w:rsidRPr="000E3AFE" w:rsidRDefault="00D5380A" w:rsidP="00BE1051">
      <w:pPr>
        <w:spacing w:after="120" w:line="240" w:lineRule="auto"/>
      </w:pPr>
      <w:r>
        <w:t xml:space="preserve">En ce qui concerne le </w:t>
      </w:r>
      <w:r>
        <w:rPr>
          <w:b/>
          <w:bCs/>
        </w:rPr>
        <w:t>paragraphe 5</w:t>
      </w:r>
      <w:r>
        <w:t>, l’objectif général de la proposition que devrait prochainement présenter la Commission concernant un cadre pour un système alimentaire durable est de faire en sorte que toutes les denrées alimentaires mises sur le marché de l’UE deviennent de plus en plus durables. Selon le plan d’action qui accompagnait la stratégie</w:t>
      </w:r>
      <w:proofErr w:type="gramStart"/>
      <w:r>
        <w:t xml:space="preserve"> «De</w:t>
      </w:r>
      <w:proofErr w:type="gramEnd"/>
      <w:r>
        <w:t xml:space="preserve"> la ferme à la table», le calendrier de cette proposition est prévu d’ici la fin de l’année 2023. Dans l’intervalle, la Commission continuera d’évaluer les demandes présentées pour des denrées alimentaires et des aliments pour animaux génétiquement modifiés conformément </w:t>
      </w:r>
      <w:r>
        <w:lastRenderedPageBreak/>
        <w:t>aux règles en vigueur établies par les colégislateurs, qui prévoient des normes élevées de protection de la santé humaine et animale et de l’environnement.</w:t>
      </w:r>
    </w:p>
    <w:p w14:paraId="624B3158" w14:textId="7AC2D20E" w:rsidR="0033649E" w:rsidRPr="000E3AFE" w:rsidRDefault="0033649E" w:rsidP="00BE1051">
      <w:pPr>
        <w:spacing w:after="120" w:line="240" w:lineRule="auto"/>
      </w:pPr>
      <w:r>
        <w:t>En ce qui concerne les préoccupations relatives aux produits phytopharmaceutiques (B), la Commission tient à souligner que l’évaluation des risques menée dans le cadre d’une demande d’autorisation, à des fins d’alimentation humaine et animale, de cultures génétiquement modifiées tolérantes aux herbicides est centrée sur l’incidence potentielle de la modification génétique sur la santé des hommes et des animaux et sur l’environnement. L’évaluation des risques pour l’environnement des substances actives et des produits phytopharmaceutiques est effectuée conformément au règlement (CE) n° 1107/2009 concernant la mise sur le marché des produits phytopharmaceutiques. L’autorisation des OGM n’est pas liée à l’autorisation des herbicides. L’autorisation des herbicides et les limites maximales applicables à leurs résidus, qui sont respectivement régies par les règlements (CE) nº 1107/2009 et (CE) nº 369/2005, s’appliquent à l’ensemble des utilisations de produits en question, qu’ils soient génétiquement modifiés ou non.</w:t>
      </w:r>
    </w:p>
    <w:p w14:paraId="79B0EDE3" w14:textId="6379A433" w:rsidR="0033649E" w:rsidRPr="000E3AFE" w:rsidRDefault="0033649E" w:rsidP="00BE1051">
      <w:pPr>
        <w:spacing w:after="120" w:line="240" w:lineRule="auto"/>
      </w:pPr>
      <w:r>
        <w:t>Il importe de rappeler que l’UE ne dispose d’aucun pouvoir pour intervenir dans la législation et les normes adoptées par des pays tiers en matière environnementale (</w:t>
      </w:r>
      <w:r>
        <w:rPr>
          <w:b/>
          <w:bCs/>
        </w:rPr>
        <w:t>paragraphe 6</w:t>
      </w:r>
      <w:r>
        <w:t>), y compris en ce qui concerne l’autorisation des herbicides. Cependant, comme annoncé dans la stratégie</w:t>
      </w:r>
      <w:proofErr w:type="gramStart"/>
      <w:r>
        <w:t xml:space="preserve"> «De</w:t>
      </w:r>
      <w:proofErr w:type="gramEnd"/>
      <w:r>
        <w:t xml:space="preserve"> la ferme à la table», l’Union européenne coopérera activement avec ses partenaires commerciaux, notamment les pays en développement, pour accompagner la transition vers une utilisation plus durable des </w:t>
      </w:r>
      <w:r>
        <w:rPr>
          <w:rStyle w:val="highlight"/>
        </w:rPr>
        <w:t>pesticides</w:t>
      </w:r>
      <w:r>
        <w:t xml:space="preserve"> afin d’éviter les perturbations des échanges commerciaux et de promouvoir d’autres produits et méthodes de protection des végétaux.</w:t>
      </w:r>
    </w:p>
    <w:p w14:paraId="3D3581D1" w14:textId="295B5F37" w:rsidR="00D5380A" w:rsidRPr="000E3AFE" w:rsidRDefault="00D5380A" w:rsidP="00BE1051">
      <w:pPr>
        <w:spacing w:after="120" w:line="240" w:lineRule="auto"/>
        <w:rPr>
          <w:b/>
          <w:bCs/>
        </w:rPr>
      </w:pPr>
      <w:r>
        <w:t>En ce qui concerne la déforestation (</w:t>
      </w:r>
      <w:r>
        <w:rPr>
          <w:b/>
          <w:bCs/>
        </w:rPr>
        <w:t>considérants L</w:t>
      </w:r>
      <w:r>
        <w:t xml:space="preserve"> et </w:t>
      </w:r>
      <w:r>
        <w:rPr>
          <w:b/>
          <w:bCs/>
        </w:rPr>
        <w:t>M</w:t>
      </w:r>
      <w:r>
        <w:t xml:space="preserve"> et </w:t>
      </w:r>
      <w:r>
        <w:rPr>
          <w:b/>
          <w:bCs/>
        </w:rPr>
        <w:t>paragraphe 8</w:t>
      </w:r>
      <w:r>
        <w:t>), la proposition législative de la Commission de novembre 2021 visait à réduire au minimum la contribution de l’Union à la déforestation et à la dégradation des forêts dans le monde, et à limiter sa contribution aux émissions de gaz à effet de serre et à la perte de biodiversité à l’échelle mondiale. La Commission prend acte de l’accord provisoire intervenu sur la question entre le Conseil et le Parlement européen en décembre 2022.</w:t>
      </w:r>
    </w:p>
    <w:p w14:paraId="3E144BA8" w14:textId="7AF798DA" w:rsidR="00FA51B6" w:rsidRPr="000E3AFE" w:rsidRDefault="00FA51B6" w:rsidP="00BE1051">
      <w:pPr>
        <w:spacing w:after="120" w:line="240" w:lineRule="auto"/>
      </w:pPr>
      <w:r>
        <w:t>La Commission considère qu’elle tient compte, dans ses décisions, d’une évaluation scientifique du plus haut niveau possible, des dispositions pertinentes du droit de l’Union et d’autres facteurs légitimes pertinents pour la question à l’examen (</w:t>
      </w:r>
      <w:r>
        <w:rPr>
          <w:b/>
        </w:rPr>
        <w:t>paragraphe 2</w:t>
      </w:r>
      <w:r>
        <w:t xml:space="preserve">). </w:t>
      </w:r>
    </w:p>
    <w:p w14:paraId="0C33678B" w14:textId="6FFD7FD6" w:rsidR="00E806F4" w:rsidRPr="000E3AFE" w:rsidRDefault="00FA51B6" w:rsidP="00BE1051">
      <w:pPr>
        <w:spacing w:after="120" w:line="240" w:lineRule="auto"/>
      </w:pPr>
      <w:r>
        <w:t xml:space="preserve">En outre, en ce qui concerne les préoccupations exprimées aux </w:t>
      </w:r>
      <w:r>
        <w:rPr>
          <w:b/>
          <w:bCs/>
        </w:rPr>
        <w:t>considérants J</w:t>
      </w:r>
      <w:r>
        <w:t xml:space="preserve"> à </w:t>
      </w:r>
      <w:r>
        <w:rPr>
          <w:b/>
          <w:bCs/>
        </w:rPr>
        <w:t>O</w:t>
      </w:r>
      <w:r>
        <w:t xml:space="preserve">, ainsi qu’aux </w:t>
      </w:r>
      <w:r>
        <w:rPr>
          <w:b/>
          <w:bCs/>
        </w:rPr>
        <w:t>paragraphes 4</w:t>
      </w:r>
      <w:r>
        <w:t xml:space="preserve"> et </w:t>
      </w:r>
      <w:r>
        <w:rPr>
          <w:b/>
          <w:bCs/>
        </w:rPr>
        <w:t>7</w:t>
      </w:r>
      <w:r>
        <w:t>, la Commission est fermement résolue à respecter les engagements internationaux dans le domaine de l’environnement et s’est engagée, dans sa stratégie pour la durabilité dans le domaine des produits chimiques d’octobre 2020, à œuvrer à ce que les produits chimiques dangereux interdits dans l’UE ne soient pas produits à des fins d’exportation. Toutefois, elle ne considère pas qu’une décision ponctuelle autorisant la mise sur le marché, comme denrée alimentaire et aliment pour animaux, d’un produit génétiquement modifié donné, qui ne présente pas de risques pour la santé ni pour l’environnement de l’Union, constitue l’instrument adéquat pour réaliser les objectifs fixés par les instruments internationaux mentionnés dans la résolution. Les engagements internationaux pris par l’UE dans le cadre de la convention des Nations unies sur la diversité biologique, du programme de développement durable à l’horizon 2030 et de l’accord de Paris sur le climat sont liés à divers objectifs ayant trait à l’environnement, à l’éducation, à la lutte contre la pauvreté, à l’énergie, à l’innovation et à bien d’autres aspects encore.</w:t>
      </w:r>
    </w:p>
    <w:p w14:paraId="7A9F6E11" w14:textId="64AD6E1F" w:rsidR="00D5380A" w:rsidRPr="008E34E4" w:rsidRDefault="00FA51B6" w:rsidP="00BE1051">
      <w:pPr>
        <w:spacing w:after="120" w:line="240" w:lineRule="auto"/>
      </w:pPr>
      <w:r>
        <w:t xml:space="preserve">Enfin, en ce qui concerne les arguments relatifs au processus décisionnel et au manque de soutien des États membres en faveur d’une autorisation concernant l’utilisation d’OGM dans </w:t>
      </w:r>
      <w:r>
        <w:lastRenderedPageBreak/>
        <w:t>les denrées alimentaires ou les aliments pour animaux (</w:t>
      </w:r>
      <w:r>
        <w:rPr>
          <w:b/>
          <w:bCs/>
        </w:rPr>
        <w:t>considérants P</w:t>
      </w:r>
      <w:r>
        <w:t xml:space="preserve"> à </w:t>
      </w:r>
      <w:r>
        <w:rPr>
          <w:b/>
          <w:bCs/>
        </w:rPr>
        <w:t>T</w:t>
      </w:r>
      <w:r>
        <w:t>), la Commission a présenté au Conseil et au Parlement, le 14 février 2017, une proposition visant à modifier le règlement (UE) nº 182/2011, modifiant les règles de vote au sein du comité d’appel. Si elle est adoptée par les colégislateurs, elle renforcera la transparence et la responsabilité dans le processus décisionnel relatif aux OGM. Dans l’intervalle, la Commission continue d’appliquer les procédures prévues dans le règlement (UE) nº 182/2011 relatif à la comitologie et dans le règlement (CE) nº 1829/2003 concernant les denrées alimentaires et les aliments pour animaux génétiquement modifiés.</w:t>
      </w:r>
    </w:p>
    <w:sectPr w:rsidR="00D5380A" w:rsidRPr="008E34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6D62" w14:textId="77777777" w:rsidR="008E34E4" w:rsidRDefault="008E34E4" w:rsidP="008E34E4">
      <w:pPr>
        <w:spacing w:after="0" w:line="240" w:lineRule="auto"/>
      </w:pPr>
      <w:r>
        <w:separator/>
      </w:r>
    </w:p>
  </w:endnote>
  <w:endnote w:type="continuationSeparator" w:id="0">
    <w:p w14:paraId="395B98FD" w14:textId="77777777" w:rsidR="008E34E4" w:rsidRDefault="008E34E4" w:rsidP="008E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0E01" w14:textId="77777777" w:rsidR="00CA05EF" w:rsidRDefault="00CA0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948821"/>
      <w:docPartObj>
        <w:docPartGallery w:val="Page Numbers (Bottom of Page)"/>
        <w:docPartUnique/>
      </w:docPartObj>
    </w:sdtPr>
    <w:sdtEndPr>
      <w:rPr>
        <w:noProof/>
      </w:rPr>
    </w:sdtEndPr>
    <w:sdtContent>
      <w:p w14:paraId="6D45FB13" w14:textId="08C3EF06" w:rsidR="00CA05EF" w:rsidRDefault="00CA05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62A7B" w14:textId="77777777" w:rsidR="00CA05EF" w:rsidRDefault="00CA0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98DC" w14:textId="77777777" w:rsidR="00CA05EF" w:rsidRDefault="00CA0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C42F" w14:textId="77777777" w:rsidR="008E34E4" w:rsidRDefault="008E34E4" w:rsidP="008E34E4">
      <w:pPr>
        <w:spacing w:after="0" w:line="240" w:lineRule="auto"/>
      </w:pPr>
      <w:r>
        <w:separator/>
      </w:r>
    </w:p>
  </w:footnote>
  <w:footnote w:type="continuationSeparator" w:id="0">
    <w:p w14:paraId="59E62568" w14:textId="77777777" w:rsidR="008E34E4" w:rsidRDefault="008E34E4" w:rsidP="008E34E4">
      <w:pPr>
        <w:spacing w:after="0" w:line="240" w:lineRule="auto"/>
      </w:pPr>
      <w:r>
        <w:continuationSeparator/>
      </w:r>
    </w:p>
  </w:footnote>
  <w:footnote w:id="1">
    <w:p w14:paraId="4ABE3920" w14:textId="69FC2E6F" w:rsidR="00D5380A" w:rsidRDefault="00D5380A" w:rsidP="00BE1051">
      <w:pPr>
        <w:pStyle w:val="FootnoteText"/>
        <w:ind w:left="357" w:hanging="357"/>
      </w:pPr>
      <w:r>
        <w:rPr>
          <w:rStyle w:val="FootnoteReference"/>
        </w:rPr>
        <w:footnoteRef/>
      </w:r>
      <w:r>
        <w:t xml:space="preserve"> </w:t>
      </w:r>
      <w:r>
        <w:tab/>
      </w:r>
      <w:hyperlink r:id="rId1" w:history="1">
        <w:r>
          <w:rPr>
            <w:rStyle w:val="Hyperlink"/>
          </w:rPr>
          <w:t>http://ec.europa.eu/food/plant/gmo/public_consultations/index_fr.htm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FDC5" w14:textId="77777777" w:rsidR="00CA05EF" w:rsidRDefault="00CA0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9BC2" w14:textId="77777777" w:rsidR="00CA05EF" w:rsidRDefault="00CA0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AD63" w14:textId="77777777" w:rsidR="00CA05EF" w:rsidRDefault="00CA0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59A2"/>
    <w:multiLevelType w:val="hybridMultilevel"/>
    <w:tmpl w:val="B2FE34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B635A3"/>
    <w:multiLevelType w:val="hybridMultilevel"/>
    <w:tmpl w:val="A3986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BE94A28"/>
    <w:multiLevelType w:val="hybridMultilevel"/>
    <w:tmpl w:val="45FAD3CC"/>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40166102">
    <w:abstractNumId w:val="1"/>
  </w:num>
  <w:num w:numId="2" w16cid:durableId="500046936">
    <w:abstractNumId w:val="0"/>
  </w:num>
  <w:num w:numId="3" w16cid:durableId="663628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20DA"/>
    <w:rsid w:val="00020CFA"/>
    <w:rsid w:val="00020FBF"/>
    <w:rsid w:val="000A4A63"/>
    <w:rsid w:val="000E3AFE"/>
    <w:rsid w:val="001068B3"/>
    <w:rsid w:val="00232A0A"/>
    <w:rsid w:val="00320F99"/>
    <w:rsid w:val="003333E8"/>
    <w:rsid w:val="0033649E"/>
    <w:rsid w:val="003720DA"/>
    <w:rsid w:val="00387A04"/>
    <w:rsid w:val="0040151D"/>
    <w:rsid w:val="004476FA"/>
    <w:rsid w:val="005965B8"/>
    <w:rsid w:val="005F3C6F"/>
    <w:rsid w:val="00661F16"/>
    <w:rsid w:val="00693BFA"/>
    <w:rsid w:val="006C39A0"/>
    <w:rsid w:val="00737D13"/>
    <w:rsid w:val="00890B57"/>
    <w:rsid w:val="008E0AF1"/>
    <w:rsid w:val="008E34E4"/>
    <w:rsid w:val="009230F9"/>
    <w:rsid w:val="00963BC6"/>
    <w:rsid w:val="009A4F58"/>
    <w:rsid w:val="009A750B"/>
    <w:rsid w:val="009D7965"/>
    <w:rsid w:val="00AA5D02"/>
    <w:rsid w:val="00B8246B"/>
    <w:rsid w:val="00BE1051"/>
    <w:rsid w:val="00C35B99"/>
    <w:rsid w:val="00C4692A"/>
    <w:rsid w:val="00C5552A"/>
    <w:rsid w:val="00C92103"/>
    <w:rsid w:val="00CA05EF"/>
    <w:rsid w:val="00CE50D9"/>
    <w:rsid w:val="00D5380A"/>
    <w:rsid w:val="00D85DEC"/>
    <w:rsid w:val="00E30DA0"/>
    <w:rsid w:val="00E806F4"/>
    <w:rsid w:val="00EE5FB2"/>
    <w:rsid w:val="00F337BE"/>
    <w:rsid w:val="00F97CB7"/>
    <w:rsid w:val="00FA51B6"/>
    <w:rsid w:val="00FF5D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3747DC"/>
  <w15:chartTrackingRefBased/>
  <w15:docId w15:val="{6F799846-4922-4CF7-9113-37972B83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DA"/>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0DA"/>
    <w:pPr>
      <w:ind w:left="720"/>
      <w:contextualSpacing/>
    </w:pPr>
  </w:style>
  <w:style w:type="character" w:customStyle="1" w:styleId="highlight">
    <w:name w:val="highlight"/>
    <w:rsid w:val="00D5380A"/>
  </w:style>
  <w:style w:type="paragraph" w:styleId="FootnoteText">
    <w:name w:val="footnote text"/>
    <w:basedOn w:val="Normal"/>
    <w:link w:val="FootnoteTextChar"/>
    <w:uiPriority w:val="99"/>
    <w:semiHidden/>
    <w:unhideWhenUsed/>
    <w:rsid w:val="00D53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80A"/>
    <w:rPr>
      <w:rFonts w:ascii="Times New Roman" w:hAnsi="Times New Roman" w:cs="Times New Roman"/>
      <w:sz w:val="20"/>
      <w:szCs w:val="20"/>
      <w:lang w:val="fr-FR"/>
    </w:rPr>
  </w:style>
  <w:style w:type="character" w:styleId="FootnoteReference">
    <w:name w:val="footnote reference"/>
    <w:basedOn w:val="DefaultParagraphFont"/>
    <w:uiPriority w:val="99"/>
    <w:semiHidden/>
    <w:unhideWhenUsed/>
    <w:rsid w:val="00D5380A"/>
    <w:rPr>
      <w:vertAlign w:val="superscript"/>
    </w:rPr>
  </w:style>
  <w:style w:type="character" w:styleId="Hyperlink">
    <w:name w:val="Hyperlink"/>
    <w:aliases w:val="Char1"/>
    <w:uiPriority w:val="99"/>
    <w:semiHidden/>
    <w:unhideWhenUsed/>
    <w:rsid w:val="00D5380A"/>
    <w:rPr>
      <w:color w:val="0000FF"/>
      <w:u w:val="single"/>
    </w:rPr>
  </w:style>
  <w:style w:type="character" w:styleId="CommentReference">
    <w:name w:val="annotation reference"/>
    <w:basedOn w:val="DefaultParagraphFont"/>
    <w:uiPriority w:val="99"/>
    <w:semiHidden/>
    <w:unhideWhenUsed/>
    <w:rsid w:val="0040151D"/>
    <w:rPr>
      <w:sz w:val="16"/>
      <w:szCs w:val="16"/>
    </w:rPr>
  </w:style>
  <w:style w:type="paragraph" w:styleId="CommentText">
    <w:name w:val="annotation text"/>
    <w:basedOn w:val="Normal"/>
    <w:link w:val="CommentTextChar"/>
    <w:uiPriority w:val="99"/>
    <w:semiHidden/>
    <w:unhideWhenUsed/>
    <w:rsid w:val="0040151D"/>
    <w:pPr>
      <w:spacing w:line="240" w:lineRule="auto"/>
    </w:pPr>
    <w:rPr>
      <w:sz w:val="20"/>
      <w:szCs w:val="20"/>
    </w:rPr>
  </w:style>
  <w:style w:type="character" w:customStyle="1" w:styleId="CommentTextChar">
    <w:name w:val="Comment Text Char"/>
    <w:basedOn w:val="DefaultParagraphFont"/>
    <w:link w:val="CommentText"/>
    <w:uiPriority w:val="99"/>
    <w:semiHidden/>
    <w:rsid w:val="0040151D"/>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0151D"/>
    <w:rPr>
      <w:b/>
      <w:bCs/>
    </w:rPr>
  </w:style>
  <w:style w:type="character" w:customStyle="1" w:styleId="CommentSubjectChar">
    <w:name w:val="Comment Subject Char"/>
    <w:basedOn w:val="CommentTextChar"/>
    <w:link w:val="CommentSubject"/>
    <w:uiPriority w:val="99"/>
    <w:semiHidden/>
    <w:rsid w:val="0040151D"/>
    <w:rPr>
      <w:rFonts w:ascii="Times New Roman" w:hAnsi="Times New Roman" w:cs="Times New Roman"/>
      <w:b/>
      <w:bCs/>
      <w:sz w:val="20"/>
      <w:szCs w:val="20"/>
      <w:lang w:val="fr-FR"/>
    </w:rPr>
  </w:style>
  <w:style w:type="paragraph" w:styleId="Revision">
    <w:name w:val="Revision"/>
    <w:hidden/>
    <w:uiPriority w:val="99"/>
    <w:semiHidden/>
    <w:rsid w:val="009A4F5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A4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F58"/>
    <w:rPr>
      <w:rFonts w:ascii="Segoe UI" w:hAnsi="Segoe UI" w:cs="Segoe UI"/>
      <w:sz w:val="18"/>
      <w:szCs w:val="18"/>
      <w:lang w:val="fr-FR"/>
    </w:rPr>
  </w:style>
  <w:style w:type="paragraph" w:styleId="Header">
    <w:name w:val="header"/>
    <w:basedOn w:val="Normal"/>
    <w:link w:val="HeaderChar"/>
    <w:uiPriority w:val="99"/>
    <w:unhideWhenUsed/>
    <w:rsid w:val="00CA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5EF"/>
    <w:rPr>
      <w:rFonts w:ascii="Times New Roman" w:hAnsi="Times New Roman" w:cs="Times New Roman"/>
      <w:sz w:val="24"/>
      <w:szCs w:val="24"/>
    </w:rPr>
  </w:style>
  <w:style w:type="paragraph" w:styleId="Footer">
    <w:name w:val="footer"/>
    <w:basedOn w:val="Normal"/>
    <w:link w:val="FooterChar"/>
    <w:uiPriority w:val="99"/>
    <w:unhideWhenUsed/>
    <w:rsid w:val="00CA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5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05992">
      <w:bodyDiv w:val="1"/>
      <w:marLeft w:val="0"/>
      <w:marRight w:val="0"/>
      <w:marTop w:val="0"/>
      <w:marBottom w:val="0"/>
      <w:divBdr>
        <w:top w:val="none" w:sz="0" w:space="0" w:color="auto"/>
        <w:left w:val="none" w:sz="0" w:space="0" w:color="auto"/>
        <w:bottom w:val="none" w:sz="0" w:space="0" w:color="auto"/>
        <w:right w:val="none" w:sz="0" w:space="0" w:color="auto"/>
      </w:divBdr>
    </w:div>
    <w:div w:id="1017275384">
      <w:bodyDiv w:val="1"/>
      <w:marLeft w:val="0"/>
      <w:marRight w:val="0"/>
      <w:marTop w:val="0"/>
      <w:marBottom w:val="0"/>
      <w:divBdr>
        <w:top w:val="none" w:sz="0" w:space="0" w:color="auto"/>
        <w:left w:val="none" w:sz="0" w:space="0" w:color="auto"/>
        <w:bottom w:val="none" w:sz="0" w:space="0" w:color="auto"/>
        <w:right w:val="none" w:sz="0" w:space="0" w:color="auto"/>
      </w:divBdr>
    </w:div>
    <w:div w:id="19005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f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C426-6B9F-4C13-B347-50D56BEB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2303</Words>
  <Characters>12945</Characters>
  <Application>Microsoft Office Word</Application>
  <DocSecurity>0</DocSecurity>
  <Lines>190</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BIANCHIN Raffaella (SG)</cp:lastModifiedBy>
  <cp:revision>4</cp:revision>
  <dcterms:created xsi:type="dcterms:W3CDTF">2023-01-24T09:46:00Z</dcterms:created>
  <dcterms:modified xsi:type="dcterms:W3CDTF">2023-03-07T09:45:00Z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2022-12-19T16:34:27Z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55b3b0ed-f193-4539-8e75-d58abe361ef5</vt:lpwstr>
  </property>
  <property fmtid="{D5CDD505-2E9C-101B-9397-08002B2CF9AE}" pid="8" name="MSIP_Label_6bd9ddd1-4d20-43f6-abfa-fc3c07406f94_ContentBits">
    <vt:lpwstr>0</vt:lpwstr>
  </property>
</Properties>
</file>