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F97A6" w14:textId="2A2E39B0" w:rsidR="005D6CDF" w:rsidRPr="00DD2FF1" w:rsidRDefault="005D6CDF" w:rsidP="005D6CDF">
      <w:pPr>
        <w:spacing w:after="600"/>
        <w:jc w:val="center"/>
        <w:rPr>
          <w:rFonts w:ascii="Times New Roman" w:hAnsi="Times New Roman"/>
          <w:b/>
          <w:szCs w:val="24"/>
        </w:rPr>
      </w:pPr>
      <w:bookmarkStart w:id="0" w:name="ActiveSubstances"/>
      <w:r w:rsidRPr="00DD2FF1">
        <w:rPr>
          <w:rFonts w:ascii="Times New Roman" w:hAnsi="Times New Roman"/>
          <w:b/>
          <w:bCs/>
          <w:szCs w:val="24"/>
        </w:rPr>
        <w:t xml:space="preserve">Follow up to the </w:t>
      </w:r>
      <w:r w:rsidRPr="00DD2FF1">
        <w:rPr>
          <w:rFonts w:ascii="Times New Roman" w:hAnsi="Times New Roman"/>
          <w:b/>
          <w:szCs w:val="24"/>
        </w:rPr>
        <w:t xml:space="preserve">European Parliament non-legislative resolution </w:t>
      </w:r>
      <w:r w:rsidR="00306ACE" w:rsidRPr="00306ACE">
        <w:rPr>
          <w:rFonts w:ascii="Times New Roman" w:hAnsi="Times New Roman"/>
          <w:b/>
          <w:bCs/>
          <w:szCs w:val="24"/>
        </w:rPr>
        <w:t xml:space="preserve">on the draft Commission implementing regulation granting a Union authorisation for the biocidal product family ‘CMIT/MIT SOLVENT BASED’ in accordance with </w:t>
      </w:r>
      <w:r w:rsidR="00731FBA">
        <w:rPr>
          <w:rFonts w:ascii="Times New Roman" w:hAnsi="Times New Roman"/>
          <w:b/>
          <w:bCs/>
          <w:szCs w:val="24"/>
        </w:rPr>
        <w:br/>
      </w:r>
      <w:r w:rsidR="00306ACE" w:rsidRPr="00306ACE">
        <w:rPr>
          <w:rFonts w:ascii="Times New Roman" w:hAnsi="Times New Roman"/>
          <w:b/>
          <w:bCs/>
          <w:szCs w:val="24"/>
        </w:rPr>
        <w:t>Regulation (EU) No 528/2012 of the European Parliament and of the Council</w:t>
      </w:r>
    </w:p>
    <w:bookmarkEnd w:id="0"/>
    <w:p w14:paraId="77C96D5B" w14:textId="77777777" w:rsidR="005D6CDF" w:rsidRDefault="005D6CDF" w:rsidP="005D6CDF">
      <w:pPr>
        <w:ind w:left="720" w:hanging="720"/>
        <w:rPr>
          <w:rFonts w:ascii="Times New Roman" w:hAnsi="Times New Roman"/>
          <w:b/>
          <w:szCs w:val="24"/>
        </w:rPr>
      </w:pPr>
      <w:r>
        <w:rPr>
          <w:rFonts w:ascii="Times New Roman" w:hAnsi="Times New Roman"/>
          <w:b/>
          <w:szCs w:val="24"/>
        </w:rPr>
        <w:t>1.</w:t>
      </w:r>
      <w:r>
        <w:rPr>
          <w:rFonts w:ascii="Times New Roman" w:hAnsi="Times New Roman"/>
          <w:b/>
          <w:szCs w:val="24"/>
        </w:rPr>
        <w:tab/>
        <w:t>Resolution</w:t>
      </w:r>
      <w:r w:rsidRPr="00346258">
        <w:rPr>
          <w:rFonts w:ascii="Times New Roman" w:hAnsi="Times New Roman"/>
          <w:b/>
          <w:szCs w:val="24"/>
        </w:rPr>
        <w:t xml:space="preserve"> tabled pursuant to Rules 112(2) and (3) of the European Parliament's Rules of procedure</w:t>
      </w:r>
    </w:p>
    <w:p w14:paraId="057522CA" w14:textId="0310A427" w:rsidR="005D6CDF" w:rsidRPr="005D6CDF" w:rsidRDefault="005D6CDF" w:rsidP="005D6CDF">
      <w:pPr>
        <w:rPr>
          <w:rFonts w:ascii="Times New Roman" w:hAnsi="Times New Roman"/>
          <w:noProof/>
          <w:lang w:eastAsia="fr-BE"/>
        </w:rPr>
      </w:pPr>
      <w:r w:rsidRPr="00BB0437">
        <w:rPr>
          <w:rFonts w:ascii="Times New Roman" w:hAnsi="Times New Roman"/>
          <w:b/>
          <w:szCs w:val="24"/>
        </w:rPr>
        <w:t>2.</w:t>
      </w:r>
      <w:r w:rsidRPr="00BB0437">
        <w:rPr>
          <w:rFonts w:ascii="Times New Roman" w:hAnsi="Times New Roman"/>
          <w:b/>
          <w:szCs w:val="24"/>
        </w:rPr>
        <w:tab/>
      </w:r>
      <w:r w:rsidRPr="00925AE6">
        <w:rPr>
          <w:rFonts w:ascii="Times New Roman" w:hAnsi="Times New Roman"/>
          <w:b/>
          <w:szCs w:val="24"/>
        </w:rPr>
        <w:t xml:space="preserve">Reference number: </w:t>
      </w:r>
      <w:r w:rsidR="000D58BE" w:rsidRPr="000D58BE">
        <w:rPr>
          <w:rFonts w:ascii="Times New Roman" w:hAnsi="Times New Roman"/>
          <w:bCs/>
          <w:szCs w:val="24"/>
        </w:rPr>
        <w:t>2022/2929 (RSP)</w:t>
      </w:r>
      <w:r w:rsidR="000D58BE">
        <w:rPr>
          <w:rFonts w:ascii="Times New Roman" w:hAnsi="Times New Roman"/>
          <w:b/>
          <w:szCs w:val="24"/>
        </w:rPr>
        <w:t xml:space="preserve"> </w:t>
      </w:r>
      <w:r w:rsidRPr="00925AE6">
        <w:rPr>
          <w:rFonts w:ascii="Times New Roman" w:hAnsi="Times New Roman"/>
        </w:rPr>
        <w:t xml:space="preserve">/ </w:t>
      </w:r>
      <w:r w:rsidRPr="00974E14">
        <w:rPr>
          <w:rFonts w:ascii="Times New Roman" w:hAnsi="Times New Roman"/>
          <w:noProof/>
          <w:lang w:eastAsia="fr-BE"/>
        </w:rPr>
        <w:t>B9-0</w:t>
      </w:r>
      <w:r w:rsidR="00407650" w:rsidRPr="00974E14">
        <w:rPr>
          <w:rFonts w:ascii="Times New Roman" w:hAnsi="Times New Roman"/>
          <w:noProof/>
          <w:lang w:eastAsia="fr-BE"/>
        </w:rPr>
        <w:t>549</w:t>
      </w:r>
      <w:r w:rsidRPr="00974E14">
        <w:rPr>
          <w:rFonts w:ascii="Times New Roman" w:hAnsi="Times New Roman"/>
          <w:noProof/>
          <w:lang w:eastAsia="fr-BE"/>
        </w:rPr>
        <w:t>/2022</w:t>
      </w:r>
      <w:r w:rsidRPr="00974E14">
        <w:rPr>
          <w:rFonts w:ascii="Times New Roman" w:hAnsi="Times New Roman"/>
          <w:lang w:eastAsia="fr-BE"/>
        </w:rPr>
        <w:t xml:space="preserve"> </w:t>
      </w:r>
      <w:r w:rsidRPr="00407650">
        <w:rPr>
          <w:rFonts w:ascii="Times New Roman" w:hAnsi="Times New Roman"/>
        </w:rPr>
        <w:t xml:space="preserve">/ </w:t>
      </w:r>
      <w:r w:rsidRPr="00B57867">
        <w:rPr>
          <w:rFonts w:ascii="Times New Roman" w:hAnsi="Times New Roman"/>
          <w:noProof/>
          <w:lang w:eastAsia="fr-BE"/>
        </w:rPr>
        <w:t>P9_TA(2022)0</w:t>
      </w:r>
      <w:r w:rsidR="00B57867" w:rsidRPr="00B57867">
        <w:rPr>
          <w:rFonts w:ascii="Times New Roman" w:hAnsi="Times New Roman"/>
          <w:noProof/>
          <w:lang w:eastAsia="fr-BE"/>
        </w:rPr>
        <w:t>434</w:t>
      </w:r>
    </w:p>
    <w:p w14:paraId="79C4540E" w14:textId="0D9E2862" w:rsidR="005D6CDF" w:rsidRPr="00925AE6" w:rsidRDefault="005D6CDF" w:rsidP="005D6CDF">
      <w:pPr>
        <w:rPr>
          <w:rFonts w:ascii="Times New Roman" w:hAnsi="Times New Roman"/>
          <w:szCs w:val="24"/>
        </w:rPr>
      </w:pPr>
      <w:r>
        <w:rPr>
          <w:rFonts w:ascii="Times New Roman" w:hAnsi="Times New Roman"/>
          <w:b/>
          <w:szCs w:val="24"/>
        </w:rPr>
        <w:t>3.</w:t>
      </w:r>
      <w:r>
        <w:rPr>
          <w:rFonts w:ascii="Times New Roman" w:hAnsi="Times New Roman"/>
          <w:b/>
          <w:szCs w:val="24"/>
        </w:rPr>
        <w:tab/>
      </w:r>
      <w:r w:rsidRPr="00925AE6">
        <w:rPr>
          <w:rFonts w:ascii="Times New Roman" w:hAnsi="Times New Roman"/>
          <w:b/>
          <w:szCs w:val="24"/>
        </w:rPr>
        <w:t>Date of adoption of the resolution:</w:t>
      </w:r>
      <w:r w:rsidRPr="00925AE6">
        <w:rPr>
          <w:rFonts w:ascii="Times New Roman" w:hAnsi="Times New Roman"/>
          <w:szCs w:val="24"/>
        </w:rPr>
        <w:t xml:space="preserve"> </w:t>
      </w:r>
      <w:r>
        <w:rPr>
          <w:rFonts w:ascii="Times New Roman" w:hAnsi="Times New Roman"/>
          <w:szCs w:val="24"/>
        </w:rPr>
        <w:t>1</w:t>
      </w:r>
      <w:r w:rsidR="000D58BE">
        <w:rPr>
          <w:rFonts w:ascii="Times New Roman" w:hAnsi="Times New Roman"/>
          <w:szCs w:val="24"/>
        </w:rPr>
        <w:t>3</w:t>
      </w:r>
      <w:r>
        <w:rPr>
          <w:rFonts w:ascii="Times New Roman" w:hAnsi="Times New Roman"/>
          <w:szCs w:val="24"/>
        </w:rPr>
        <w:t xml:space="preserve"> </w:t>
      </w:r>
      <w:r w:rsidR="000D58BE">
        <w:rPr>
          <w:rFonts w:ascii="Times New Roman" w:hAnsi="Times New Roman"/>
          <w:szCs w:val="24"/>
        </w:rPr>
        <w:t>December</w:t>
      </w:r>
      <w:r>
        <w:rPr>
          <w:rFonts w:ascii="Times New Roman" w:hAnsi="Times New Roman"/>
          <w:szCs w:val="24"/>
        </w:rPr>
        <w:t xml:space="preserve"> 2022</w:t>
      </w:r>
    </w:p>
    <w:p w14:paraId="7BD99185" w14:textId="77777777" w:rsidR="005D6CDF" w:rsidRPr="00925AE6" w:rsidRDefault="005D6CDF" w:rsidP="005D6CDF">
      <w:pPr>
        <w:ind w:left="720" w:hanging="720"/>
        <w:rPr>
          <w:rFonts w:ascii="Times New Roman" w:hAnsi="Times New Roman"/>
          <w:i/>
          <w:szCs w:val="24"/>
        </w:rPr>
      </w:pPr>
      <w:r>
        <w:rPr>
          <w:rFonts w:ascii="Times New Roman" w:hAnsi="Times New Roman"/>
          <w:b/>
          <w:szCs w:val="24"/>
        </w:rPr>
        <w:t>4.</w:t>
      </w:r>
      <w:r>
        <w:rPr>
          <w:rFonts w:ascii="Times New Roman" w:hAnsi="Times New Roman"/>
          <w:b/>
          <w:szCs w:val="24"/>
        </w:rPr>
        <w:tab/>
      </w:r>
      <w:r w:rsidRPr="00925AE6">
        <w:rPr>
          <w:rFonts w:ascii="Times New Roman" w:hAnsi="Times New Roman"/>
          <w:b/>
          <w:szCs w:val="24"/>
        </w:rPr>
        <w:t xml:space="preserve">Competent Parliamentary Committee: </w:t>
      </w:r>
      <w:r>
        <w:rPr>
          <w:rFonts w:ascii="Times New Roman" w:hAnsi="Times New Roman"/>
          <w:szCs w:val="24"/>
        </w:rPr>
        <w:t>Committee on Environment, Public Health and Food Safety</w:t>
      </w:r>
      <w:r w:rsidRPr="00925AE6">
        <w:rPr>
          <w:rFonts w:ascii="Times New Roman" w:hAnsi="Times New Roman"/>
          <w:szCs w:val="24"/>
        </w:rPr>
        <w:t xml:space="preserve"> (</w:t>
      </w:r>
      <w:r>
        <w:rPr>
          <w:rFonts w:ascii="Times New Roman" w:hAnsi="Times New Roman"/>
          <w:szCs w:val="24"/>
        </w:rPr>
        <w:t>ENVI</w:t>
      </w:r>
      <w:r w:rsidRPr="00925AE6">
        <w:rPr>
          <w:rFonts w:ascii="Times New Roman" w:hAnsi="Times New Roman"/>
          <w:szCs w:val="24"/>
        </w:rPr>
        <w:t>)</w:t>
      </w:r>
    </w:p>
    <w:p w14:paraId="64B0A602" w14:textId="77777777" w:rsidR="005D6CDF" w:rsidRPr="00925AE6" w:rsidRDefault="005D6CDF" w:rsidP="005D6CDF">
      <w:pPr>
        <w:widowControl w:val="0"/>
        <w:rPr>
          <w:rFonts w:ascii="Times New Roman" w:hAnsi="Times New Roman"/>
          <w:b/>
          <w:szCs w:val="24"/>
        </w:rPr>
      </w:pPr>
      <w:r>
        <w:rPr>
          <w:rFonts w:ascii="Times New Roman" w:hAnsi="Times New Roman"/>
          <w:b/>
          <w:szCs w:val="24"/>
        </w:rPr>
        <w:t>5.</w:t>
      </w:r>
      <w:r>
        <w:rPr>
          <w:rFonts w:ascii="Times New Roman" w:hAnsi="Times New Roman"/>
          <w:b/>
          <w:szCs w:val="24"/>
        </w:rPr>
        <w:tab/>
      </w:r>
      <w:r w:rsidRPr="00925AE6">
        <w:rPr>
          <w:rFonts w:ascii="Times New Roman" w:hAnsi="Times New Roman"/>
          <w:b/>
          <w:szCs w:val="24"/>
        </w:rPr>
        <w:t xml:space="preserve">Brief analysis/assessment of the resolution and requests made in it: </w:t>
      </w:r>
    </w:p>
    <w:p w14:paraId="48C906D2" w14:textId="13B3E334" w:rsidR="00974E14" w:rsidRPr="00974E14" w:rsidRDefault="005D6CDF" w:rsidP="00974E14">
      <w:pPr>
        <w:widowControl w:val="0"/>
        <w:spacing w:after="120"/>
        <w:rPr>
          <w:rFonts w:ascii="Times New Roman" w:hAnsi="Times New Roman"/>
          <w:szCs w:val="24"/>
        </w:rPr>
      </w:pPr>
      <w:r w:rsidRPr="00441A17">
        <w:rPr>
          <w:rFonts w:ascii="Times New Roman" w:hAnsi="Times New Roman"/>
          <w:szCs w:val="24"/>
        </w:rPr>
        <w:t xml:space="preserve">The </w:t>
      </w:r>
      <w:r>
        <w:rPr>
          <w:rFonts w:ascii="Times New Roman" w:hAnsi="Times New Roman"/>
          <w:szCs w:val="24"/>
        </w:rPr>
        <w:t>r</w:t>
      </w:r>
      <w:r w:rsidRPr="00441A17">
        <w:rPr>
          <w:rFonts w:ascii="Times New Roman" w:hAnsi="Times New Roman"/>
          <w:szCs w:val="24"/>
        </w:rPr>
        <w:t xml:space="preserve">esolution </w:t>
      </w:r>
      <w:r w:rsidR="00301C7C">
        <w:rPr>
          <w:rFonts w:ascii="Times New Roman" w:hAnsi="Times New Roman"/>
          <w:szCs w:val="24"/>
        </w:rPr>
        <w:t>notes that</w:t>
      </w:r>
      <w:r>
        <w:rPr>
          <w:rFonts w:ascii="Times New Roman" w:hAnsi="Times New Roman"/>
          <w:szCs w:val="24"/>
        </w:rPr>
        <w:t xml:space="preserve"> the Commission </w:t>
      </w:r>
      <w:r w:rsidR="00301C7C">
        <w:rPr>
          <w:rFonts w:ascii="Times New Roman" w:hAnsi="Times New Roman"/>
          <w:szCs w:val="24"/>
        </w:rPr>
        <w:t xml:space="preserve">intends to </w:t>
      </w:r>
      <w:r w:rsidR="00974E14">
        <w:rPr>
          <w:rFonts w:ascii="Times New Roman" w:hAnsi="Times New Roman"/>
          <w:szCs w:val="24"/>
        </w:rPr>
        <w:t>grant an authorisation</w:t>
      </w:r>
      <w:r w:rsidR="00407650">
        <w:rPr>
          <w:rFonts w:ascii="Times New Roman" w:hAnsi="Times New Roman"/>
          <w:szCs w:val="24"/>
        </w:rPr>
        <w:t xml:space="preserve"> </w:t>
      </w:r>
      <w:r w:rsidR="00974E14">
        <w:rPr>
          <w:rFonts w:ascii="Times New Roman" w:hAnsi="Times New Roman"/>
          <w:szCs w:val="24"/>
        </w:rPr>
        <w:t>to</w:t>
      </w:r>
      <w:r w:rsidR="00407650">
        <w:rPr>
          <w:rFonts w:ascii="Times New Roman" w:hAnsi="Times New Roman"/>
          <w:szCs w:val="24"/>
        </w:rPr>
        <w:t xml:space="preserve"> the biocidal product family </w:t>
      </w:r>
      <w:r w:rsidR="00974E14">
        <w:rPr>
          <w:rFonts w:ascii="Times New Roman" w:hAnsi="Times New Roman"/>
          <w:szCs w:val="24"/>
        </w:rPr>
        <w:t>CMITMIT SOLVENT BASED</w:t>
      </w:r>
      <w:r w:rsidR="00526019">
        <w:rPr>
          <w:rFonts w:ascii="Times New Roman" w:hAnsi="Times New Roman"/>
          <w:szCs w:val="24"/>
        </w:rPr>
        <w:t xml:space="preserve"> (‘the BPF’)</w:t>
      </w:r>
      <w:r w:rsidR="00301C7C">
        <w:rPr>
          <w:rFonts w:ascii="Times New Roman" w:hAnsi="Times New Roman"/>
          <w:szCs w:val="24"/>
        </w:rPr>
        <w:t xml:space="preserve"> (</w:t>
      </w:r>
      <w:r w:rsidR="0078270B" w:rsidRPr="00301C7C">
        <w:rPr>
          <w:rFonts w:ascii="Times New Roman" w:hAnsi="Times New Roman"/>
          <w:b/>
          <w:bCs/>
          <w:szCs w:val="24"/>
        </w:rPr>
        <w:t>recital</w:t>
      </w:r>
      <w:r w:rsidR="00301C7C" w:rsidRPr="00301C7C">
        <w:rPr>
          <w:rFonts w:ascii="Times New Roman" w:hAnsi="Times New Roman"/>
          <w:b/>
          <w:bCs/>
          <w:szCs w:val="24"/>
        </w:rPr>
        <w:t xml:space="preserve"> A</w:t>
      </w:r>
      <w:r w:rsidR="00301C7C">
        <w:rPr>
          <w:rFonts w:ascii="Times New Roman" w:hAnsi="Times New Roman"/>
          <w:szCs w:val="24"/>
        </w:rPr>
        <w:t>)</w:t>
      </w:r>
      <w:r w:rsidR="00974E14">
        <w:rPr>
          <w:rFonts w:ascii="Times New Roman" w:hAnsi="Times New Roman"/>
          <w:szCs w:val="24"/>
        </w:rPr>
        <w:t xml:space="preserve"> and recalls th</w:t>
      </w:r>
      <w:r w:rsidR="00B80014">
        <w:rPr>
          <w:rFonts w:ascii="Times New Roman" w:hAnsi="Times New Roman"/>
          <w:szCs w:val="24"/>
        </w:rPr>
        <w:t>e</w:t>
      </w:r>
      <w:r w:rsidR="00974E14">
        <w:rPr>
          <w:rFonts w:ascii="Times New Roman" w:hAnsi="Times New Roman"/>
          <w:szCs w:val="24"/>
        </w:rPr>
        <w:t xml:space="preserve"> </w:t>
      </w:r>
      <w:r w:rsidR="00974E14" w:rsidRPr="00974E14">
        <w:rPr>
          <w:rFonts w:ascii="Times New Roman" w:hAnsi="Times New Roman"/>
          <w:szCs w:val="24"/>
        </w:rPr>
        <w:t>Commissio</w:t>
      </w:r>
      <w:r w:rsidR="00526019">
        <w:rPr>
          <w:rFonts w:ascii="Times New Roman" w:hAnsi="Times New Roman"/>
          <w:szCs w:val="24"/>
        </w:rPr>
        <w:t>n</w:t>
      </w:r>
      <w:r w:rsidR="000C2AEF">
        <w:rPr>
          <w:rFonts w:ascii="Times New Roman" w:hAnsi="Times New Roman"/>
          <w:szCs w:val="24"/>
        </w:rPr>
        <w:t>’s</w:t>
      </w:r>
      <w:r w:rsidR="00974E14" w:rsidRPr="00974E14">
        <w:rPr>
          <w:rFonts w:ascii="Times New Roman" w:hAnsi="Times New Roman"/>
          <w:szCs w:val="24"/>
        </w:rPr>
        <w:t xml:space="preserve"> </w:t>
      </w:r>
      <w:r w:rsidR="00526019">
        <w:rPr>
          <w:rFonts w:ascii="Times New Roman" w:hAnsi="Times New Roman"/>
          <w:szCs w:val="24"/>
        </w:rPr>
        <w:t xml:space="preserve">commitments </w:t>
      </w:r>
      <w:r w:rsidR="00974E14" w:rsidRPr="00974E14">
        <w:rPr>
          <w:rFonts w:ascii="Times New Roman" w:hAnsi="Times New Roman"/>
          <w:szCs w:val="24"/>
        </w:rPr>
        <w:t>to a zero-pollution ambition</w:t>
      </w:r>
      <w:r w:rsidR="000C2AEF">
        <w:rPr>
          <w:rFonts w:ascii="Times New Roman" w:hAnsi="Times New Roman"/>
          <w:szCs w:val="24"/>
        </w:rPr>
        <w:t xml:space="preserve">, </w:t>
      </w:r>
      <w:r w:rsidR="00974E14" w:rsidRPr="00974E14">
        <w:rPr>
          <w:rFonts w:ascii="Times New Roman" w:hAnsi="Times New Roman"/>
          <w:szCs w:val="24"/>
        </w:rPr>
        <w:t>the Stockholm Convention</w:t>
      </w:r>
      <w:r w:rsidR="000C2AEF">
        <w:rPr>
          <w:rFonts w:ascii="Times New Roman" w:hAnsi="Times New Roman"/>
          <w:szCs w:val="24"/>
        </w:rPr>
        <w:t xml:space="preserve">, </w:t>
      </w:r>
      <w:r w:rsidR="00974E14" w:rsidRPr="00974E14">
        <w:rPr>
          <w:rFonts w:ascii="Times New Roman" w:hAnsi="Times New Roman"/>
          <w:szCs w:val="24"/>
        </w:rPr>
        <w:t xml:space="preserve">the Aarhus Protocol </w:t>
      </w:r>
      <w:r w:rsidR="000C2AEF">
        <w:rPr>
          <w:rFonts w:ascii="Times New Roman" w:hAnsi="Times New Roman"/>
          <w:szCs w:val="24"/>
        </w:rPr>
        <w:t xml:space="preserve">and </w:t>
      </w:r>
      <w:r w:rsidR="00974E14" w:rsidRPr="00974E14">
        <w:rPr>
          <w:rFonts w:ascii="Times New Roman" w:hAnsi="Times New Roman"/>
          <w:szCs w:val="24"/>
        </w:rPr>
        <w:t>Regulation (EU) 2019/1021</w:t>
      </w:r>
      <w:r w:rsidR="000C2AEF">
        <w:rPr>
          <w:rFonts w:ascii="Times New Roman" w:hAnsi="Times New Roman"/>
          <w:szCs w:val="24"/>
        </w:rPr>
        <w:t xml:space="preserve"> on persistent organic pollutants (POPs)</w:t>
      </w:r>
      <w:r w:rsidR="00974E14" w:rsidRPr="00974E14">
        <w:rPr>
          <w:rFonts w:ascii="Times New Roman" w:hAnsi="Times New Roman"/>
          <w:szCs w:val="24"/>
        </w:rPr>
        <w:t xml:space="preserve"> </w:t>
      </w:r>
      <w:r w:rsidR="00974E14" w:rsidRPr="0078270B">
        <w:rPr>
          <w:rFonts w:ascii="Times New Roman" w:hAnsi="Times New Roman"/>
          <w:bCs/>
          <w:szCs w:val="24"/>
        </w:rPr>
        <w:t>(</w:t>
      </w:r>
      <w:r w:rsidR="00974E14" w:rsidRPr="00974E14">
        <w:rPr>
          <w:rFonts w:ascii="Times New Roman" w:hAnsi="Times New Roman"/>
          <w:b/>
          <w:bCs/>
          <w:szCs w:val="24"/>
        </w:rPr>
        <w:t>recital</w:t>
      </w:r>
      <w:r w:rsidR="00B80014">
        <w:rPr>
          <w:rFonts w:ascii="Times New Roman" w:hAnsi="Times New Roman"/>
          <w:b/>
          <w:bCs/>
          <w:szCs w:val="24"/>
        </w:rPr>
        <w:t>s B and</w:t>
      </w:r>
      <w:r w:rsidR="00974E14" w:rsidRPr="00974E14">
        <w:rPr>
          <w:rFonts w:ascii="Times New Roman" w:hAnsi="Times New Roman"/>
          <w:b/>
          <w:bCs/>
          <w:szCs w:val="24"/>
        </w:rPr>
        <w:t xml:space="preserve"> C</w:t>
      </w:r>
      <w:r w:rsidR="00974E14" w:rsidRPr="0078270B">
        <w:rPr>
          <w:rFonts w:ascii="Times New Roman" w:hAnsi="Times New Roman"/>
          <w:bCs/>
          <w:szCs w:val="24"/>
        </w:rPr>
        <w:t>)</w:t>
      </w:r>
      <w:r w:rsidR="003903BE" w:rsidRPr="0078270B">
        <w:rPr>
          <w:rFonts w:ascii="Times New Roman" w:hAnsi="Times New Roman"/>
          <w:bCs/>
          <w:szCs w:val="24"/>
        </w:rPr>
        <w:t>.</w:t>
      </w:r>
      <w:r w:rsidR="003903BE" w:rsidRPr="00E03206">
        <w:rPr>
          <w:rFonts w:ascii="Times New Roman" w:hAnsi="Times New Roman"/>
          <w:bCs/>
          <w:szCs w:val="24"/>
        </w:rPr>
        <w:t xml:space="preserve"> </w:t>
      </w:r>
      <w:r w:rsidR="00974E14">
        <w:rPr>
          <w:rFonts w:ascii="Times New Roman" w:hAnsi="Times New Roman"/>
          <w:szCs w:val="24"/>
        </w:rPr>
        <w:t xml:space="preserve">It </w:t>
      </w:r>
      <w:r w:rsidR="003903BE">
        <w:rPr>
          <w:rFonts w:ascii="Times New Roman" w:hAnsi="Times New Roman"/>
          <w:szCs w:val="24"/>
        </w:rPr>
        <w:t>recalls</w:t>
      </w:r>
      <w:r w:rsidR="000C2AEF">
        <w:rPr>
          <w:rFonts w:ascii="Times New Roman" w:hAnsi="Times New Roman"/>
          <w:szCs w:val="24"/>
        </w:rPr>
        <w:t xml:space="preserve"> that</w:t>
      </w:r>
      <w:r w:rsidR="003903BE">
        <w:rPr>
          <w:rFonts w:ascii="Times New Roman" w:hAnsi="Times New Roman"/>
          <w:szCs w:val="24"/>
        </w:rPr>
        <w:t xml:space="preserve"> </w:t>
      </w:r>
      <w:r w:rsidR="00974E14" w:rsidRPr="00974E14">
        <w:rPr>
          <w:rFonts w:ascii="Times New Roman" w:hAnsi="Times New Roman"/>
          <w:szCs w:val="24"/>
        </w:rPr>
        <w:t xml:space="preserve">the </w:t>
      </w:r>
      <w:r w:rsidR="000C2AEF" w:rsidRPr="00974E14">
        <w:rPr>
          <w:rFonts w:ascii="Times New Roman" w:hAnsi="Times New Roman"/>
          <w:szCs w:val="24"/>
        </w:rPr>
        <w:t xml:space="preserve">European Chemicals Agency (‘ECHA’) </w:t>
      </w:r>
      <w:r w:rsidR="00974E14" w:rsidRPr="00974E14">
        <w:rPr>
          <w:rFonts w:ascii="Times New Roman" w:hAnsi="Times New Roman"/>
          <w:szCs w:val="24"/>
        </w:rPr>
        <w:t>opinion of 5 March 2020</w:t>
      </w:r>
      <w:r w:rsidR="00974E14" w:rsidRPr="00974E14">
        <w:rPr>
          <w:rFonts w:ascii="Times New Roman" w:hAnsi="Times New Roman"/>
          <w:szCs w:val="24"/>
          <w:vertAlign w:val="superscript"/>
        </w:rPr>
        <w:footnoteReference w:id="1"/>
      </w:r>
      <w:r w:rsidR="00974E14" w:rsidRPr="00974E14">
        <w:rPr>
          <w:rFonts w:ascii="Times New Roman" w:hAnsi="Times New Roman"/>
          <w:szCs w:val="24"/>
        </w:rPr>
        <w:t xml:space="preserve"> included a minority opinion from Germany concluding that the use of the </w:t>
      </w:r>
      <w:r w:rsidR="00526019">
        <w:rPr>
          <w:rFonts w:ascii="Times New Roman" w:hAnsi="Times New Roman"/>
          <w:szCs w:val="24"/>
        </w:rPr>
        <w:t xml:space="preserve">BPF </w:t>
      </w:r>
      <w:r w:rsidR="00974E14" w:rsidRPr="00974E14">
        <w:rPr>
          <w:rFonts w:ascii="Times New Roman" w:hAnsi="Times New Roman"/>
          <w:szCs w:val="24"/>
        </w:rPr>
        <w:t xml:space="preserve">conflicts with </w:t>
      </w:r>
      <w:r w:rsidR="000C2AEF">
        <w:rPr>
          <w:rFonts w:ascii="Times New Roman" w:hAnsi="Times New Roman"/>
          <w:szCs w:val="24"/>
        </w:rPr>
        <w:t>its</w:t>
      </w:r>
      <w:r w:rsidR="00974E14" w:rsidRPr="00974E14">
        <w:rPr>
          <w:rFonts w:ascii="Times New Roman" w:hAnsi="Times New Roman"/>
          <w:szCs w:val="24"/>
        </w:rPr>
        <w:t xml:space="preserve"> national legislation (10</w:t>
      </w:r>
      <w:r w:rsidR="00301C7C" w:rsidRPr="00301C7C">
        <w:rPr>
          <w:rFonts w:ascii="Times New Roman" w:hAnsi="Times New Roman"/>
          <w:szCs w:val="24"/>
          <w:vertAlign w:val="superscript"/>
        </w:rPr>
        <w:t>th</w:t>
      </w:r>
      <w:r w:rsidR="00301C7C">
        <w:rPr>
          <w:rFonts w:ascii="Times New Roman" w:hAnsi="Times New Roman"/>
          <w:szCs w:val="24"/>
        </w:rPr>
        <w:t xml:space="preserve"> </w:t>
      </w:r>
      <w:r w:rsidR="00974E14" w:rsidRPr="00974E14">
        <w:rPr>
          <w:rFonts w:ascii="Times New Roman" w:hAnsi="Times New Roman"/>
          <w:szCs w:val="24"/>
        </w:rPr>
        <w:t>Federal Emission Control Ordinance § 2(1) and (2))</w:t>
      </w:r>
      <w:r w:rsidR="00301C7C">
        <w:rPr>
          <w:rFonts w:ascii="Times New Roman" w:hAnsi="Times New Roman"/>
          <w:szCs w:val="24"/>
        </w:rPr>
        <w:t xml:space="preserve"> which prohibits fuel for on-road motor vehicles from containing additives with chlorine or bromine compounds</w:t>
      </w:r>
      <w:r w:rsidR="00974E14" w:rsidRPr="00974E14">
        <w:rPr>
          <w:rFonts w:ascii="Times New Roman" w:hAnsi="Times New Roman"/>
          <w:szCs w:val="24"/>
        </w:rPr>
        <w:t xml:space="preserve"> </w:t>
      </w:r>
      <w:r w:rsidR="00974E14" w:rsidRPr="0078270B">
        <w:rPr>
          <w:rFonts w:ascii="Times New Roman" w:hAnsi="Times New Roman"/>
          <w:bCs/>
          <w:szCs w:val="24"/>
        </w:rPr>
        <w:t>(</w:t>
      </w:r>
      <w:r w:rsidR="00974E14" w:rsidRPr="00974E14">
        <w:rPr>
          <w:rFonts w:ascii="Times New Roman" w:hAnsi="Times New Roman"/>
          <w:b/>
          <w:bCs/>
          <w:szCs w:val="24"/>
        </w:rPr>
        <w:t>recital D</w:t>
      </w:r>
      <w:r w:rsidR="00974E14" w:rsidRPr="0078270B">
        <w:rPr>
          <w:rFonts w:ascii="Times New Roman" w:hAnsi="Times New Roman"/>
          <w:bCs/>
          <w:szCs w:val="24"/>
        </w:rPr>
        <w:t>)</w:t>
      </w:r>
      <w:r w:rsidR="00301C7C" w:rsidRPr="0078270B">
        <w:rPr>
          <w:rFonts w:ascii="Times New Roman" w:hAnsi="Times New Roman"/>
          <w:szCs w:val="24"/>
        </w:rPr>
        <w:t xml:space="preserve">. </w:t>
      </w:r>
      <w:r w:rsidR="00301C7C">
        <w:rPr>
          <w:rFonts w:ascii="Times New Roman" w:hAnsi="Times New Roman"/>
          <w:szCs w:val="24"/>
        </w:rPr>
        <w:t>I</w:t>
      </w:r>
      <w:r w:rsidR="008A457A">
        <w:rPr>
          <w:rFonts w:ascii="Times New Roman" w:hAnsi="Times New Roman"/>
          <w:szCs w:val="24"/>
        </w:rPr>
        <w:t>t mentions that</w:t>
      </w:r>
      <w:r w:rsidR="00974E14" w:rsidRPr="00974E14">
        <w:rPr>
          <w:rFonts w:ascii="Times New Roman" w:hAnsi="Times New Roman"/>
          <w:szCs w:val="24"/>
        </w:rPr>
        <w:t xml:space="preserve"> dioxins and furans (PCDD/PCDF) belong to the category of POPs, covered by the Stockholm Convention, and are subject to release reduction provisions in Annex III to Regulation (EU) 2019/1021</w:t>
      </w:r>
      <w:r w:rsidR="00301C7C">
        <w:rPr>
          <w:rFonts w:ascii="Times New Roman" w:hAnsi="Times New Roman"/>
          <w:szCs w:val="24"/>
        </w:rPr>
        <w:t xml:space="preserve"> because of their toxic effects on humans</w:t>
      </w:r>
      <w:r w:rsidR="009B2C6B">
        <w:rPr>
          <w:rFonts w:ascii="Times New Roman" w:hAnsi="Times New Roman"/>
          <w:szCs w:val="24"/>
        </w:rPr>
        <w:t>,</w:t>
      </w:r>
      <w:r w:rsidR="008A457A">
        <w:rPr>
          <w:rFonts w:ascii="Times New Roman" w:hAnsi="Times New Roman"/>
          <w:szCs w:val="24"/>
        </w:rPr>
        <w:t xml:space="preserve"> a</w:t>
      </w:r>
      <w:r w:rsidR="00EB7685">
        <w:rPr>
          <w:rFonts w:ascii="Times New Roman" w:hAnsi="Times New Roman"/>
          <w:szCs w:val="24"/>
        </w:rPr>
        <w:t>nd</w:t>
      </w:r>
      <w:r w:rsidR="008A457A">
        <w:rPr>
          <w:rFonts w:ascii="Times New Roman" w:hAnsi="Times New Roman"/>
          <w:szCs w:val="24"/>
        </w:rPr>
        <w:t xml:space="preserve"> that</w:t>
      </w:r>
      <w:r w:rsidR="00974E14" w:rsidRPr="00974E14">
        <w:rPr>
          <w:rFonts w:ascii="Times New Roman" w:hAnsi="Times New Roman"/>
          <w:szCs w:val="24"/>
        </w:rPr>
        <w:t xml:space="preserve"> in January 2019, the Union published its third implementation plan to address POPs</w:t>
      </w:r>
      <w:r w:rsidR="00974E14" w:rsidRPr="00974E14">
        <w:rPr>
          <w:rFonts w:ascii="Times New Roman" w:hAnsi="Times New Roman"/>
          <w:szCs w:val="24"/>
          <w:vertAlign w:val="superscript"/>
        </w:rPr>
        <w:footnoteReference w:id="2"/>
      </w:r>
      <w:r w:rsidR="002E1553">
        <w:rPr>
          <w:rFonts w:ascii="Times New Roman" w:hAnsi="Times New Roman"/>
          <w:szCs w:val="24"/>
        </w:rPr>
        <w:t xml:space="preserve"> stating that these are subject to continuous minimisation with the ultimate objective of total elimination, where feasible</w:t>
      </w:r>
      <w:r w:rsidR="008A457A">
        <w:rPr>
          <w:rFonts w:ascii="Times New Roman" w:hAnsi="Times New Roman"/>
          <w:szCs w:val="24"/>
        </w:rPr>
        <w:t xml:space="preserve"> </w:t>
      </w:r>
      <w:r w:rsidR="008A457A" w:rsidRPr="0078270B">
        <w:rPr>
          <w:rFonts w:ascii="Times New Roman" w:hAnsi="Times New Roman"/>
          <w:bCs/>
          <w:szCs w:val="24"/>
        </w:rPr>
        <w:t>(</w:t>
      </w:r>
      <w:r w:rsidR="008A457A" w:rsidRPr="008A457A">
        <w:rPr>
          <w:rFonts w:ascii="Times New Roman" w:hAnsi="Times New Roman"/>
          <w:b/>
          <w:bCs/>
          <w:szCs w:val="24"/>
        </w:rPr>
        <w:t>recital</w:t>
      </w:r>
      <w:r w:rsidR="00B80014">
        <w:rPr>
          <w:rFonts w:ascii="Times New Roman" w:hAnsi="Times New Roman"/>
          <w:b/>
          <w:bCs/>
          <w:szCs w:val="24"/>
        </w:rPr>
        <w:t>s E and</w:t>
      </w:r>
      <w:r w:rsidR="008A457A" w:rsidRPr="008A457A">
        <w:rPr>
          <w:rFonts w:ascii="Times New Roman" w:hAnsi="Times New Roman"/>
          <w:b/>
          <w:bCs/>
          <w:szCs w:val="24"/>
        </w:rPr>
        <w:t xml:space="preserve"> F</w:t>
      </w:r>
      <w:r w:rsidR="008A457A" w:rsidRPr="0078270B">
        <w:rPr>
          <w:rFonts w:ascii="Times New Roman" w:hAnsi="Times New Roman"/>
          <w:bCs/>
          <w:szCs w:val="24"/>
        </w:rPr>
        <w:t>)</w:t>
      </w:r>
      <w:r w:rsidR="002E1553" w:rsidRPr="0078270B">
        <w:rPr>
          <w:rFonts w:ascii="Times New Roman" w:hAnsi="Times New Roman"/>
          <w:szCs w:val="24"/>
        </w:rPr>
        <w:t>.</w:t>
      </w:r>
      <w:r w:rsidR="002E1553">
        <w:rPr>
          <w:rFonts w:ascii="Times New Roman" w:hAnsi="Times New Roman"/>
          <w:szCs w:val="24"/>
        </w:rPr>
        <w:t xml:space="preserve"> I</w:t>
      </w:r>
      <w:r w:rsidR="008A457A">
        <w:rPr>
          <w:rFonts w:ascii="Times New Roman" w:hAnsi="Times New Roman"/>
          <w:szCs w:val="24"/>
        </w:rPr>
        <w:t>t refers to the</w:t>
      </w:r>
      <w:r w:rsidR="009B2C6B">
        <w:rPr>
          <w:rFonts w:ascii="Times New Roman" w:hAnsi="Times New Roman"/>
          <w:szCs w:val="24"/>
        </w:rPr>
        <w:t xml:space="preserve"> </w:t>
      </w:r>
      <w:r w:rsidR="002E1553">
        <w:rPr>
          <w:rFonts w:ascii="Times New Roman" w:hAnsi="Times New Roman"/>
          <w:szCs w:val="24"/>
        </w:rPr>
        <w:t xml:space="preserve">Commission’s initiative to address the concerns about dioxin formation leading to the </w:t>
      </w:r>
      <w:r w:rsidR="009B2C6B">
        <w:rPr>
          <w:rFonts w:ascii="Times New Roman" w:hAnsi="Times New Roman"/>
          <w:szCs w:val="24"/>
        </w:rPr>
        <w:t>ECHA</w:t>
      </w:r>
      <w:r w:rsidR="00974E14" w:rsidRPr="00974E14">
        <w:rPr>
          <w:rFonts w:ascii="Times New Roman" w:hAnsi="Times New Roman"/>
          <w:szCs w:val="24"/>
        </w:rPr>
        <w:t xml:space="preserve"> opinion of 5 July 2021</w:t>
      </w:r>
      <w:r w:rsidR="00974E14" w:rsidRPr="00974E14">
        <w:rPr>
          <w:rFonts w:ascii="Times New Roman" w:hAnsi="Times New Roman"/>
          <w:szCs w:val="24"/>
          <w:vertAlign w:val="superscript"/>
        </w:rPr>
        <w:footnoteReference w:id="3"/>
      </w:r>
      <w:r w:rsidR="002E1553">
        <w:rPr>
          <w:rFonts w:ascii="Times New Roman" w:hAnsi="Times New Roman"/>
          <w:szCs w:val="24"/>
        </w:rPr>
        <w:t xml:space="preserve">, </w:t>
      </w:r>
      <w:r w:rsidR="009B2C6B">
        <w:rPr>
          <w:rFonts w:ascii="Times New Roman" w:hAnsi="Times New Roman"/>
          <w:szCs w:val="24"/>
        </w:rPr>
        <w:t xml:space="preserve">which </w:t>
      </w:r>
      <w:r w:rsidR="00974E14" w:rsidRPr="00974E14">
        <w:rPr>
          <w:rFonts w:ascii="Times New Roman" w:hAnsi="Times New Roman"/>
          <w:szCs w:val="24"/>
        </w:rPr>
        <w:t>concluded that</w:t>
      </w:r>
      <w:r w:rsidR="00EF2D99">
        <w:rPr>
          <w:rFonts w:ascii="Times New Roman" w:hAnsi="Times New Roman"/>
          <w:szCs w:val="24"/>
        </w:rPr>
        <w:t xml:space="preserve"> </w:t>
      </w:r>
      <w:r w:rsidR="00974E14" w:rsidRPr="00974E14">
        <w:rPr>
          <w:rFonts w:ascii="Times New Roman" w:hAnsi="Times New Roman"/>
          <w:szCs w:val="24"/>
        </w:rPr>
        <w:t>it is not possible to draw any conclusions on the magnitude of the potential contribution of the use of C(M)IT/MIT in fuels with respect to dioxin emissions and exposure, or on the risks for human health and for the environment associated with the use of chlorine additives in fuels</w:t>
      </w:r>
      <w:r w:rsidR="008A457A">
        <w:rPr>
          <w:rFonts w:ascii="Times New Roman" w:hAnsi="Times New Roman"/>
          <w:szCs w:val="24"/>
        </w:rPr>
        <w:t xml:space="preserve"> </w:t>
      </w:r>
      <w:r w:rsidR="008A457A" w:rsidRPr="0078270B">
        <w:rPr>
          <w:rFonts w:ascii="Times New Roman" w:hAnsi="Times New Roman"/>
          <w:bCs/>
          <w:szCs w:val="24"/>
        </w:rPr>
        <w:t>(</w:t>
      </w:r>
      <w:r w:rsidR="008A457A" w:rsidRPr="008A457A">
        <w:rPr>
          <w:rFonts w:ascii="Times New Roman" w:hAnsi="Times New Roman"/>
          <w:b/>
          <w:bCs/>
          <w:szCs w:val="24"/>
        </w:rPr>
        <w:t>recitals G, H</w:t>
      </w:r>
      <w:r w:rsidR="00EF2D99">
        <w:rPr>
          <w:rFonts w:ascii="Times New Roman" w:hAnsi="Times New Roman"/>
          <w:b/>
          <w:bCs/>
          <w:szCs w:val="24"/>
        </w:rPr>
        <w:t xml:space="preserve"> and</w:t>
      </w:r>
      <w:r w:rsidR="008A457A" w:rsidRPr="008A457A">
        <w:rPr>
          <w:rFonts w:ascii="Times New Roman" w:hAnsi="Times New Roman"/>
          <w:b/>
          <w:bCs/>
          <w:szCs w:val="24"/>
        </w:rPr>
        <w:t xml:space="preserve"> I</w:t>
      </w:r>
      <w:r w:rsidR="008A457A" w:rsidRPr="0078270B">
        <w:rPr>
          <w:rFonts w:ascii="Times New Roman" w:hAnsi="Times New Roman"/>
          <w:bCs/>
          <w:szCs w:val="24"/>
        </w:rPr>
        <w:t>)</w:t>
      </w:r>
      <w:r w:rsidR="002E1553" w:rsidRPr="0078270B">
        <w:rPr>
          <w:rFonts w:ascii="Times New Roman" w:hAnsi="Times New Roman"/>
          <w:szCs w:val="24"/>
        </w:rPr>
        <w:t xml:space="preserve">. </w:t>
      </w:r>
      <w:r w:rsidR="002E1553">
        <w:rPr>
          <w:rFonts w:ascii="Times New Roman" w:hAnsi="Times New Roman"/>
          <w:szCs w:val="24"/>
        </w:rPr>
        <w:t>I</w:t>
      </w:r>
      <w:r w:rsidR="00B95734">
        <w:rPr>
          <w:rFonts w:ascii="Times New Roman" w:hAnsi="Times New Roman"/>
          <w:szCs w:val="24"/>
        </w:rPr>
        <w:t>t indicates that</w:t>
      </w:r>
      <w:r w:rsidR="00974E14" w:rsidRPr="00974E14">
        <w:rPr>
          <w:rFonts w:ascii="Times New Roman" w:hAnsi="Times New Roman"/>
          <w:szCs w:val="24"/>
        </w:rPr>
        <w:t xml:space="preserve"> despite ECHA’s conclusion, the Commission considers that refusing the Union authorisation for </w:t>
      </w:r>
      <w:bookmarkStart w:id="2" w:name="_Hlk122361315"/>
      <w:r w:rsidR="005E74FC">
        <w:rPr>
          <w:rFonts w:ascii="Times New Roman" w:hAnsi="Times New Roman"/>
          <w:szCs w:val="24"/>
        </w:rPr>
        <w:t xml:space="preserve">‘the BPF’ </w:t>
      </w:r>
      <w:bookmarkEnd w:id="2"/>
      <w:r w:rsidR="00974E14" w:rsidRPr="00974E14">
        <w:rPr>
          <w:rFonts w:ascii="Times New Roman" w:hAnsi="Times New Roman"/>
          <w:szCs w:val="24"/>
        </w:rPr>
        <w:t>would not lead to a significant decrease of dioxin emissions and that th</w:t>
      </w:r>
      <w:r w:rsidR="002C694B">
        <w:rPr>
          <w:rFonts w:ascii="Times New Roman" w:hAnsi="Times New Roman"/>
          <w:szCs w:val="24"/>
        </w:rPr>
        <w:t>e</w:t>
      </w:r>
      <w:r w:rsidR="00974E14" w:rsidRPr="00974E14">
        <w:rPr>
          <w:rFonts w:ascii="Times New Roman" w:hAnsi="Times New Roman"/>
          <w:szCs w:val="24"/>
        </w:rPr>
        <w:t xml:space="preserve"> authorisation would be compliant with the Union’s obligations under the Stockholm Convention and Regulation (EU) 2019/1021</w:t>
      </w:r>
      <w:r w:rsidR="00B95734">
        <w:rPr>
          <w:rFonts w:ascii="Times New Roman" w:hAnsi="Times New Roman"/>
          <w:szCs w:val="24"/>
        </w:rPr>
        <w:t xml:space="preserve"> </w:t>
      </w:r>
      <w:r w:rsidR="00B95734" w:rsidRPr="0078270B">
        <w:rPr>
          <w:rFonts w:ascii="Times New Roman" w:hAnsi="Times New Roman"/>
          <w:bCs/>
          <w:szCs w:val="24"/>
        </w:rPr>
        <w:t>(</w:t>
      </w:r>
      <w:r w:rsidR="00B95734" w:rsidRPr="00B95734">
        <w:rPr>
          <w:rFonts w:ascii="Times New Roman" w:hAnsi="Times New Roman"/>
          <w:b/>
          <w:bCs/>
          <w:szCs w:val="24"/>
        </w:rPr>
        <w:t>recital J</w:t>
      </w:r>
      <w:r w:rsidR="00B95734" w:rsidRPr="0078270B">
        <w:rPr>
          <w:rFonts w:ascii="Times New Roman" w:hAnsi="Times New Roman"/>
          <w:bCs/>
          <w:szCs w:val="24"/>
        </w:rPr>
        <w:t>)</w:t>
      </w:r>
      <w:r w:rsidR="002C694B" w:rsidRPr="0078270B">
        <w:rPr>
          <w:rFonts w:ascii="Times New Roman" w:hAnsi="Times New Roman"/>
          <w:szCs w:val="24"/>
        </w:rPr>
        <w:t>.</w:t>
      </w:r>
      <w:r w:rsidR="002C694B">
        <w:rPr>
          <w:rFonts w:ascii="Times New Roman" w:hAnsi="Times New Roman"/>
          <w:szCs w:val="24"/>
        </w:rPr>
        <w:t xml:space="preserve"> I</w:t>
      </w:r>
      <w:r w:rsidR="00876089">
        <w:rPr>
          <w:rFonts w:ascii="Times New Roman" w:hAnsi="Times New Roman"/>
          <w:szCs w:val="24"/>
        </w:rPr>
        <w:t xml:space="preserve">t </w:t>
      </w:r>
      <w:r w:rsidR="002C694B">
        <w:rPr>
          <w:rFonts w:ascii="Times New Roman" w:hAnsi="Times New Roman"/>
          <w:szCs w:val="24"/>
        </w:rPr>
        <w:t>recalls</w:t>
      </w:r>
      <w:r w:rsidR="00876089">
        <w:rPr>
          <w:rFonts w:ascii="Times New Roman" w:hAnsi="Times New Roman"/>
          <w:szCs w:val="24"/>
        </w:rPr>
        <w:t xml:space="preserve"> the </w:t>
      </w:r>
      <w:r w:rsidR="00974E14" w:rsidRPr="00974E14">
        <w:rPr>
          <w:rFonts w:ascii="Times New Roman" w:hAnsi="Times New Roman"/>
          <w:szCs w:val="24"/>
        </w:rPr>
        <w:t xml:space="preserve">Commission’s </w:t>
      </w:r>
      <w:r w:rsidR="00974E14" w:rsidRPr="00974E14">
        <w:rPr>
          <w:rFonts w:ascii="Times New Roman" w:hAnsi="Times New Roman"/>
          <w:szCs w:val="24"/>
        </w:rPr>
        <w:lastRenderedPageBreak/>
        <w:t>reasoning that as a consequence of the ambitions of the European Green Deal</w:t>
      </w:r>
      <w:r w:rsidR="00974E14" w:rsidRPr="00974E14">
        <w:rPr>
          <w:rFonts w:ascii="Times New Roman" w:hAnsi="Times New Roman"/>
          <w:szCs w:val="24"/>
          <w:vertAlign w:val="superscript"/>
        </w:rPr>
        <w:footnoteReference w:id="4"/>
      </w:r>
      <w:r w:rsidR="00974E14" w:rsidRPr="00974E14">
        <w:rPr>
          <w:rFonts w:ascii="Times New Roman" w:hAnsi="Times New Roman"/>
          <w:szCs w:val="24"/>
        </w:rPr>
        <w:t xml:space="preserve"> and </w:t>
      </w:r>
      <w:r w:rsidR="00974E14" w:rsidRPr="00974E14">
        <w:rPr>
          <w:rFonts w:ascii="Times New Roman" w:hAnsi="Times New Roman"/>
          <w:bCs/>
          <w:szCs w:val="24"/>
        </w:rPr>
        <w:t>Regulation (EU) 2021/1119 of the European Parliament and of the Council</w:t>
      </w:r>
      <w:r w:rsidR="00974E14" w:rsidRPr="00974E14">
        <w:rPr>
          <w:rFonts w:ascii="Times New Roman" w:hAnsi="Times New Roman"/>
          <w:szCs w:val="24"/>
          <w:vertAlign w:val="superscript"/>
        </w:rPr>
        <w:footnoteReference w:id="5"/>
      </w:r>
      <w:r w:rsidR="00974E14" w:rsidRPr="00974E14">
        <w:rPr>
          <w:rFonts w:ascii="Times New Roman" w:hAnsi="Times New Roman"/>
          <w:szCs w:val="24"/>
        </w:rPr>
        <w:t xml:space="preserve"> to achieve climate neutrality by 2050, the overall amount of fuel that may potentially be treated with </w:t>
      </w:r>
      <w:r w:rsidR="00970C57">
        <w:rPr>
          <w:rFonts w:ascii="Times New Roman" w:hAnsi="Times New Roman"/>
          <w:szCs w:val="24"/>
        </w:rPr>
        <w:t>the BPF</w:t>
      </w:r>
      <w:r w:rsidR="00974E14" w:rsidRPr="00974E14">
        <w:rPr>
          <w:rFonts w:ascii="Times New Roman" w:hAnsi="Times New Roman"/>
          <w:szCs w:val="24"/>
        </w:rPr>
        <w:t xml:space="preserve"> is expected to decline significantly</w:t>
      </w:r>
      <w:r w:rsidR="002C694B">
        <w:rPr>
          <w:rFonts w:ascii="Times New Roman" w:hAnsi="Times New Roman"/>
          <w:szCs w:val="24"/>
        </w:rPr>
        <w:t xml:space="preserve"> in the coming decades</w:t>
      </w:r>
      <w:r w:rsidR="00974E14" w:rsidRPr="00974E14">
        <w:rPr>
          <w:rFonts w:ascii="Times New Roman" w:hAnsi="Times New Roman"/>
          <w:szCs w:val="24"/>
        </w:rPr>
        <w:t>, which lead</w:t>
      </w:r>
      <w:r w:rsidR="002C694B">
        <w:rPr>
          <w:rFonts w:ascii="Times New Roman" w:hAnsi="Times New Roman"/>
          <w:szCs w:val="24"/>
        </w:rPr>
        <w:t>s</w:t>
      </w:r>
      <w:r w:rsidR="00974E14" w:rsidRPr="00974E14">
        <w:rPr>
          <w:rFonts w:ascii="Times New Roman" w:hAnsi="Times New Roman"/>
          <w:szCs w:val="24"/>
        </w:rPr>
        <w:t xml:space="preserve"> to</w:t>
      </w:r>
      <w:r w:rsidR="002C694B">
        <w:rPr>
          <w:rFonts w:ascii="Times New Roman" w:hAnsi="Times New Roman"/>
          <w:szCs w:val="24"/>
        </w:rPr>
        <w:t xml:space="preserve"> a decrease in</w:t>
      </w:r>
      <w:r w:rsidR="00974E14" w:rsidRPr="00974E14">
        <w:rPr>
          <w:rFonts w:ascii="Times New Roman" w:hAnsi="Times New Roman"/>
          <w:szCs w:val="24"/>
        </w:rPr>
        <w:t xml:space="preserve"> the formation of dioxins accordingly</w:t>
      </w:r>
      <w:r w:rsidR="00876089" w:rsidRPr="0078270B">
        <w:rPr>
          <w:rFonts w:ascii="Times New Roman" w:hAnsi="Times New Roman"/>
          <w:szCs w:val="24"/>
        </w:rPr>
        <w:t xml:space="preserve"> </w:t>
      </w:r>
      <w:r w:rsidR="00876089" w:rsidRPr="0078270B">
        <w:rPr>
          <w:rFonts w:ascii="Times New Roman" w:hAnsi="Times New Roman"/>
          <w:bCs/>
          <w:szCs w:val="24"/>
        </w:rPr>
        <w:t>(</w:t>
      </w:r>
      <w:r w:rsidR="00876089" w:rsidRPr="00876089">
        <w:rPr>
          <w:rFonts w:ascii="Times New Roman" w:hAnsi="Times New Roman"/>
          <w:b/>
          <w:bCs/>
          <w:szCs w:val="24"/>
        </w:rPr>
        <w:t>recital K</w:t>
      </w:r>
      <w:r w:rsidR="002C694B" w:rsidRPr="0078270B">
        <w:rPr>
          <w:rFonts w:ascii="Times New Roman" w:hAnsi="Times New Roman"/>
          <w:bCs/>
          <w:szCs w:val="24"/>
        </w:rPr>
        <w:t>)</w:t>
      </w:r>
      <w:r w:rsidR="002C694B">
        <w:rPr>
          <w:rFonts w:ascii="Times New Roman" w:hAnsi="Times New Roman"/>
          <w:szCs w:val="24"/>
        </w:rPr>
        <w:t>. I</w:t>
      </w:r>
      <w:r w:rsidR="00A77D03">
        <w:rPr>
          <w:rFonts w:ascii="Times New Roman" w:hAnsi="Times New Roman"/>
          <w:szCs w:val="24"/>
        </w:rPr>
        <w:t>t</w:t>
      </w:r>
      <w:r w:rsidR="00876089">
        <w:rPr>
          <w:rFonts w:ascii="Times New Roman" w:hAnsi="Times New Roman"/>
          <w:szCs w:val="24"/>
        </w:rPr>
        <w:t xml:space="preserve"> </w:t>
      </w:r>
      <w:r w:rsidR="002C694B">
        <w:rPr>
          <w:rFonts w:ascii="Times New Roman" w:hAnsi="Times New Roman"/>
          <w:szCs w:val="24"/>
        </w:rPr>
        <w:t xml:space="preserve">notes </w:t>
      </w:r>
      <w:r w:rsidR="00EB4942">
        <w:rPr>
          <w:rFonts w:ascii="Times New Roman" w:hAnsi="Times New Roman"/>
          <w:szCs w:val="24"/>
        </w:rPr>
        <w:t>that the ECHA o</w:t>
      </w:r>
      <w:r w:rsidR="00974E14" w:rsidRPr="00974E14">
        <w:rPr>
          <w:rFonts w:ascii="Times New Roman" w:hAnsi="Times New Roman"/>
          <w:szCs w:val="24"/>
        </w:rPr>
        <w:t>pinion of 5 July 2021</w:t>
      </w:r>
      <w:r w:rsidR="00EB4942">
        <w:rPr>
          <w:rFonts w:ascii="Times New Roman" w:hAnsi="Times New Roman"/>
          <w:szCs w:val="24"/>
        </w:rPr>
        <w:t xml:space="preserve"> </w:t>
      </w:r>
      <w:r w:rsidR="002C694B">
        <w:rPr>
          <w:rFonts w:ascii="Times New Roman" w:hAnsi="Times New Roman"/>
          <w:szCs w:val="24"/>
        </w:rPr>
        <w:t xml:space="preserve">confirms </w:t>
      </w:r>
      <w:r w:rsidR="00974E14" w:rsidRPr="00974E14">
        <w:rPr>
          <w:rFonts w:ascii="Times New Roman" w:hAnsi="Times New Roman"/>
          <w:szCs w:val="24"/>
        </w:rPr>
        <w:t>that motor vehicles powered with fuels containing chlorine are sources of dioxin and furan emission</w:t>
      </w:r>
      <w:r w:rsidR="002C694B">
        <w:rPr>
          <w:rFonts w:ascii="Times New Roman" w:hAnsi="Times New Roman"/>
          <w:szCs w:val="24"/>
        </w:rPr>
        <w:t xml:space="preserve"> and</w:t>
      </w:r>
      <w:r w:rsidR="0058470A">
        <w:rPr>
          <w:rFonts w:ascii="Times New Roman" w:hAnsi="Times New Roman"/>
          <w:szCs w:val="24"/>
        </w:rPr>
        <w:t xml:space="preserve"> that</w:t>
      </w:r>
      <w:r w:rsidR="00AA1290">
        <w:rPr>
          <w:rFonts w:ascii="Times New Roman" w:hAnsi="Times New Roman"/>
          <w:szCs w:val="24"/>
        </w:rPr>
        <w:t>,</w:t>
      </w:r>
      <w:r w:rsidR="0058470A">
        <w:rPr>
          <w:rFonts w:ascii="Times New Roman" w:hAnsi="Times New Roman"/>
          <w:szCs w:val="24"/>
        </w:rPr>
        <w:t xml:space="preserve"> </w:t>
      </w:r>
      <w:r w:rsidR="00974E14" w:rsidRPr="00974E14">
        <w:rPr>
          <w:rFonts w:ascii="Times New Roman" w:hAnsi="Times New Roman"/>
          <w:szCs w:val="24"/>
        </w:rPr>
        <w:t>although still minor compared to current dominant sources, the relative contribution of non-industrial diffuse sources, including transport, is likely to increase</w:t>
      </w:r>
      <w:r w:rsidR="00AA1290">
        <w:rPr>
          <w:rFonts w:ascii="Times New Roman" w:hAnsi="Times New Roman"/>
          <w:szCs w:val="24"/>
        </w:rPr>
        <w:t xml:space="preserve"> and </w:t>
      </w:r>
      <w:r w:rsidR="00974E14" w:rsidRPr="00974E14">
        <w:rPr>
          <w:rFonts w:ascii="Times New Roman" w:hAnsi="Times New Roman"/>
          <w:szCs w:val="24"/>
        </w:rPr>
        <w:t>that their relative importance in terms of human exposure could be higher</w:t>
      </w:r>
      <w:r w:rsidR="00876089">
        <w:rPr>
          <w:rFonts w:ascii="Times New Roman" w:hAnsi="Times New Roman"/>
          <w:szCs w:val="24"/>
        </w:rPr>
        <w:t xml:space="preserve"> </w:t>
      </w:r>
      <w:r w:rsidR="00876089" w:rsidRPr="00876089">
        <w:rPr>
          <w:rFonts w:ascii="Times New Roman" w:hAnsi="Times New Roman"/>
          <w:b/>
          <w:bCs/>
          <w:szCs w:val="24"/>
        </w:rPr>
        <w:t>(recitals L and M)</w:t>
      </w:r>
      <w:r w:rsidR="00AA1290">
        <w:rPr>
          <w:rFonts w:ascii="Times New Roman" w:hAnsi="Times New Roman"/>
          <w:szCs w:val="24"/>
        </w:rPr>
        <w:t>. I</w:t>
      </w:r>
      <w:r w:rsidR="005A7E1B">
        <w:rPr>
          <w:rFonts w:ascii="Times New Roman" w:hAnsi="Times New Roman"/>
          <w:szCs w:val="24"/>
        </w:rPr>
        <w:t xml:space="preserve">t </w:t>
      </w:r>
      <w:r w:rsidR="001D3DB8">
        <w:rPr>
          <w:rFonts w:ascii="Times New Roman" w:hAnsi="Times New Roman"/>
          <w:szCs w:val="24"/>
        </w:rPr>
        <w:t>opines</w:t>
      </w:r>
      <w:r w:rsidR="005A7E1B">
        <w:rPr>
          <w:rFonts w:ascii="Times New Roman" w:hAnsi="Times New Roman"/>
          <w:szCs w:val="24"/>
        </w:rPr>
        <w:t xml:space="preserve"> that</w:t>
      </w:r>
      <w:r w:rsidR="00974E14" w:rsidRPr="00974E14">
        <w:rPr>
          <w:rFonts w:ascii="Times New Roman" w:hAnsi="Times New Roman"/>
          <w:szCs w:val="24"/>
        </w:rPr>
        <w:t xml:space="preserve"> the scientific uncertainty as to the level of the risks to human health and the environment due to the exposure to dioxins via the environment from the use of </w:t>
      </w:r>
      <w:r w:rsidR="001D3DB8">
        <w:rPr>
          <w:rFonts w:ascii="Times New Roman" w:hAnsi="Times New Roman"/>
          <w:szCs w:val="24"/>
        </w:rPr>
        <w:t>t</w:t>
      </w:r>
      <w:r w:rsidR="005E74FC">
        <w:rPr>
          <w:rFonts w:ascii="Times New Roman" w:hAnsi="Times New Roman"/>
          <w:szCs w:val="24"/>
        </w:rPr>
        <w:t xml:space="preserve">he BPF </w:t>
      </w:r>
      <w:r w:rsidR="00974E14" w:rsidRPr="00974E14">
        <w:rPr>
          <w:rFonts w:ascii="Times New Roman" w:hAnsi="Times New Roman"/>
          <w:szCs w:val="24"/>
        </w:rPr>
        <w:t>make</w:t>
      </w:r>
      <w:r w:rsidR="001D3DB8">
        <w:rPr>
          <w:rFonts w:ascii="Times New Roman" w:hAnsi="Times New Roman"/>
          <w:szCs w:val="24"/>
        </w:rPr>
        <w:t>s</w:t>
      </w:r>
      <w:r w:rsidR="00974E14" w:rsidRPr="00974E14">
        <w:rPr>
          <w:rFonts w:ascii="Times New Roman" w:hAnsi="Times New Roman"/>
          <w:szCs w:val="24"/>
        </w:rPr>
        <w:t xml:space="preserve"> it possible to conclu</w:t>
      </w:r>
      <w:r w:rsidR="001D3DB8">
        <w:rPr>
          <w:rFonts w:ascii="Times New Roman" w:hAnsi="Times New Roman"/>
          <w:szCs w:val="24"/>
        </w:rPr>
        <w:t>de</w:t>
      </w:r>
      <w:r w:rsidR="00974E14" w:rsidRPr="00974E14">
        <w:rPr>
          <w:rFonts w:ascii="Times New Roman" w:hAnsi="Times New Roman"/>
          <w:szCs w:val="24"/>
        </w:rPr>
        <w:t xml:space="preserve"> </w:t>
      </w:r>
      <w:r w:rsidR="001D3DB8">
        <w:rPr>
          <w:rFonts w:ascii="Times New Roman" w:hAnsi="Times New Roman"/>
          <w:szCs w:val="24"/>
        </w:rPr>
        <w:t>whether</w:t>
      </w:r>
      <w:r w:rsidR="00974E14" w:rsidRPr="00974E14">
        <w:rPr>
          <w:rFonts w:ascii="Times New Roman" w:hAnsi="Times New Roman"/>
          <w:szCs w:val="24"/>
        </w:rPr>
        <w:t xml:space="preserve"> authorising </w:t>
      </w:r>
      <w:r w:rsidR="001D3DB8">
        <w:rPr>
          <w:rFonts w:ascii="Times New Roman" w:hAnsi="Times New Roman"/>
          <w:szCs w:val="24"/>
        </w:rPr>
        <w:t xml:space="preserve">the BPF </w:t>
      </w:r>
      <w:r w:rsidR="00974E14" w:rsidRPr="00974E14">
        <w:rPr>
          <w:rFonts w:ascii="Times New Roman" w:hAnsi="Times New Roman"/>
          <w:szCs w:val="24"/>
        </w:rPr>
        <w:t>would be in line with the Stockholm Convention and Regulation (EU) 2019/1021</w:t>
      </w:r>
      <w:r w:rsidR="005A7E1B">
        <w:rPr>
          <w:rFonts w:ascii="Times New Roman" w:hAnsi="Times New Roman"/>
          <w:szCs w:val="24"/>
        </w:rPr>
        <w:t xml:space="preserve"> </w:t>
      </w:r>
      <w:r w:rsidR="005A7E1B" w:rsidRPr="005A7E1B">
        <w:rPr>
          <w:rFonts w:ascii="Times New Roman" w:hAnsi="Times New Roman"/>
          <w:b/>
          <w:bCs/>
          <w:szCs w:val="24"/>
        </w:rPr>
        <w:t>(recital N)</w:t>
      </w:r>
      <w:r w:rsidR="001D3DB8">
        <w:rPr>
          <w:rFonts w:ascii="Times New Roman" w:hAnsi="Times New Roman"/>
          <w:szCs w:val="24"/>
        </w:rPr>
        <w:t>.</w:t>
      </w:r>
      <w:r w:rsidR="003B4F53">
        <w:rPr>
          <w:rFonts w:ascii="Times New Roman" w:hAnsi="Times New Roman"/>
          <w:szCs w:val="24"/>
        </w:rPr>
        <w:t xml:space="preserve"> </w:t>
      </w:r>
      <w:r w:rsidR="001D3DB8">
        <w:rPr>
          <w:rFonts w:ascii="Times New Roman" w:hAnsi="Times New Roman"/>
          <w:szCs w:val="24"/>
        </w:rPr>
        <w:t>I</w:t>
      </w:r>
      <w:r w:rsidR="003B4F53">
        <w:rPr>
          <w:rFonts w:ascii="Times New Roman" w:hAnsi="Times New Roman"/>
          <w:szCs w:val="24"/>
        </w:rPr>
        <w:t xml:space="preserve">t </w:t>
      </w:r>
      <w:r w:rsidR="000F5F0F">
        <w:rPr>
          <w:rFonts w:ascii="Times New Roman" w:hAnsi="Times New Roman"/>
          <w:szCs w:val="24"/>
        </w:rPr>
        <w:t>finds a</w:t>
      </w:r>
      <w:r w:rsidR="00974E14" w:rsidRPr="00974E14">
        <w:rPr>
          <w:rFonts w:ascii="Times New Roman" w:hAnsi="Times New Roman"/>
          <w:szCs w:val="24"/>
        </w:rPr>
        <w:t xml:space="preserve"> contradiction between the decision by the Commission to grant an authorisation for </w:t>
      </w:r>
      <w:r w:rsidR="005E74FC">
        <w:rPr>
          <w:rFonts w:ascii="Times New Roman" w:hAnsi="Times New Roman"/>
          <w:szCs w:val="24"/>
        </w:rPr>
        <w:t>the BPF</w:t>
      </w:r>
      <w:r w:rsidR="000F5F0F">
        <w:rPr>
          <w:rFonts w:ascii="Times New Roman" w:hAnsi="Times New Roman"/>
          <w:szCs w:val="24"/>
        </w:rPr>
        <w:t xml:space="preserve"> while accepting </w:t>
      </w:r>
      <w:r w:rsidR="00974E14" w:rsidRPr="00974E14">
        <w:rPr>
          <w:rFonts w:ascii="Times New Roman" w:hAnsi="Times New Roman"/>
          <w:szCs w:val="24"/>
        </w:rPr>
        <w:t xml:space="preserve">not </w:t>
      </w:r>
      <w:r w:rsidR="000F5F0F">
        <w:rPr>
          <w:rFonts w:ascii="Times New Roman" w:hAnsi="Times New Roman"/>
          <w:szCs w:val="24"/>
        </w:rPr>
        <w:t xml:space="preserve">to </w:t>
      </w:r>
      <w:r w:rsidR="00974E14" w:rsidRPr="00974E14">
        <w:rPr>
          <w:rFonts w:ascii="Times New Roman" w:hAnsi="Times New Roman"/>
          <w:szCs w:val="24"/>
        </w:rPr>
        <w:t xml:space="preserve">apply or </w:t>
      </w:r>
      <w:r w:rsidR="000F5F0F">
        <w:rPr>
          <w:rFonts w:ascii="Times New Roman" w:hAnsi="Times New Roman"/>
          <w:szCs w:val="24"/>
        </w:rPr>
        <w:t xml:space="preserve">to </w:t>
      </w:r>
      <w:r w:rsidR="00974E14" w:rsidRPr="00974E14">
        <w:rPr>
          <w:rFonts w:ascii="Times New Roman" w:hAnsi="Times New Roman"/>
          <w:szCs w:val="24"/>
        </w:rPr>
        <w:t xml:space="preserve">adjust that authorisation </w:t>
      </w:r>
      <w:r w:rsidR="000F5F0F">
        <w:rPr>
          <w:rFonts w:ascii="Times New Roman" w:hAnsi="Times New Roman"/>
          <w:szCs w:val="24"/>
        </w:rPr>
        <w:t xml:space="preserve">for Denmark, Belgium and Germany </w:t>
      </w:r>
      <w:r w:rsidR="00974E14" w:rsidRPr="00974E14">
        <w:rPr>
          <w:rFonts w:ascii="Times New Roman" w:hAnsi="Times New Roman"/>
          <w:szCs w:val="24"/>
        </w:rPr>
        <w:t>due to its potential negative effects on human health and the environment, stemming from dioxin formation</w:t>
      </w:r>
      <w:r w:rsidR="00686BD7">
        <w:rPr>
          <w:rFonts w:ascii="Times New Roman" w:hAnsi="Times New Roman"/>
          <w:szCs w:val="24"/>
        </w:rPr>
        <w:t xml:space="preserve"> </w:t>
      </w:r>
      <w:r w:rsidR="00686BD7" w:rsidRPr="00521853">
        <w:rPr>
          <w:rFonts w:ascii="Times New Roman" w:hAnsi="Times New Roman"/>
          <w:b/>
          <w:bCs/>
          <w:szCs w:val="24"/>
        </w:rPr>
        <w:t>(</w:t>
      </w:r>
      <w:r w:rsidR="00686BD7">
        <w:rPr>
          <w:rFonts w:ascii="Times New Roman" w:hAnsi="Times New Roman"/>
          <w:b/>
          <w:bCs/>
          <w:szCs w:val="24"/>
        </w:rPr>
        <w:t xml:space="preserve">recitals O, P, and </w:t>
      </w:r>
      <w:r w:rsidR="00686BD7" w:rsidRPr="00521853">
        <w:rPr>
          <w:rFonts w:ascii="Times New Roman" w:hAnsi="Times New Roman"/>
          <w:b/>
          <w:bCs/>
          <w:szCs w:val="24"/>
        </w:rPr>
        <w:t>Q</w:t>
      </w:r>
      <w:r w:rsidR="00686BD7">
        <w:rPr>
          <w:rFonts w:ascii="Times New Roman" w:hAnsi="Times New Roman"/>
          <w:b/>
          <w:bCs/>
          <w:szCs w:val="24"/>
        </w:rPr>
        <w:t>)</w:t>
      </w:r>
      <w:r w:rsidR="00686BD7">
        <w:rPr>
          <w:rFonts w:ascii="Times New Roman" w:hAnsi="Times New Roman"/>
          <w:szCs w:val="24"/>
        </w:rPr>
        <w:t xml:space="preserve">. It </w:t>
      </w:r>
      <w:r w:rsidR="005769C6">
        <w:rPr>
          <w:rFonts w:ascii="Times New Roman" w:hAnsi="Times New Roman"/>
          <w:szCs w:val="24"/>
        </w:rPr>
        <w:t>points out that</w:t>
      </w:r>
      <w:r w:rsidR="0063019F" w:rsidRPr="0063019F">
        <w:rPr>
          <w:rFonts w:ascii="Times New Roman" w:hAnsi="Times New Roman"/>
          <w:szCs w:val="24"/>
        </w:rPr>
        <w:t xml:space="preserve"> the requests </w:t>
      </w:r>
      <w:r w:rsidR="000F5F0F">
        <w:rPr>
          <w:rFonts w:ascii="Times New Roman" w:hAnsi="Times New Roman"/>
          <w:szCs w:val="24"/>
        </w:rPr>
        <w:t xml:space="preserve">for derogation from these Member States </w:t>
      </w:r>
      <w:r w:rsidR="0063019F" w:rsidRPr="0063019F">
        <w:rPr>
          <w:rFonts w:ascii="Times New Roman" w:hAnsi="Times New Roman"/>
          <w:szCs w:val="24"/>
        </w:rPr>
        <w:t>were also made on the grounds that alternative fuel preservat</w:t>
      </w:r>
      <w:r w:rsidR="000F5F0F">
        <w:rPr>
          <w:rFonts w:ascii="Times New Roman" w:hAnsi="Times New Roman"/>
          <w:szCs w:val="24"/>
        </w:rPr>
        <w:t>ives</w:t>
      </w:r>
      <w:r w:rsidR="0063019F" w:rsidRPr="0063019F">
        <w:rPr>
          <w:rFonts w:ascii="Times New Roman" w:hAnsi="Times New Roman"/>
          <w:szCs w:val="24"/>
        </w:rPr>
        <w:t xml:space="preserve"> without halogenated compounds are available</w:t>
      </w:r>
      <w:r w:rsidR="00006E65">
        <w:rPr>
          <w:rFonts w:ascii="Times New Roman" w:hAnsi="Times New Roman"/>
          <w:szCs w:val="24"/>
        </w:rPr>
        <w:t>,</w:t>
      </w:r>
      <w:r w:rsidR="0063019F" w:rsidRPr="0063019F">
        <w:rPr>
          <w:rFonts w:ascii="Times New Roman" w:hAnsi="Times New Roman"/>
          <w:szCs w:val="24"/>
        </w:rPr>
        <w:t xml:space="preserve"> </w:t>
      </w:r>
      <w:r w:rsidR="00006E65">
        <w:rPr>
          <w:rFonts w:ascii="Times New Roman" w:hAnsi="Times New Roman"/>
          <w:szCs w:val="24"/>
        </w:rPr>
        <w:t>recalls that</w:t>
      </w:r>
      <w:r w:rsidR="00006E65" w:rsidRPr="00974E14">
        <w:rPr>
          <w:rFonts w:ascii="Times New Roman" w:hAnsi="Times New Roman"/>
          <w:szCs w:val="24"/>
        </w:rPr>
        <w:t xml:space="preserve"> Article 5, point (c), of the Stockholm Convention </w:t>
      </w:r>
      <w:r w:rsidR="00006E65">
        <w:rPr>
          <w:rFonts w:ascii="Times New Roman" w:hAnsi="Times New Roman"/>
          <w:szCs w:val="24"/>
        </w:rPr>
        <w:t>obliges</w:t>
      </w:r>
      <w:r w:rsidR="00006E65" w:rsidRPr="00974E14">
        <w:rPr>
          <w:rFonts w:ascii="Times New Roman" w:hAnsi="Times New Roman"/>
          <w:szCs w:val="24"/>
        </w:rPr>
        <w:t xml:space="preserve"> each party, </w:t>
      </w:r>
      <w:r w:rsidR="00006E65">
        <w:rPr>
          <w:rFonts w:ascii="Times New Roman" w:hAnsi="Times New Roman"/>
          <w:szCs w:val="24"/>
        </w:rPr>
        <w:t xml:space="preserve">as a minimum, </w:t>
      </w:r>
      <w:r w:rsidR="00006E65" w:rsidRPr="00974E14">
        <w:rPr>
          <w:rFonts w:ascii="Times New Roman" w:hAnsi="Times New Roman"/>
          <w:szCs w:val="24"/>
        </w:rPr>
        <w:t xml:space="preserve">where it deems it appropriate, </w:t>
      </w:r>
      <w:r w:rsidR="00006E65">
        <w:rPr>
          <w:rFonts w:ascii="Times New Roman" w:hAnsi="Times New Roman"/>
          <w:szCs w:val="24"/>
        </w:rPr>
        <w:t xml:space="preserve">to </w:t>
      </w:r>
      <w:r w:rsidR="00006E65" w:rsidRPr="00974E14">
        <w:rPr>
          <w:rFonts w:ascii="Times New Roman" w:hAnsi="Times New Roman"/>
          <w:szCs w:val="24"/>
        </w:rPr>
        <w:t xml:space="preserve">require the use of substitute or modified materials, products and processes to prevent the formation and release </w:t>
      </w:r>
      <w:r w:rsidR="00006E65">
        <w:rPr>
          <w:rFonts w:ascii="Times New Roman" w:hAnsi="Times New Roman"/>
          <w:szCs w:val="24"/>
        </w:rPr>
        <w:t xml:space="preserve">of dioxins and that </w:t>
      </w:r>
      <w:r w:rsidR="00006E65" w:rsidRPr="00974E14">
        <w:rPr>
          <w:rFonts w:ascii="Times New Roman" w:hAnsi="Times New Roman"/>
          <w:szCs w:val="24"/>
        </w:rPr>
        <w:t xml:space="preserve">Article 6(2) of Regulation (EU) 2019/1021 obliges Member States </w:t>
      </w:r>
      <w:r w:rsidR="00006E65">
        <w:rPr>
          <w:rFonts w:ascii="Times New Roman" w:hAnsi="Times New Roman"/>
          <w:szCs w:val="24"/>
        </w:rPr>
        <w:t xml:space="preserve">to do the same </w:t>
      </w:r>
      <w:r w:rsidR="00E03206">
        <w:rPr>
          <w:rFonts w:ascii="Times New Roman" w:hAnsi="Times New Roman"/>
          <w:b/>
          <w:bCs/>
          <w:szCs w:val="24"/>
        </w:rPr>
        <w:t>(r</w:t>
      </w:r>
      <w:r w:rsidR="00686BD7">
        <w:rPr>
          <w:rFonts w:ascii="Times New Roman" w:hAnsi="Times New Roman"/>
          <w:b/>
          <w:bCs/>
          <w:szCs w:val="24"/>
        </w:rPr>
        <w:t xml:space="preserve">ecitals </w:t>
      </w:r>
      <w:r w:rsidR="005304D6" w:rsidRPr="005304D6">
        <w:rPr>
          <w:rFonts w:ascii="Times New Roman" w:hAnsi="Times New Roman"/>
          <w:b/>
          <w:bCs/>
          <w:szCs w:val="24"/>
        </w:rPr>
        <w:t>R</w:t>
      </w:r>
      <w:r w:rsidR="00006E65">
        <w:rPr>
          <w:rFonts w:ascii="Times New Roman" w:hAnsi="Times New Roman"/>
          <w:b/>
          <w:bCs/>
          <w:szCs w:val="24"/>
        </w:rPr>
        <w:t>,</w:t>
      </w:r>
      <w:r w:rsidR="00686BD7">
        <w:rPr>
          <w:rFonts w:ascii="Times New Roman" w:hAnsi="Times New Roman"/>
          <w:b/>
          <w:bCs/>
          <w:szCs w:val="24"/>
        </w:rPr>
        <w:t xml:space="preserve"> </w:t>
      </w:r>
      <w:r w:rsidR="00006E65">
        <w:rPr>
          <w:rFonts w:ascii="Times New Roman" w:hAnsi="Times New Roman"/>
          <w:b/>
          <w:bCs/>
          <w:szCs w:val="24"/>
        </w:rPr>
        <w:t>S and T</w:t>
      </w:r>
      <w:r w:rsidR="005304D6" w:rsidRPr="005304D6">
        <w:rPr>
          <w:rFonts w:ascii="Times New Roman" w:hAnsi="Times New Roman"/>
          <w:b/>
          <w:bCs/>
          <w:szCs w:val="24"/>
        </w:rPr>
        <w:t>)</w:t>
      </w:r>
      <w:r w:rsidR="000F5F0F">
        <w:rPr>
          <w:rFonts w:ascii="Times New Roman" w:hAnsi="Times New Roman"/>
          <w:szCs w:val="24"/>
        </w:rPr>
        <w:t xml:space="preserve">. </w:t>
      </w:r>
      <w:r w:rsidR="00006E65">
        <w:rPr>
          <w:rFonts w:ascii="Times New Roman" w:hAnsi="Times New Roman"/>
          <w:szCs w:val="24"/>
        </w:rPr>
        <w:t>I</w:t>
      </w:r>
      <w:r w:rsidR="00E56090">
        <w:rPr>
          <w:rFonts w:ascii="Times New Roman" w:hAnsi="Times New Roman"/>
          <w:szCs w:val="24"/>
        </w:rPr>
        <w:t xml:space="preserve">t </w:t>
      </w:r>
      <w:r w:rsidR="00006E65">
        <w:rPr>
          <w:rFonts w:ascii="Times New Roman" w:hAnsi="Times New Roman"/>
          <w:szCs w:val="24"/>
        </w:rPr>
        <w:t>notes</w:t>
      </w:r>
      <w:r w:rsidR="00E56090">
        <w:rPr>
          <w:rFonts w:ascii="Times New Roman" w:hAnsi="Times New Roman"/>
          <w:szCs w:val="24"/>
        </w:rPr>
        <w:t xml:space="preserve"> that </w:t>
      </w:r>
      <w:r w:rsidR="00974E14" w:rsidRPr="00974E14">
        <w:rPr>
          <w:rFonts w:ascii="Times New Roman" w:hAnsi="Times New Roman"/>
          <w:szCs w:val="24"/>
        </w:rPr>
        <w:t xml:space="preserve">according to the BPC opinion of 5 March 2020, one of the co-formulants of </w:t>
      </w:r>
      <w:r w:rsidR="005E74FC" w:rsidRPr="005E74FC">
        <w:rPr>
          <w:rFonts w:ascii="Times New Roman" w:hAnsi="Times New Roman"/>
          <w:szCs w:val="24"/>
        </w:rPr>
        <w:t xml:space="preserve">the BPF </w:t>
      </w:r>
      <w:r w:rsidR="00974E14" w:rsidRPr="00974E14">
        <w:rPr>
          <w:rFonts w:ascii="Times New Roman" w:hAnsi="Times New Roman"/>
          <w:szCs w:val="24"/>
        </w:rPr>
        <w:t>was identified as potentially having endocrine-disrupting properties</w:t>
      </w:r>
      <w:r w:rsidR="00006E65">
        <w:rPr>
          <w:rFonts w:ascii="Times New Roman" w:hAnsi="Times New Roman"/>
          <w:szCs w:val="24"/>
        </w:rPr>
        <w:t xml:space="preserve">, but that this was not conclusive </w:t>
      </w:r>
      <w:r w:rsidR="00E56090">
        <w:rPr>
          <w:rFonts w:ascii="Times New Roman" w:hAnsi="Times New Roman"/>
          <w:szCs w:val="24"/>
        </w:rPr>
        <w:t xml:space="preserve">and that </w:t>
      </w:r>
      <w:r w:rsidR="00006E65">
        <w:rPr>
          <w:rFonts w:ascii="Times New Roman" w:hAnsi="Times New Roman"/>
          <w:szCs w:val="24"/>
        </w:rPr>
        <w:t xml:space="preserve">for further clarification </w:t>
      </w:r>
      <w:r w:rsidR="00E56090">
        <w:rPr>
          <w:rFonts w:ascii="Times New Roman" w:hAnsi="Times New Roman"/>
          <w:szCs w:val="24"/>
        </w:rPr>
        <w:t>a</w:t>
      </w:r>
      <w:r w:rsidR="00974E14" w:rsidRPr="00974E14">
        <w:rPr>
          <w:rFonts w:ascii="Times New Roman" w:hAnsi="Times New Roman"/>
          <w:szCs w:val="24"/>
        </w:rPr>
        <w:t xml:space="preserve"> process under REACH will be triggered by the e</w:t>
      </w:r>
      <w:r w:rsidR="00006E65">
        <w:rPr>
          <w:rFonts w:ascii="Times New Roman" w:hAnsi="Times New Roman"/>
          <w:szCs w:val="24"/>
        </w:rPr>
        <w:t xml:space="preserve">valuating </w:t>
      </w:r>
      <w:r w:rsidR="00974E14" w:rsidRPr="00974E14">
        <w:rPr>
          <w:rFonts w:ascii="Times New Roman" w:hAnsi="Times New Roman"/>
          <w:szCs w:val="24"/>
        </w:rPr>
        <w:t>C</w:t>
      </w:r>
      <w:r w:rsidR="00006E65">
        <w:rPr>
          <w:rFonts w:ascii="Times New Roman" w:hAnsi="Times New Roman"/>
          <w:szCs w:val="24"/>
        </w:rPr>
        <w:t xml:space="preserve">ompetent </w:t>
      </w:r>
      <w:r w:rsidR="00974E14" w:rsidRPr="00974E14">
        <w:rPr>
          <w:rFonts w:ascii="Times New Roman" w:hAnsi="Times New Roman"/>
          <w:szCs w:val="24"/>
        </w:rPr>
        <w:t>A</w:t>
      </w:r>
      <w:r w:rsidR="00006E65">
        <w:rPr>
          <w:rFonts w:ascii="Times New Roman" w:hAnsi="Times New Roman"/>
          <w:szCs w:val="24"/>
        </w:rPr>
        <w:t>uthority</w:t>
      </w:r>
      <w:r w:rsidR="00974E14" w:rsidRPr="00974E14">
        <w:rPr>
          <w:rFonts w:ascii="Times New Roman" w:hAnsi="Times New Roman"/>
          <w:szCs w:val="24"/>
        </w:rPr>
        <w:t xml:space="preserve"> (France) </w:t>
      </w:r>
      <w:r w:rsidR="00870D5B" w:rsidRPr="00870D5B">
        <w:rPr>
          <w:rFonts w:ascii="Times New Roman" w:hAnsi="Times New Roman"/>
          <w:b/>
          <w:bCs/>
          <w:szCs w:val="24"/>
        </w:rPr>
        <w:t>(recital U)</w:t>
      </w:r>
      <w:r w:rsidR="00006E65" w:rsidRPr="00E03206">
        <w:rPr>
          <w:rFonts w:ascii="Times New Roman" w:hAnsi="Times New Roman"/>
          <w:bCs/>
          <w:szCs w:val="24"/>
        </w:rPr>
        <w:t>.</w:t>
      </w:r>
    </w:p>
    <w:p w14:paraId="614ABEBD" w14:textId="6B9A45C4" w:rsidR="00974E14" w:rsidRPr="00974E14" w:rsidRDefault="00C80B67" w:rsidP="00974E14">
      <w:pPr>
        <w:widowControl w:val="0"/>
        <w:spacing w:after="120"/>
        <w:rPr>
          <w:rFonts w:ascii="Times New Roman" w:hAnsi="Times New Roman"/>
          <w:b/>
          <w:bCs/>
          <w:szCs w:val="24"/>
        </w:rPr>
      </w:pPr>
      <w:r>
        <w:rPr>
          <w:rFonts w:ascii="Times New Roman" w:hAnsi="Times New Roman"/>
          <w:szCs w:val="24"/>
        </w:rPr>
        <w:t>The resolution c</w:t>
      </w:r>
      <w:r w:rsidR="00974E14" w:rsidRPr="00974E14">
        <w:rPr>
          <w:rFonts w:ascii="Times New Roman" w:hAnsi="Times New Roman"/>
          <w:szCs w:val="24"/>
        </w:rPr>
        <w:t xml:space="preserve">onsiders that the draft Commission implementing regulation exceeds the implementing powers provided </w:t>
      </w:r>
      <w:bookmarkStart w:id="3" w:name="_Hlk122364200"/>
      <w:r w:rsidR="00974E14" w:rsidRPr="00974E14">
        <w:rPr>
          <w:rFonts w:ascii="Times New Roman" w:hAnsi="Times New Roman"/>
          <w:szCs w:val="24"/>
        </w:rPr>
        <w:t>for in Regulation (EU) No 528/2012</w:t>
      </w:r>
      <w:r>
        <w:rPr>
          <w:rFonts w:ascii="Times New Roman" w:hAnsi="Times New Roman"/>
          <w:szCs w:val="24"/>
        </w:rPr>
        <w:t xml:space="preserve"> </w:t>
      </w:r>
      <w:bookmarkEnd w:id="3"/>
      <w:r w:rsidRPr="00C80B67">
        <w:rPr>
          <w:rFonts w:ascii="Times New Roman" w:hAnsi="Times New Roman"/>
          <w:b/>
          <w:bCs/>
          <w:szCs w:val="24"/>
        </w:rPr>
        <w:t>(paragraph 1)</w:t>
      </w:r>
      <w:r w:rsidR="00F4056D">
        <w:rPr>
          <w:rFonts w:ascii="Times New Roman" w:hAnsi="Times New Roman"/>
          <w:b/>
          <w:bCs/>
          <w:szCs w:val="24"/>
        </w:rPr>
        <w:t xml:space="preserve"> </w:t>
      </w:r>
      <w:r w:rsidR="00F4056D" w:rsidRPr="00F4056D">
        <w:rPr>
          <w:rFonts w:ascii="Times New Roman" w:hAnsi="Times New Roman"/>
          <w:szCs w:val="24"/>
        </w:rPr>
        <w:t>and is</w:t>
      </w:r>
      <w:r w:rsidR="00974E14" w:rsidRPr="00974E14">
        <w:rPr>
          <w:rFonts w:ascii="Times New Roman" w:hAnsi="Times New Roman"/>
          <w:szCs w:val="24"/>
        </w:rPr>
        <w:t xml:space="preserve"> not consistent with Union law, in that it is not compatible with the aim and content of Regulation (EU) 2019/1021 and the requirements of the Stockholm Convention</w:t>
      </w:r>
      <w:r w:rsidR="00F4056D">
        <w:rPr>
          <w:rFonts w:ascii="Times New Roman" w:hAnsi="Times New Roman"/>
          <w:szCs w:val="24"/>
        </w:rPr>
        <w:t xml:space="preserve"> </w:t>
      </w:r>
      <w:r w:rsidR="00F4056D" w:rsidRPr="00F4056D">
        <w:rPr>
          <w:rFonts w:ascii="Times New Roman" w:hAnsi="Times New Roman"/>
          <w:b/>
          <w:bCs/>
          <w:szCs w:val="24"/>
        </w:rPr>
        <w:t>(paragraph</w:t>
      </w:r>
      <w:r w:rsidR="00E03206">
        <w:rPr>
          <w:rFonts w:ascii="Times New Roman" w:hAnsi="Times New Roman"/>
          <w:b/>
          <w:bCs/>
          <w:szCs w:val="24"/>
        </w:rPr>
        <w:t> </w:t>
      </w:r>
      <w:r w:rsidR="00F4056D" w:rsidRPr="00F4056D">
        <w:rPr>
          <w:rFonts w:ascii="Times New Roman" w:hAnsi="Times New Roman"/>
          <w:b/>
          <w:bCs/>
          <w:szCs w:val="24"/>
        </w:rPr>
        <w:t>2</w:t>
      </w:r>
      <w:r w:rsidR="00F4056D" w:rsidRPr="00F4056D">
        <w:rPr>
          <w:rFonts w:ascii="Times New Roman" w:hAnsi="Times New Roman"/>
          <w:szCs w:val="24"/>
        </w:rPr>
        <w:t>)</w:t>
      </w:r>
      <w:r w:rsidR="00874DED">
        <w:rPr>
          <w:rFonts w:ascii="Times New Roman" w:hAnsi="Times New Roman"/>
          <w:szCs w:val="24"/>
        </w:rPr>
        <w:t>. It considers</w:t>
      </w:r>
      <w:r w:rsidR="00F4056D">
        <w:rPr>
          <w:rFonts w:ascii="Times New Roman" w:hAnsi="Times New Roman"/>
          <w:szCs w:val="24"/>
        </w:rPr>
        <w:t xml:space="preserve"> </w:t>
      </w:r>
      <w:r w:rsidR="00874DED">
        <w:rPr>
          <w:rFonts w:ascii="Times New Roman" w:hAnsi="Times New Roman"/>
          <w:szCs w:val="24"/>
        </w:rPr>
        <w:t>that the draft regulation</w:t>
      </w:r>
      <w:r w:rsidR="00F4056D" w:rsidRPr="00F4056D">
        <w:rPr>
          <w:rFonts w:ascii="Times New Roman" w:hAnsi="Times New Roman"/>
          <w:szCs w:val="24"/>
        </w:rPr>
        <w:t xml:space="preserve"> is not</w:t>
      </w:r>
      <w:r w:rsidR="00974E14" w:rsidRPr="00974E14">
        <w:rPr>
          <w:rFonts w:ascii="Times New Roman" w:hAnsi="Times New Roman"/>
          <w:szCs w:val="24"/>
        </w:rPr>
        <w:t xml:space="preserve"> proportionate in light of</w:t>
      </w:r>
      <w:r w:rsidR="00F4056D">
        <w:rPr>
          <w:rFonts w:ascii="Times New Roman" w:hAnsi="Times New Roman"/>
          <w:szCs w:val="24"/>
        </w:rPr>
        <w:t xml:space="preserve"> </w:t>
      </w:r>
      <w:r w:rsidR="00974E14" w:rsidRPr="00974E14">
        <w:rPr>
          <w:rFonts w:ascii="Times New Roman" w:hAnsi="Times New Roman"/>
          <w:szCs w:val="24"/>
        </w:rPr>
        <w:t>the scientific uncertainty as to the levels of the risks to human health and the environment due to the exposure to dioxins via the environment from the use of the biocidal product family ‘CMIT/MIT SOLVENT BASED’</w:t>
      </w:r>
      <w:r w:rsidR="00F4056D">
        <w:rPr>
          <w:rFonts w:ascii="Times New Roman" w:hAnsi="Times New Roman"/>
          <w:szCs w:val="24"/>
        </w:rPr>
        <w:t xml:space="preserve">, </w:t>
      </w:r>
      <w:r w:rsidR="00974E14" w:rsidRPr="00974E14">
        <w:rPr>
          <w:rFonts w:ascii="Times New Roman" w:hAnsi="Times New Roman"/>
          <w:szCs w:val="24"/>
        </w:rPr>
        <w:t>the availability of alternatives for fuel preservation without halogenated compounds, and</w:t>
      </w:r>
      <w:r w:rsidR="00F4056D">
        <w:rPr>
          <w:rFonts w:ascii="Times New Roman" w:hAnsi="Times New Roman"/>
          <w:b/>
          <w:bCs/>
          <w:szCs w:val="24"/>
        </w:rPr>
        <w:t xml:space="preserve"> </w:t>
      </w:r>
      <w:r w:rsidR="00974E14" w:rsidRPr="00974E14">
        <w:rPr>
          <w:rFonts w:ascii="Times New Roman" w:hAnsi="Times New Roman"/>
          <w:szCs w:val="24"/>
        </w:rPr>
        <w:t>the unacceptable risks that exposure to dioxins poses to human health and the environment, and the insufficient data for reaching a conclusion as to whether this authorisation would be in line with the objectives and provisions of the Stockholm Convention and of Regulation (EU) 2019/1021</w:t>
      </w:r>
      <w:r w:rsidR="00F4056D">
        <w:rPr>
          <w:rFonts w:ascii="Times New Roman" w:hAnsi="Times New Roman"/>
          <w:szCs w:val="24"/>
        </w:rPr>
        <w:t xml:space="preserve"> </w:t>
      </w:r>
      <w:r w:rsidR="00F4056D" w:rsidRPr="00F4056D">
        <w:rPr>
          <w:rFonts w:ascii="Times New Roman" w:hAnsi="Times New Roman"/>
          <w:b/>
          <w:bCs/>
          <w:szCs w:val="24"/>
        </w:rPr>
        <w:t>(paragraph 3)</w:t>
      </w:r>
      <w:r w:rsidR="00874DED">
        <w:rPr>
          <w:rFonts w:ascii="Times New Roman" w:hAnsi="Times New Roman"/>
          <w:szCs w:val="24"/>
        </w:rPr>
        <w:t>. I</w:t>
      </w:r>
      <w:r w:rsidR="00F4056D" w:rsidRPr="00F4056D">
        <w:rPr>
          <w:rFonts w:ascii="Times New Roman" w:hAnsi="Times New Roman"/>
          <w:szCs w:val="24"/>
        </w:rPr>
        <w:t>t</w:t>
      </w:r>
      <w:r w:rsidR="00F4056D">
        <w:rPr>
          <w:rFonts w:ascii="Times New Roman" w:hAnsi="Times New Roman"/>
          <w:b/>
          <w:bCs/>
          <w:szCs w:val="24"/>
        </w:rPr>
        <w:t xml:space="preserve"> </w:t>
      </w:r>
      <w:r w:rsidR="00F4056D">
        <w:rPr>
          <w:rFonts w:ascii="Times New Roman" w:hAnsi="Times New Roman"/>
          <w:szCs w:val="24"/>
        </w:rPr>
        <w:t>c</w:t>
      </w:r>
      <w:r w:rsidR="00974E14" w:rsidRPr="00974E14">
        <w:rPr>
          <w:rFonts w:ascii="Times New Roman" w:hAnsi="Times New Roman"/>
          <w:szCs w:val="24"/>
        </w:rPr>
        <w:t xml:space="preserve">onsiders that therefore the Commission should not have granted an authorisation to the biocidal product family ‘CMIT/MIT SOLVENT BASED’ or, at a minimum, should have required the applicant to provide more data as to the amount of formation of dioxins and the overall contribution to the emissions of dioxins due to the use of that biocidal product family in fuels used for road and water transport, and to clarify the level of the risks to human health and the environment due to the exposure to dioxins via the environment from the use of that biocidal </w:t>
      </w:r>
      <w:r w:rsidR="00974E14" w:rsidRPr="00974E14">
        <w:rPr>
          <w:rFonts w:ascii="Times New Roman" w:hAnsi="Times New Roman"/>
          <w:szCs w:val="24"/>
        </w:rPr>
        <w:lastRenderedPageBreak/>
        <w:t>product family, in order for the Commission to determine whether the risks can be considered acceptable or not in view of the aims of the Stockholm Convention</w:t>
      </w:r>
      <w:r w:rsidR="00E367FA">
        <w:rPr>
          <w:rFonts w:ascii="Times New Roman" w:hAnsi="Times New Roman"/>
          <w:szCs w:val="24"/>
        </w:rPr>
        <w:t xml:space="preserve"> </w:t>
      </w:r>
      <w:r w:rsidR="00E367FA" w:rsidRPr="00E367FA">
        <w:rPr>
          <w:rFonts w:ascii="Times New Roman" w:hAnsi="Times New Roman"/>
          <w:b/>
          <w:bCs/>
          <w:szCs w:val="24"/>
        </w:rPr>
        <w:t>(par</w:t>
      </w:r>
      <w:r w:rsidR="00E367FA">
        <w:rPr>
          <w:rFonts w:ascii="Times New Roman" w:hAnsi="Times New Roman"/>
          <w:b/>
          <w:bCs/>
          <w:szCs w:val="24"/>
        </w:rPr>
        <w:t>agraph</w:t>
      </w:r>
      <w:r w:rsidR="00E367FA" w:rsidRPr="00E367FA">
        <w:rPr>
          <w:rFonts w:ascii="Times New Roman" w:hAnsi="Times New Roman"/>
          <w:b/>
          <w:bCs/>
          <w:szCs w:val="24"/>
        </w:rPr>
        <w:t xml:space="preserve"> 4)</w:t>
      </w:r>
      <w:r w:rsidR="00874DED" w:rsidRPr="00E03206">
        <w:rPr>
          <w:rFonts w:ascii="Times New Roman" w:hAnsi="Times New Roman"/>
          <w:bCs/>
          <w:szCs w:val="24"/>
        </w:rPr>
        <w:t>.</w:t>
      </w:r>
    </w:p>
    <w:p w14:paraId="3177E125" w14:textId="201382BE" w:rsidR="005D6CDF" w:rsidRPr="00831BC3" w:rsidRDefault="005D6CDF" w:rsidP="00831BC3">
      <w:pPr>
        <w:widowControl w:val="0"/>
        <w:spacing w:after="120"/>
        <w:rPr>
          <w:rFonts w:ascii="Times New Roman" w:hAnsi="Times New Roman"/>
          <w:b/>
          <w:szCs w:val="24"/>
          <w:lang w:val="en"/>
        </w:rPr>
      </w:pPr>
      <w:bookmarkStart w:id="4" w:name="TextBodyEnd"/>
      <w:bookmarkEnd w:id="4"/>
      <w:r w:rsidRPr="00441A17">
        <w:rPr>
          <w:rFonts w:ascii="Times New Roman" w:hAnsi="Times New Roman"/>
          <w:szCs w:val="24"/>
          <w:lang w:val="en"/>
        </w:rPr>
        <w:t>It calls on the Commission</w:t>
      </w:r>
      <w:r w:rsidR="00831BC3">
        <w:rPr>
          <w:rFonts w:ascii="Times New Roman" w:hAnsi="Times New Roman"/>
          <w:szCs w:val="24"/>
          <w:lang w:val="en"/>
        </w:rPr>
        <w:t xml:space="preserve"> </w:t>
      </w:r>
      <w:r w:rsidR="00407650" w:rsidRPr="00407650">
        <w:rPr>
          <w:rFonts w:ascii="Times New Roman" w:hAnsi="Times New Roman"/>
          <w:szCs w:val="24"/>
          <w:lang w:val="en"/>
        </w:rPr>
        <w:t xml:space="preserve">to withdraw </w:t>
      </w:r>
      <w:r w:rsidR="001C2799">
        <w:rPr>
          <w:rFonts w:ascii="Times New Roman" w:hAnsi="Times New Roman"/>
          <w:szCs w:val="24"/>
          <w:lang w:val="en"/>
        </w:rPr>
        <w:t>its</w:t>
      </w:r>
      <w:r w:rsidR="00407650" w:rsidRPr="00407650">
        <w:rPr>
          <w:rFonts w:ascii="Times New Roman" w:hAnsi="Times New Roman"/>
          <w:szCs w:val="24"/>
          <w:lang w:val="en"/>
        </w:rPr>
        <w:t xml:space="preserve"> </w:t>
      </w:r>
      <w:r w:rsidR="00407650" w:rsidRPr="00407650">
        <w:rPr>
          <w:rFonts w:ascii="Times New Roman" w:hAnsi="Times New Roman"/>
          <w:lang w:eastAsia="en-US"/>
        </w:rPr>
        <w:t xml:space="preserve">draft </w:t>
      </w:r>
      <w:r w:rsidR="00874DED">
        <w:rPr>
          <w:rFonts w:ascii="Times New Roman" w:hAnsi="Times New Roman"/>
          <w:lang w:eastAsia="en-US"/>
        </w:rPr>
        <w:t>i</w:t>
      </w:r>
      <w:r w:rsidR="00407650" w:rsidRPr="00407650">
        <w:rPr>
          <w:rFonts w:ascii="Times New Roman" w:hAnsi="Times New Roman"/>
          <w:lang w:eastAsia="en-US"/>
        </w:rPr>
        <w:t xml:space="preserve">mplementing </w:t>
      </w:r>
      <w:r w:rsidR="00874DED">
        <w:rPr>
          <w:rFonts w:ascii="Times New Roman" w:hAnsi="Times New Roman"/>
          <w:lang w:eastAsia="en-US"/>
        </w:rPr>
        <w:t>r</w:t>
      </w:r>
      <w:r w:rsidR="00407650" w:rsidRPr="00407650">
        <w:rPr>
          <w:rFonts w:ascii="Times New Roman" w:hAnsi="Times New Roman"/>
          <w:lang w:eastAsia="en-US"/>
        </w:rPr>
        <w:t>egulation granting a Union authorisation for the biocidal product family ‘CMIT/MIT SOLVENT BASED’ and submit a new one to the Standing Committee on Biocidal</w:t>
      </w:r>
      <w:r w:rsidR="0031548E">
        <w:rPr>
          <w:rFonts w:ascii="Times New Roman" w:hAnsi="Times New Roman"/>
          <w:lang w:eastAsia="en-US"/>
        </w:rPr>
        <w:t xml:space="preserve"> Products</w:t>
      </w:r>
      <w:r w:rsidR="00407650" w:rsidRPr="00407650">
        <w:rPr>
          <w:rFonts w:ascii="Times New Roman" w:hAnsi="Times New Roman"/>
          <w:lang w:eastAsia="en-US"/>
        </w:rPr>
        <w:t xml:space="preserve"> </w:t>
      </w:r>
      <w:r w:rsidRPr="00441A17">
        <w:rPr>
          <w:rFonts w:ascii="Times New Roman" w:hAnsi="Times New Roman"/>
          <w:szCs w:val="24"/>
          <w:lang w:val="en"/>
        </w:rPr>
        <w:t>(</w:t>
      </w:r>
      <w:r w:rsidRPr="002665AC">
        <w:rPr>
          <w:rFonts w:ascii="Times New Roman" w:hAnsi="Times New Roman"/>
          <w:b/>
          <w:szCs w:val="24"/>
          <w:lang w:val="en"/>
        </w:rPr>
        <w:t>paragraph</w:t>
      </w:r>
      <w:r w:rsidR="00E03206">
        <w:rPr>
          <w:rFonts w:ascii="Times New Roman" w:hAnsi="Times New Roman"/>
          <w:b/>
          <w:szCs w:val="24"/>
          <w:lang w:val="en"/>
        </w:rPr>
        <w:t xml:space="preserve"> </w:t>
      </w:r>
      <w:r w:rsidR="00831BC3">
        <w:rPr>
          <w:rFonts w:ascii="Times New Roman" w:hAnsi="Times New Roman"/>
          <w:b/>
          <w:szCs w:val="24"/>
          <w:lang w:val="en"/>
        </w:rPr>
        <w:t>5</w:t>
      </w:r>
      <w:r w:rsidRPr="00441A17">
        <w:rPr>
          <w:rFonts w:ascii="Times New Roman" w:hAnsi="Times New Roman"/>
          <w:szCs w:val="24"/>
          <w:lang w:val="en"/>
        </w:rPr>
        <w:t>)</w:t>
      </w:r>
      <w:r w:rsidR="001630B2" w:rsidRPr="00E03206">
        <w:rPr>
          <w:rFonts w:ascii="Times New Roman" w:hAnsi="Times New Roman"/>
          <w:bCs/>
          <w:szCs w:val="24"/>
          <w:lang w:val="en"/>
        </w:rPr>
        <w:t>.</w:t>
      </w:r>
    </w:p>
    <w:p w14:paraId="33924BB5" w14:textId="77777777" w:rsidR="005D6CDF" w:rsidRPr="00925AE6" w:rsidRDefault="005D6CDF" w:rsidP="0031548E">
      <w:pPr>
        <w:widowControl w:val="0"/>
        <w:spacing w:before="240" w:after="120"/>
        <w:ind w:left="720" w:hanging="720"/>
        <w:rPr>
          <w:rFonts w:ascii="Times New Roman" w:hAnsi="Times New Roman"/>
          <w:b/>
          <w:szCs w:val="24"/>
        </w:rPr>
      </w:pPr>
      <w:r>
        <w:rPr>
          <w:rFonts w:ascii="Times New Roman" w:hAnsi="Times New Roman"/>
          <w:b/>
          <w:szCs w:val="24"/>
        </w:rPr>
        <w:t>6.</w:t>
      </w:r>
      <w:r>
        <w:rPr>
          <w:rFonts w:ascii="Times New Roman" w:hAnsi="Times New Roman"/>
          <w:b/>
          <w:szCs w:val="24"/>
        </w:rPr>
        <w:tab/>
      </w:r>
      <w:r w:rsidRPr="00925AE6">
        <w:rPr>
          <w:rFonts w:ascii="Times New Roman" w:hAnsi="Times New Roman"/>
          <w:b/>
          <w:szCs w:val="24"/>
        </w:rPr>
        <w:t>Response to requests and overview of action taken, or intended to be taken, by the Commission:</w:t>
      </w:r>
    </w:p>
    <w:p w14:paraId="2244429B" w14:textId="48A5FC9D" w:rsidR="00DF1588" w:rsidRDefault="005D6CDF" w:rsidP="005D6CDF">
      <w:pPr>
        <w:widowControl w:val="0"/>
        <w:spacing w:after="120"/>
        <w:rPr>
          <w:rFonts w:ascii="Times New Roman" w:hAnsi="Times New Roman"/>
          <w:bCs/>
          <w:szCs w:val="24"/>
        </w:rPr>
      </w:pPr>
      <w:r>
        <w:rPr>
          <w:rFonts w:ascii="Times New Roman" w:hAnsi="Times New Roman"/>
          <w:szCs w:val="24"/>
        </w:rPr>
        <w:t xml:space="preserve">In response to </w:t>
      </w:r>
      <w:r>
        <w:rPr>
          <w:rFonts w:ascii="Times New Roman" w:hAnsi="Times New Roman"/>
          <w:b/>
          <w:szCs w:val="24"/>
          <w:lang w:val="en"/>
        </w:rPr>
        <w:t>paragraph</w:t>
      </w:r>
      <w:r w:rsidR="007F16B4">
        <w:rPr>
          <w:rFonts w:ascii="Times New Roman" w:hAnsi="Times New Roman"/>
          <w:b/>
          <w:szCs w:val="24"/>
          <w:lang w:val="en"/>
        </w:rPr>
        <w:t>s</w:t>
      </w:r>
      <w:r w:rsidRPr="00C8675C">
        <w:rPr>
          <w:rFonts w:ascii="Times New Roman" w:hAnsi="Times New Roman"/>
          <w:b/>
          <w:szCs w:val="24"/>
        </w:rPr>
        <w:t xml:space="preserve"> 1</w:t>
      </w:r>
      <w:r w:rsidR="007F16B4">
        <w:rPr>
          <w:rFonts w:ascii="Times New Roman" w:hAnsi="Times New Roman"/>
          <w:b/>
          <w:szCs w:val="24"/>
        </w:rPr>
        <w:t xml:space="preserve"> and 2</w:t>
      </w:r>
      <w:r w:rsidRPr="00C8675C">
        <w:rPr>
          <w:rFonts w:ascii="Times New Roman" w:hAnsi="Times New Roman"/>
          <w:szCs w:val="24"/>
        </w:rPr>
        <w:t xml:space="preserve">, </w:t>
      </w:r>
      <w:r>
        <w:rPr>
          <w:rFonts w:ascii="Times New Roman" w:hAnsi="Times New Roman"/>
          <w:szCs w:val="24"/>
        </w:rPr>
        <w:t>the Commission would like to emphasise that t</w:t>
      </w:r>
      <w:r w:rsidRPr="00C8675C">
        <w:rPr>
          <w:rFonts w:ascii="Times New Roman" w:hAnsi="Times New Roman"/>
          <w:szCs w:val="24"/>
        </w:rPr>
        <w:t>h</w:t>
      </w:r>
      <w:r>
        <w:rPr>
          <w:rFonts w:ascii="Times New Roman" w:hAnsi="Times New Roman"/>
          <w:szCs w:val="24"/>
        </w:rPr>
        <w:t>e</w:t>
      </w:r>
      <w:r w:rsidRPr="00C8675C">
        <w:rPr>
          <w:rFonts w:ascii="Times New Roman" w:hAnsi="Times New Roman"/>
          <w:szCs w:val="24"/>
        </w:rPr>
        <w:t xml:space="preserve"> </w:t>
      </w:r>
      <w:r w:rsidR="001630B2">
        <w:rPr>
          <w:rFonts w:ascii="Times New Roman" w:hAnsi="Times New Roman"/>
          <w:szCs w:val="24"/>
        </w:rPr>
        <w:t xml:space="preserve">draft </w:t>
      </w:r>
      <w:r w:rsidR="004B78D0">
        <w:rPr>
          <w:rFonts w:ascii="Times New Roman" w:hAnsi="Times New Roman"/>
          <w:szCs w:val="24"/>
        </w:rPr>
        <w:t>C</w:t>
      </w:r>
      <w:r w:rsidRPr="00C8675C">
        <w:rPr>
          <w:rFonts w:ascii="Times New Roman" w:hAnsi="Times New Roman"/>
          <w:szCs w:val="24"/>
        </w:rPr>
        <w:t xml:space="preserve">ommission </w:t>
      </w:r>
      <w:r w:rsidR="00E03206">
        <w:rPr>
          <w:rFonts w:ascii="Times New Roman" w:hAnsi="Times New Roman"/>
          <w:szCs w:val="24"/>
        </w:rPr>
        <w:t>i</w:t>
      </w:r>
      <w:r w:rsidRPr="00C8675C">
        <w:rPr>
          <w:rFonts w:ascii="Times New Roman" w:hAnsi="Times New Roman"/>
          <w:szCs w:val="24"/>
        </w:rPr>
        <w:t xml:space="preserve">mplementing </w:t>
      </w:r>
      <w:r w:rsidR="00E03206">
        <w:rPr>
          <w:rFonts w:ascii="Times New Roman" w:hAnsi="Times New Roman"/>
          <w:szCs w:val="24"/>
        </w:rPr>
        <w:t>r</w:t>
      </w:r>
      <w:r w:rsidRPr="00C8675C">
        <w:rPr>
          <w:rFonts w:ascii="Times New Roman" w:hAnsi="Times New Roman"/>
          <w:szCs w:val="24"/>
        </w:rPr>
        <w:t>egulation</w:t>
      </w:r>
      <w:r w:rsidR="004B78D0" w:rsidRPr="004B78D0">
        <w:t xml:space="preserve"> </w:t>
      </w:r>
      <w:r w:rsidR="004B78D0" w:rsidRPr="004B78D0">
        <w:rPr>
          <w:rFonts w:ascii="Times New Roman" w:hAnsi="Times New Roman"/>
          <w:szCs w:val="24"/>
        </w:rPr>
        <w:t>granting a Union authorisation for the biocidal product family ‘CMIT/MIT SOLVENT BASED’</w:t>
      </w:r>
      <w:r w:rsidRPr="00C8675C">
        <w:rPr>
          <w:rFonts w:ascii="Times New Roman" w:hAnsi="Times New Roman"/>
          <w:szCs w:val="24"/>
        </w:rPr>
        <w:t xml:space="preserve"> </w:t>
      </w:r>
      <w:r>
        <w:rPr>
          <w:rFonts w:ascii="Times New Roman" w:hAnsi="Times New Roman"/>
          <w:szCs w:val="24"/>
        </w:rPr>
        <w:t>is</w:t>
      </w:r>
      <w:r w:rsidRPr="00C8675C">
        <w:rPr>
          <w:rFonts w:ascii="Times New Roman" w:hAnsi="Times New Roman"/>
          <w:szCs w:val="24"/>
        </w:rPr>
        <w:t xml:space="preserve"> fully in line with the implementing powers provided for </w:t>
      </w:r>
      <w:r w:rsidR="00DF1588" w:rsidRPr="00DF1588">
        <w:rPr>
          <w:rFonts w:ascii="Times New Roman" w:hAnsi="Times New Roman"/>
          <w:bCs/>
          <w:szCs w:val="24"/>
        </w:rPr>
        <w:t xml:space="preserve">in Article 44(5) of Regulation (EU) No 528/2012 on the placing on the market of biocidal products (the BPR). All procedural and substantial requirements set in the BPR on the assessment of the application and the granting of a Union authorisation have been correctly followed. It is also in line with the objectives of that </w:t>
      </w:r>
      <w:r w:rsidR="00E03206">
        <w:rPr>
          <w:rFonts w:ascii="Times New Roman" w:hAnsi="Times New Roman"/>
          <w:bCs/>
          <w:szCs w:val="24"/>
        </w:rPr>
        <w:t>r</w:t>
      </w:r>
      <w:r w:rsidR="00DF1588" w:rsidRPr="00DF1588">
        <w:rPr>
          <w:rFonts w:ascii="Times New Roman" w:hAnsi="Times New Roman"/>
          <w:bCs/>
          <w:szCs w:val="24"/>
        </w:rPr>
        <w:t xml:space="preserve">egulation and not in conflict with the requirements of Regulation (EU) 2019/1021 </w:t>
      </w:r>
      <w:r w:rsidR="00603932">
        <w:rPr>
          <w:rFonts w:ascii="Times New Roman" w:hAnsi="Times New Roman"/>
          <w:bCs/>
          <w:szCs w:val="24"/>
        </w:rPr>
        <w:t>as set out below</w:t>
      </w:r>
      <w:r w:rsidR="00DF1588" w:rsidRPr="00DF1588">
        <w:rPr>
          <w:rFonts w:ascii="Times New Roman" w:hAnsi="Times New Roman"/>
          <w:bCs/>
          <w:szCs w:val="24"/>
        </w:rPr>
        <w:t>.</w:t>
      </w:r>
    </w:p>
    <w:p w14:paraId="79E78514" w14:textId="0B594271" w:rsidR="00603932" w:rsidRDefault="00603932" w:rsidP="00E03206">
      <w:pPr>
        <w:widowControl w:val="0"/>
        <w:spacing w:after="120"/>
        <w:rPr>
          <w:rFonts w:ascii="Times New Roman" w:hAnsi="Times New Roman"/>
          <w:szCs w:val="24"/>
        </w:rPr>
      </w:pPr>
      <w:r>
        <w:rPr>
          <w:rFonts w:ascii="Times New Roman" w:hAnsi="Times New Roman"/>
          <w:szCs w:val="24"/>
        </w:rPr>
        <w:t>With respect to the other provisions of the resolution, the Commission considers that they fall outside the remit of the right of scrutiny, which is limited to the question of whether an implementing act exceeds the implementing powers provided for in the basic act. The Commission is not required to justify the implementing act as regards these points. Nevertheless, the Commission has carefully considered the positions expressed by the Parliament and would like to make the following comments:</w:t>
      </w:r>
    </w:p>
    <w:p w14:paraId="125CED23" w14:textId="1864A03A" w:rsidR="00DF1588" w:rsidRPr="00DF1588" w:rsidRDefault="004A6DAB" w:rsidP="00950976">
      <w:pPr>
        <w:widowControl w:val="0"/>
        <w:spacing w:after="120"/>
        <w:rPr>
          <w:rFonts w:ascii="Times New Roman" w:hAnsi="Times New Roman"/>
          <w:bCs/>
          <w:szCs w:val="24"/>
        </w:rPr>
      </w:pPr>
      <w:r>
        <w:rPr>
          <w:rFonts w:ascii="Times New Roman" w:hAnsi="Times New Roman"/>
          <w:bCs/>
          <w:szCs w:val="24"/>
        </w:rPr>
        <w:t>As regards</w:t>
      </w:r>
      <w:r w:rsidR="00DF1588" w:rsidRPr="00DF1588">
        <w:rPr>
          <w:rFonts w:ascii="Times New Roman" w:hAnsi="Times New Roman"/>
          <w:bCs/>
          <w:szCs w:val="24"/>
        </w:rPr>
        <w:t xml:space="preserve"> </w:t>
      </w:r>
      <w:r w:rsidR="00DF1588" w:rsidRPr="00DF1588">
        <w:rPr>
          <w:rFonts w:ascii="Times New Roman" w:hAnsi="Times New Roman"/>
          <w:b/>
          <w:szCs w:val="24"/>
        </w:rPr>
        <w:t>paragraph 3</w:t>
      </w:r>
      <w:r w:rsidR="00DF1588" w:rsidRPr="00E03206">
        <w:rPr>
          <w:rFonts w:ascii="Times New Roman" w:hAnsi="Times New Roman"/>
          <w:szCs w:val="24"/>
        </w:rPr>
        <w:t>,</w:t>
      </w:r>
      <w:r w:rsidR="00DF1588" w:rsidRPr="00E03206">
        <w:rPr>
          <w:rFonts w:ascii="Times New Roman" w:hAnsi="Times New Roman"/>
          <w:bCs/>
          <w:szCs w:val="24"/>
        </w:rPr>
        <w:t xml:space="preserve"> </w:t>
      </w:r>
      <w:r w:rsidR="00DF1588">
        <w:rPr>
          <w:rFonts w:ascii="Times New Roman" w:hAnsi="Times New Roman"/>
          <w:bCs/>
          <w:szCs w:val="24"/>
        </w:rPr>
        <w:t>the Commission</w:t>
      </w:r>
      <w:r w:rsidR="00521B58">
        <w:rPr>
          <w:rFonts w:ascii="Times New Roman" w:hAnsi="Times New Roman"/>
          <w:bCs/>
          <w:szCs w:val="24"/>
        </w:rPr>
        <w:t xml:space="preserve"> would like to note </w:t>
      </w:r>
      <w:r w:rsidR="00603932">
        <w:rPr>
          <w:rFonts w:ascii="Times New Roman" w:hAnsi="Times New Roman"/>
          <w:bCs/>
          <w:szCs w:val="24"/>
        </w:rPr>
        <w:t>that i</w:t>
      </w:r>
      <w:r w:rsidR="00DF1588" w:rsidRPr="00DF1588">
        <w:rPr>
          <w:rFonts w:ascii="Times New Roman" w:hAnsi="Times New Roman"/>
          <w:bCs/>
          <w:szCs w:val="24"/>
        </w:rPr>
        <w:t>n preparation for the draft implementing regulation, the Commission thoroughly examined the possible formation of dioxins in the light of the minority position in relation to the BPC opinion (ECHA/BPC/246/2020) submitted by the member of the BPC appointed by Germany</w:t>
      </w:r>
      <w:r w:rsidR="00950976">
        <w:rPr>
          <w:rFonts w:ascii="Times New Roman" w:hAnsi="Times New Roman"/>
          <w:bCs/>
          <w:szCs w:val="24"/>
        </w:rPr>
        <w:t xml:space="preserve"> by </w:t>
      </w:r>
      <w:r w:rsidR="00DF1588" w:rsidRPr="00DF1588">
        <w:rPr>
          <w:rFonts w:ascii="Times New Roman" w:hAnsi="Times New Roman"/>
          <w:bCs/>
          <w:szCs w:val="24"/>
        </w:rPr>
        <w:t>request</w:t>
      </w:r>
      <w:r w:rsidR="00950976">
        <w:rPr>
          <w:rFonts w:ascii="Times New Roman" w:hAnsi="Times New Roman"/>
          <w:bCs/>
          <w:szCs w:val="24"/>
        </w:rPr>
        <w:t>ing</w:t>
      </w:r>
      <w:r w:rsidR="00DF1588" w:rsidRPr="00DF1588">
        <w:rPr>
          <w:rFonts w:ascii="Times New Roman" w:hAnsi="Times New Roman"/>
          <w:bCs/>
          <w:szCs w:val="24"/>
        </w:rPr>
        <w:t xml:space="preserve"> a further opinion by the BPC in accordance with Article 75(1)(g) of the BPR. This opinion (ECHA/BPC/283/2021) concluded that, although the potential formation of dioxin from the use of C(M)IT/MIT as preservative in oil and fuel is likely to occur, it is not possible to draw any conclusions either on the potential contribution of the use of C(M)IT/MIT in fuels with respect to dioxin exposure, nor on the potential risks of chlorine additive such as C(M)IT/MIT in fuels on human health and on the environment.</w:t>
      </w:r>
    </w:p>
    <w:p w14:paraId="12021250" w14:textId="4326740A" w:rsidR="00DF1588" w:rsidRPr="00DF1588" w:rsidRDefault="00DF1588" w:rsidP="00DF1588">
      <w:pPr>
        <w:widowControl w:val="0"/>
        <w:spacing w:after="120"/>
        <w:rPr>
          <w:rFonts w:ascii="Times New Roman" w:hAnsi="Times New Roman"/>
          <w:bCs/>
          <w:szCs w:val="24"/>
        </w:rPr>
      </w:pPr>
      <w:r w:rsidRPr="00DF1588">
        <w:rPr>
          <w:rFonts w:ascii="Times New Roman" w:hAnsi="Times New Roman"/>
          <w:bCs/>
          <w:szCs w:val="24"/>
        </w:rPr>
        <w:t xml:space="preserve">As clearly explained in recital 9 of the draft implementing regulation, the Commission considers that refusing the Union authorisation for the biocidal product family ‘CMIT/MIT SOLVENT BASED’ would not lead to a significant decrease of dioxin emissions compared to granting it. Indeed, the same or similar chlorine-containing additives are currently allowed to be placed on the market under national legislation in the Member States as indicated in the transitional measures in Article 89 of </w:t>
      </w:r>
      <w:r w:rsidR="00E75D7E">
        <w:rPr>
          <w:rFonts w:ascii="Times New Roman" w:hAnsi="Times New Roman"/>
          <w:bCs/>
          <w:szCs w:val="24"/>
        </w:rPr>
        <w:t>the BPR</w:t>
      </w:r>
      <w:r w:rsidRPr="00DF1588">
        <w:rPr>
          <w:rFonts w:ascii="Times New Roman" w:hAnsi="Times New Roman"/>
          <w:bCs/>
          <w:szCs w:val="24"/>
        </w:rPr>
        <w:t xml:space="preserve">. They can also be authorised via national authorisations by the Member States in accordance with </w:t>
      </w:r>
      <w:r w:rsidR="00E75D7E">
        <w:rPr>
          <w:rFonts w:ascii="Times New Roman" w:hAnsi="Times New Roman"/>
          <w:bCs/>
          <w:szCs w:val="24"/>
        </w:rPr>
        <w:t>the BPR</w:t>
      </w:r>
      <w:r w:rsidRPr="00DF1588">
        <w:rPr>
          <w:rFonts w:ascii="Times New Roman" w:hAnsi="Times New Roman"/>
          <w:bCs/>
          <w:szCs w:val="24"/>
        </w:rPr>
        <w:t xml:space="preserve">, for which several procedures for authorisation and mutual recognition are ongoing. Furthermore, as a consequence of the ambitions of the European Green Deal and Regulation (EU) 2021/1119 of the European Parliament and of the Council of 30 June 2021 establishing the framework for achieving climate neutrality the overall amount of fuel that may potentially be treated with the BPF and combusted in motors or heating systems is expected to decline significantly in the coming decades. Consequently, the possible formation of dioxins associated with the use of the ‘CMIT/MIT SOLVENT BASED’ BPF will decrease accordingly and granting of the authorisation is thus not in conflict with the requirements of the Stockholm Convention </w:t>
      </w:r>
      <w:r w:rsidR="00E75D7E">
        <w:rPr>
          <w:rFonts w:ascii="Times New Roman" w:hAnsi="Times New Roman"/>
          <w:bCs/>
          <w:szCs w:val="24"/>
        </w:rPr>
        <w:t xml:space="preserve">or </w:t>
      </w:r>
      <w:r w:rsidRPr="00DF1588">
        <w:rPr>
          <w:rFonts w:ascii="Times New Roman" w:hAnsi="Times New Roman"/>
          <w:bCs/>
          <w:szCs w:val="24"/>
        </w:rPr>
        <w:t>Regulation (EU) 2019/1021.</w:t>
      </w:r>
    </w:p>
    <w:p w14:paraId="0A5CBDCE" w14:textId="6ADC83FC" w:rsidR="00DF1588" w:rsidRPr="00DF1588" w:rsidRDefault="00DF1588" w:rsidP="00DF1588">
      <w:pPr>
        <w:widowControl w:val="0"/>
        <w:spacing w:after="120"/>
        <w:rPr>
          <w:rFonts w:ascii="Times New Roman" w:hAnsi="Times New Roman"/>
          <w:bCs/>
          <w:szCs w:val="24"/>
        </w:rPr>
      </w:pPr>
      <w:r w:rsidRPr="00DF1588">
        <w:rPr>
          <w:rFonts w:ascii="Times New Roman" w:hAnsi="Times New Roman"/>
          <w:bCs/>
          <w:szCs w:val="24"/>
        </w:rPr>
        <w:lastRenderedPageBreak/>
        <w:t xml:space="preserve">The Commission consulted </w:t>
      </w:r>
      <w:r w:rsidR="00E75D7E">
        <w:rPr>
          <w:rFonts w:ascii="Times New Roman" w:hAnsi="Times New Roman"/>
          <w:bCs/>
          <w:szCs w:val="24"/>
        </w:rPr>
        <w:t xml:space="preserve">the </w:t>
      </w:r>
      <w:r w:rsidRPr="00DF1588">
        <w:rPr>
          <w:rFonts w:ascii="Times New Roman" w:hAnsi="Times New Roman"/>
          <w:bCs/>
          <w:szCs w:val="24"/>
        </w:rPr>
        <w:t xml:space="preserve">Member States on </w:t>
      </w:r>
      <w:r w:rsidR="00E75D7E">
        <w:rPr>
          <w:rFonts w:ascii="Times New Roman" w:hAnsi="Times New Roman"/>
          <w:bCs/>
          <w:szCs w:val="24"/>
        </w:rPr>
        <w:t xml:space="preserve">the </w:t>
      </w:r>
      <w:r w:rsidRPr="00DF1588">
        <w:rPr>
          <w:rFonts w:ascii="Times New Roman" w:hAnsi="Times New Roman"/>
          <w:bCs/>
          <w:szCs w:val="24"/>
        </w:rPr>
        <w:t>existence of national rules banning or regulating the addition of products containing halogenated organic compounds such as C(M)IT/MIT</w:t>
      </w:r>
      <w:r w:rsidR="00E75D7E">
        <w:rPr>
          <w:rFonts w:ascii="Times New Roman" w:hAnsi="Times New Roman"/>
          <w:bCs/>
          <w:szCs w:val="24"/>
        </w:rPr>
        <w:t xml:space="preserve"> to fuels</w:t>
      </w:r>
      <w:r w:rsidRPr="00DF1588">
        <w:rPr>
          <w:rFonts w:ascii="Times New Roman" w:hAnsi="Times New Roman"/>
          <w:bCs/>
          <w:szCs w:val="24"/>
        </w:rPr>
        <w:t xml:space="preserve">, the biocidal products that are allowed on their territories for their preservation, and the available alternatives for their preservation without halogenated compounds. The outcome of the consultation showed that </w:t>
      </w:r>
      <w:r w:rsidR="00E75D7E">
        <w:rPr>
          <w:rFonts w:ascii="Times New Roman" w:hAnsi="Times New Roman"/>
          <w:bCs/>
          <w:szCs w:val="24"/>
        </w:rPr>
        <w:t xml:space="preserve">only </w:t>
      </w:r>
      <w:r w:rsidRPr="00DF1588">
        <w:rPr>
          <w:rFonts w:ascii="Times New Roman" w:hAnsi="Times New Roman"/>
          <w:bCs/>
          <w:szCs w:val="24"/>
        </w:rPr>
        <w:t xml:space="preserve">one Member State (Germany) and Switzerland have rules banning addition of halogenated organic compounds to certain types of fuels </w:t>
      </w:r>
      <w:r w:rsidR="00E75D7E">
        <w:rPr>
          <w:rFonts w:ascii="Times New Roman" w:hAnsi="Times New Roman"/>
          <w:bCs/>
          <w:szCs w:val="24"/>
        </w:rPr>
        <w:t xml:space="preserve">- </w:t>
      </w:r>
      <w:r w:rsidRPr="00DF1588">
        <w:rPr>
          <w:rFonts w:ascii="Times New Roman" w:hAnsi="Times New Roman"/>
          <w:bCs/>
          <w:szCs w:val="24"/>
        </w:rPr>
        <w:t xml:space="preserve">but not to all. Estonia and the Netherlands have rules setting a maximum allowed content of halogenated organic compounds and the use of the ‘CMIT/MIT SOLVENT BASED’ BPF, subject to the conditions set in the summary of biocidal product characteristics, is in line with those national rules. Three Member States (Germany, Luxembourg and the Netherlands) indicated that they have similar products authorised under national regimes. Only two Member States (Germany and the Netherlands) and Switzerland provided information on other active substances without halogenated compounds that are used in preservatives for fuels. The alternatives indicated are not yet approved under the BPR and most of them have hazardous properties of concern and/or meet the exclusion criteria in Article 5(1) of the BPR, which means that they should normally not be approved. </w:t>
      </w:r>
    </w:p>
    <w:p w14:paraId="28828A7A" w14:textId="35464A18" w:rsidR="00DF1588" w:rsidRDefault="00DF1588" w:rsidP="00DF1588">
      <w:pPr>
        <w:widowControl w:val="0"/>
        <w:spacing w:after="120"/>
        <w:rPr>
          <w:rFonts w:ascii="Times New Roman" w:hAnsi="Times New Roman"/>
          <w:bCs/>
          <w:szCs w:val="24"/>
        </w:rPr>
      </w:pPr>
      <w:r w:rsidRPr="00DF1588">
        <w:rPr>
          <w:rFonts w:ascii="Times New Roman" w:hAnsi="Times New Roman"/>
          <w:bCs/>
          <w:szCs w:val="24"/>
        </w:rPr>
        <w:t>Member States, as parties to the Stockholm Convention</w:t>
      </w:r>
      <w:r w:rsidR="00117908">
        <w:rPr>
          <w:rFonts w:ascii="Times New Roman" w:hAnsi="Times New Roman"/>
          <w:bCs/>
          <w:szCs w:val="24"/>
        </w:rPr>
        <w:t>,</w:t>
      </w:r>
      <w:r w:rsidRPr="00DF1588">
        <w:rPr>
          <w:rFonts w:ascii="Times New Roman" w:hAnsi="Times New Roman"/>
          <w:bCs/>
          <w:szCs w:val="24"/>
        </w:rPr>
        <w:t xml:space="preserve"> are obliged to implement action plans to eliminate where feasible as soon as possible, the releases of substances listed in Annex III to Regulation (EU) 2019/1021 (which includes dioxins) and to require the use of substitutes where they deem it appropriate. Article 5c of the Stockholm Convention gives all Parties a margin to consider whether the obligation to require the use of substitutes is appropriate or not. As set out above</w:t>
      </w:r>
      <w:r w:rsidR="00E75D7E">
        <w:rPr>
          <w:rFonts w:ascii="Times New Roman" w:hAnsi="Times New Roman"/>
          <w:bCs/>
          <w:szCs w:val="24"/>
        </w:rPr>
        <w:t>,</w:t>
      </w:r>
      <w:r w:rsidRPr="00DF1588">
        <w:rPr>
          <w:rFonts w:ascii="Times New Roman" w:hAnsi="Times New Roman"/>
          <w:bCs/>
          <w:szCs w:val="24"/>
        </w:rPr>
        <w:t xml:space="preserve"> the vast majority of Member States have taken no action to require the use of substitutes to CMIT/MIT or other chlorine containing fuel additives and those who have do not require this for all uses.</w:t>
      </w:r>
    </w:p>
    <w:p w14:paraId="166F3B3D" w14:textId="6F264775" w:rsidR="006764CF" w:rsidRPr="006764CF" w:rsidRDefault="00F45504" w:rsidP="006764CF">
      <w:pPr>
        <w:widowControl w:val="0"/>
        <w:spacing w:after="120"/>
        <w:rPr>
          <w:rFonts w:ascii="Times New Roman" w:hAnsi="Times New Roman"/>
          <w:bCs/>
          <w:szCs w:val="24"/>
        </w:rPr>
      </w:pPr>
      <w:r>
        <w:rPr>
          <w:rFonts w:ascii="Times New Roman" w:hAnsi="Times New Roman"/>
          <w:bCs/>
          <w:szCs w:val="24"/>
        </w:rPr>
        <w:t xml:space="preserve">As regards </w:t>
      </w:r>
      <w:r w:rsidRPr="00F45504">
        <w:rPr>
          <w:rFonts w:ascii="Times New Roman" w:hAnsi="Times New Roman"/>
          <w:b/>
          <w:szCs w:val="24"/>
        </w:rPr>
        <w:t>paragraph 4</w:t>
      </w:r>
      <w:r w:rsidRPr="0078270B">
        <w:rPr>
          <w:rFonts w:ascii="Times New Roman" w:hAnsi="Times New Roman"/>
          <w:szCs w:val="24"/>
        </w:rPr>
        <w:t>,</w:t>
      </w:r>
      <w:r w:rsidRPr="0078270B">
        <w:rPr>
          <w:rFonts w:ascii="Times New Roman" w:hAnsi="Times New Roman"/>
          <w:bCs/>
          <w:szCs w:val="24"/>
        </w:rPr>
        <w:t xml:space="preserve"> </w:t>
      </w:r>
      <w:r>
        <w:rPr>
          <w:rFonts w:ascii="Times New Roman" w:hAnsi="Times New Roman"/>
          <w:bCs/>
          <w:szCs w:val="24"/>
        </w:rPr>
        <w:t>the Commission would like to note that t</w:t>
      </w:r>
      <w:r w:rsidR="006764CF" w:rsidRPr="006764CF">
        <w:rPr>
          <w:rFonts w:ascii="Times New Roman" w:hAnsi="Times New Roman"/>
          <w:bCs/>
          <w:szCs w:val="24"/>
        </w:rPr>
        <w:t>he applicant made a comprehensive attempt to assess the possible dioxin formation due to the use of the biocidal product family CMITMIT SOLVENT BASED in fuels (which when ready for use is present at a concentration of 0.0006 % (6 ppm). These calculations resulted in a total maximum emission of 0.000864 g/year toxic equivalent values (TEQ) in the whole of Europe from the use of the C(M)IT/MIT solvent as preservative in crude oil and middle distillate fuel</w:t>
      </w:r>
      <w:r w:rsidR="00E75D7E">
        <w:rPr>
          <w:rFonts w:ascii="Times New Roman" w:hAnsi="Times New Roman"/>
          <w:bCs/>
          <w:szCs w:val="24"/>
        </w:rPr>
        <w:t>, whilst t</w:t>
      </w:r>
      <w:r w:rsidR="006764CF" w:rsidRPr="006764CF">
        <w:rPr>
          <w:rFonts w:ascii="Times New Roman" w:hAnsi="Times New Roman"/>
          <w:bCs/>
          <w:szCs w:val="24"/>
        </w:rPr>
        <w:t xml:space="preserve">he estimations of the total dioxin emission in Europe for road transport for 2005 </w:t>
      </w:r>
      <w:r w:rsidR="00E75D7E">
        <w:rPr>
          <w:rFonts w:ascii="Times New Roman" w:hAnsi="Times New Roman"/>
          <w:bCs/>
          <w:szCs w:val="24"/>
        </w:rPr>
        <w:t>indicated</w:t>
      </w:r>
      <w:r w:rsidR="006764CF" w:rsidRPr="006764CF">
        <w:rPr>
          <w:rFonts w:ascii="Times New Roman" w:hAnsi="Times New Roman"/>
          <w:bCs/>
          <w:szCs w:val="24"/>
        </w:rPr>
        <w:t xml:space="preserve"> in the “European Dioxin Inventory-Stage II" were 41-60 g TEQ/year.</w:t>
      </w:r>
      <w:r>
        <w:rPr>
          <w:rFonts w:ascii="Times New Roman" w:hAnsi="Times New Roman"/>
          <w:bCs/>
          <w:szCs w:val="24"/>
        </w:rPr>
        <w:t xml:space="preserve"> </w:t>
      </w:r>
      <w:r w:rsidR="006764CF" w:rsidRPr="006764CF">
        <w:rPr>
          <w:rFonts w:ascii="Times New Roman" w:hAnsi="Times New Roman"/>
          <w:bCs/>
          <w:szCs w:val="24"/>
        </w:rPr>
        <w:t>However, the BPC was not in a position to confirm these estimates for the following reasons:</w:t>
      </w:r>
    </w:p>
    <w:p w14:paraId="44404836" w14:textId="4C135F7E" w:rsidR="006764CF" w:rsidRPr="006764CF" w:rsidRDefault="006764CF" w:rsidP="00E75D7E">
      <w:pPr>
        <w:widowControl w:val="0"/>
        <w:spacing w:after="120"/>
        <w:ind w:left="227" w:hanging="227"/>
        <w:rPr>
          <w:rFonts w:ascii="Times New Roman" w:hAnsi="Times New Roman"/>
          <w:bCs/>
          <w:szCs w:val="24"/>
        </w:rPr>
      </w:pPr>
      <w:r w:rsidRPr="006764CF">
        <w:rPr>
          <w:rFonts w:ascii="Times New Roman" w:hAnsi="Times New Roman"/>
          <w:bCs/>
          <w:szCs w:val="24"/>
        </w:rPr>
        <w:t>•</w:t>
      </w:r>
      <w:r w:rsidRPr="006764CF">
        <w:rPr>
          <w:rFonts w:ascii="Times New Roman" w:hAnsi="Times New Roman"/>
          <w:bCs/>
          <w:szCs w:val="24"/>
        </w:rPr>
        <w:tab/>
        <w:t>There is no experimental evidence demonstrating the existence or the absence of formation of dioxin</w:t>
      </w:r>
      <w:r w:rsidR="00E75D7E">
        <w:rPr>
          <w:rFonts w:ascii="Times New Roman" w:hAnsi="Times New Roman"/>
          <w:bCs/>
          <w:szCs w:val="24"/>
        </w:rPr>
        <w:t>s</w:t>
      </w:r>
      <w:r w:rsidRPr="006764CF">
        <w:rPr>
          <w:rFonts w:ascii="Times New Roman" w:hAnsi="Times New Roman"/>
          <w:bCs/>
          <w:szCs w:val="24"/>
        </w:rPr>
        <w:t xml:space="preserve"> from the use of C(M)IT/MIT as preservative in oil and fuel. So while it is likely to occur, the extent cannot be estimated.</w:t>
      </w:r>
    </w:p>
    <w:p w14:paraId="711F0A2B" w14:textId="77777777" w:rsidR="006764CF" w:rsidRPr="006764CF" w:rsidRDefault="006764CF" w:rsidP="00E75D7E">
      <w:pPr>
        <w:widowControl w:val="0"/>
        <w:spacing w:after="120"/>
        <w:ind w:left="227" w:hanging="227"/>
        <w:rPr>
          <w:rFonts w:ascii="Times New Roman" w:hAnsi="Times New Roman"/>
          <w:bCs/>
          <w:szCs w:val="24"/>
        </w:rPr>
      </w:pPr>
      <w:r w:rsidRPr="006764CF">
        <w:rPr>
          <w:rFonts w:ascii="Times New Roman" w:hAnsi="Times New Roman"/>
          <w:bCs/>
          <w:szCs w:val="24"/>
        </w:rPr>
        <w:t>•</w:t>
      </w:r>
      <w:r w:rsidRPr="006764CF">
        <w:rPr>
          <w:rFonts w:ascii="Times New Roman" w:hAnsi="Times New Roman"/>
          <w:bCs/>
          <w:szCs w:val="24"/>
        </w:rPr>
        <w:tab/>
        <w:t>The estimation assumes a linear relationship between chlorine content and dioxin formation, while the review of the scientific literature has shown that such relationship has not been observed as a rule for the various fuel and vehicle technology type.</w:t>
      </w:r>
    </w:p>
    <w:p w14:paraId="4ED6098F" w14:textId="5A2EEED5" w:rsidR="006764CF" w:rsidRPr="006764CF" w:rsidRDefault="006764CF" w:rsidP="00E75D7E">
      <w:pPr>
        <w:widowControl w:val="0"/>
        <w:spacing w:after="120"/>
        <w:ind w:left="227" w:hanging="227"/>
        <w:rPr>
          <w:rFonts w:ascii="Times New Roman" w:hAnsi="Times New Roman"/>
          <w:bCs/>
          <w:szCs w:val="24"/>
        </w:rPr>
      </w:pPr>
      <w:r w:rsidRPr="006764CF">
        <w:rPr>
          <w:rFonts w:ascii="Times New Roman" w:hAnsi="Times New Roman"/>
          <w:bCs/>
          <w:szCs w:val="24"/>
        </w:rPr>
        <w:t>•</w:t>
      </w:r>
      <w:r w:rsidRPr="006764CF">
        <w:rPr>
          <w:rFonts w:ascii="Times New Roman" w:hAnsi="Times New Roman"/>
          <w:bCs/>
          <w:szCs w:val="24"/>
        </w:rPr>
        <w:tab/>
        <w:t xml:space="preserve">The addition of chlorine containing compounds to fuel increases dioxin formation under certain conditions (e.g. incomplete combustion as observed in vehicle engines). However, the relationship between chlorine content and dioxin formation is not yet clarified and does not seem to be broadly linear. It is hardly possible from the scientific literature to derive a reasonable worst case conversion yield representative of current EU fuels and vehicle technology types. For this, it would be necessary to establish a clear representation of the relationships between chlorine content (entering the combustion chamber) and the dioxin formation, </w:t>
      </w:r>
      <w:r w:rsidR="00E75D7E">
        <w:rPr>
          <w:rFonts w:ascii="Times New Roman" w:hAnsi="Times New Roman"/>
          <w:bCs/>
          <w:szCs w:val="24"/>
        </w:rPr>
        <w:t>with</w:t>
      </w:r>
      <w:r w:rsidRPr="006764CF">
        <w:rPr>
          <w:rFonts w:ascii="Times New Roman" w:hAnsi="Times New Roman"/>
          <w:bCs/>
          <w:szCs w:val="24"/>
        </w:rPr>
        <w:t xml:space="preserve"> equations, parameters and domain of validity clearly defined. Instead</w:t>
      </w:r>
      <w:r w:rsidR="00E75D7E">
        <w:rPr>
          <w:rFonts w:ascii="Times New Roman" w:hAnsi="Times New Roman"/>
          <w:bCs/>
          <w:szCs w:val="24"/>
        </w:rPr>
        <w:t>,</w:t>
      </w:r>
      <w:r w:rsidRPr="006764CF">
        <w:rPr>
          <w:rFonts w:ascii="Times New Roman" w:hAnsi="Times New Roman"/>
          <w:bCs/>
          <w:szCs w:val="24"/>
        </w:rPr>
        <w:t xml:space="preserve"> there is no consensus on the relevance of such a relationship (as general rule), very few values </w:t>
      </w:r>
      <w:r w:rsidRPr="006764CF">
        <w:rPr>
          <w:rFonts w:ascii="Times New Roman" w:hAnsi="Times New Roman"/>
          <w:bCs/>
          <w:szCs w:val="24"/>
        </w:rPr>
        <w:lastRenderedPageBreak/>
        <w:t xml:space="preserve">for chlorine content / dioxin emission are available in the literature, and numerous studies </w:t>
      </w:r>
      <w:r w:rsidR="00A0013F">
        <w:rPr>
          <w:rFonts w:ascii="Times New Roman" w:hAnsi="Times New Roman"/>
          <w:bCs/>
          <w:szCs w:val="24"/>
        </w:rPr>
        <w:t xml:space="preserve">are based </w:t>
      </w:r>
      <w:r w:rsidRPr="006764CF">
        <w:rPr>
          <w:rFonts w:ascii="Times New Roman" w:hAnsi="Times New Roman"/>
          <w:bCs/>
          <w:szCs w:val="24"/>
        </w:rPr>
        <w:t>o</w:t>
      </w:r>
      <w:r w:rsidR="00A0013F">
        <w:rPr>
          <w:rFonts w:ascii="Times New Roman" w:hAnsi="Times New Roman"/>
          <w:bCs/>
          <w:szCs w:val="24"/>
        </w:rPr>
        <w:t>n</w:t>
      </w:r>
      <w:r w:rsidRPr="006764CF">
        <w:rPr>
          <w:rFonts w:ascii="Times New Roman" w:hAnsi="Times New Roman"/>
          <w:bCs/>
          <w:szCs w:val="24"/>
        </w:rPr>
        <w:t xml:space="preserve"> outdated fuels/engines and </w:t>
      </w:r>
      <w:r w:rsidR="00A0013F">
        <w:rPr>
          <w:rFonts w:ascii="Times New Roman" w:hAnsi="Times New Roman"/>
          <w:bCs/>
          <w:szCs w:val="24"/>
        </w:rPr>
        <w:t xml:space="preserve">are </w:t>
      </w:r>
      <w:r w:rsidRPr="006764CF">
        <w:rPr>
          <w:rFonts w:ascii="Times New Roman" w:hAnsi="Times New Roman"/>
          <w:bCs/>
          <w:szCs w:val="24"/>
        </w:rPr>
        <w:t>partly specific to non</w:t>
      </w:r>
      <w:r w:rsidR="00A0013F">
        <w:rPr>
          <w:rFonts w:ascii="Times New Roman" w:hAnsi="Times New Roman"/>
          <w:bCs/>
          <w:szCs w:val="24"/>
        </w:rPr>
        <w:t>-</w:t>
      </w:r>
      <w:r w:rsidRPr="006764CF">
        <w:rPr>
          <w:rFonts w:ascii="Times New Roman" w:hAnsi="Times New Roman"/>
          <w:bCs/>
          <w:szCs w:val="24"/>
        </w:rPr>
        <w:t xml:space="preserve">EU countries. </w:t>
      </w:r>
    </w:p>
    <w:p w14:paraId="04398932" w14:textId="77777777" w:rsidR="006764CF" w:rsidRPr="006764CF" w:rsidRDefault="006764CF" w:rsidP="00E75D7E">
      <w:pPr>
        <w:widowControl w:val="0"/>
        <w:spacing w:after="120"/>
        <w:ind w:left="227" w:hanging="227"/>
        <w:rPr>
          <w:rFonts w:ascii="Times New Roman" w:hAnsi="Times New Roman"/>
          <w:bCs/>
          <w:szCs w:val="24"/>
        </w:rPr>
      </w:pPr>
      <w:r w:rsidRPr="006764CF">
        <w:rPr>
          <w:rFonts w:ascii="Times New Roman" w:hAnsi="Times New Roman"/>
          <w:bCs/>
          <w:szCs w:val="24"/>
        </w:rPr>
        <w:t>•</w:t>
      </w:r>
      <w:r w:rsidRPr="006764CF">
        <w:rPr>
          <w:rFonts w:ascii="Times New Roman" w:hAnsi="Times New Roman"/>
          <w:bCs/>
          <w:szCs w:val="24"/>
        </w:rPr>
        <w:tab/>
        <w:t>The overall situation is highly dynamic (vehicle fleet, traffic level) and all estimations are characterised by very large uncertainties. Much of the data used to estimate road traffic emissions in existing inventories date back 15-20 years. Their relevance to the current situation is questionable.</w:t>
      </w:r>
    </w:p>
    <w:p w14:paraId="176E69CE" w14:textId="7BE2F49C" w:rsidR="00403927" w:rsidRDefault="00A0013F">
      <w:pPr>
        <w:rPr>
          <w:rFonts w:ascii="Times New Roman" w:hAnsi="Times New Roman"/>
          <w:bCs/>
          <w:szCs w:val="24"/>
        </w:rPr>
      </w:pPr>
      <w:r>
        <w:rPr>
          <w:rFonts w:ascii="Times New Roman" w:hAnsi="Times New Roman"/>
          <w:bCs/>
          <w:szCs w:val="24"/>
        </w:rPr>
        <w:t xml:space="preserve">As regards </w:t>
      </w:r>
      <w:r w:rsidRPr="00F45504">
        <w:rPr>
          <w:rFonts w:ascii="Times New Roman" w:hAnsi="Times New Roman"/>
          <w:b/>
          <w:szCs w:val="24"/>
        </w:rPr>
        <w:t>paragraph</w:t>
      </w:r>
      <w:r>
        <w:rPr>
          <w:rFonts w:ascii="Times New Roman" w:hAnsi="Times New Roman"/>
          <w:b/>
          <w:szCs w:val="24"/>
        </w:rPr>
        <w:t xml:space="preserve"> 5</w:t>
      </w:r>
      <w:r w:rsidRPr="00F45504">
        <w:rPr>
          <w:rFonts w:ascii="Times New Roman" w:hAnsi="Times New Roman"/>
          <w:b/>
          <w:szCs w:val="24"/>
        </w:rPr>
        <w:t>,</w:t>
      </w:r>
      <w:r>
        <w:rPr>
          <w:rFonts w:ascii="Times New Roman" w:hAnsi="Times New Roman"/>
          <w:bCs/>
          <w:szCs w:val="24"/>
        </w:rPr>
        <w:t xml:space="preserve"> the Commission notes that there are no grounds to withdraw the draft implementing </w:t>
      </w:r>
      <w:r w:rsidR="00117908">
        <w:rPr>
          <w:rFonts w:ascii="Times New Roman" w:hAnsi="Times New Roman"/>
          <w:bCs/>
          <w:szCs w:val="24"/>
        </w:rPr>
        <w:t>r</w:t>
      </w:r>
      <w:r>
        <w:rPr>
          <w:rFonts w:ascii="Times New Roman" w:hAnsi="Times New Roman"/>
          <w:bCs/>
          <w:szCs w:val="24"/>
        </w:rPr>
        <w:t xml:space="preserve">egulation and that there are no technical or legal grounds on the basis of which it could present a new draft implementing regulation refusing the authorisation of </w:t>
      </w:r>
      <w:r w:rsidRPr="006764CF">
        <w:rPr>
          <w:rFonts w:ascii="Times New Roman" w:hAnsi="Times New Roman"/>
          <w:bCs/>
          <w:szCs w:val="24"/>
        </w:rPr>
        <w:t>the biocidal product family CMITMIT SOLVENT BASED in fuels</w:t>
      </w:r>
      <w:r>
        <w:rPr>
          <w:rFonts w:ascii="Times New Roman" w:hAnsi="Times New Roman"/>
          <w:bCs/>
          <w:szCs w:val="24"/>
        </w:rPr>
        <w:t>.</w:t>
      </w:r>
    </w:p>
    <w:sectPr w:rsidR="004039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6CC0E" w14:textId="77777777" w:rsidR="002665AC" w:rsidRDefault="002665AC" w:rsidP="002665AC">
      <w:pPr>
        <w:spacing w:after="0"/>
      </w:pPr>
      <w:r>
        <w:separator/>
      </w:r>
    </w:p>
  </w:endnote>
  <w:endnote w:type="continuationSeparator" w:id="0">
    <w:p w14:paraId="74C3667B" w14:textId="77777777" w:rsidR="002665AC" w:rsidRDefault="002665AC" w:rsidP="00266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B2C0" w14:textId="77777777" w:rsidR="00CD3059" w:rsidRDefault="00CD3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547546"/>
      <w:docPartObj>
        <w:docPartGallery w:val="Page Numbers (Bottom of Page)"/>
        <w:docPartUnique/>
      </w:docPartObj>
    </w:sdtPr>
    <w:sdtEndPr>
      <w:rPr>
        <w:noProof/>
      </w:rPr>
    </w:sdtEndPr>
    <w:sdtContent>
      <w:p w14:paraId="58FF6991" w14:textId="27DEC360" w:rsidR="00CD3059" w:rsidRDefault="00CD3059">
        <w:pPr>
          <w:pStyle w:val="Footer"/>
          <w:jc w:val="center"/>
        </w:pPr>
        <w:r>
          <w:fldChar w:fldCharType="begin"/>
        </w:r>
        <w:r>
          <w:instrText xml:space="preserve"> PAGE   \* MERGEFORMAT </w:instrText>
        </w:r>
        <w:r>
          <w:fldChar w:fldCharType="separate"/>
        </w:r>
        <w:r w:rsidR="00731FBA">
          <w:rPr>
            <w:noProof/>
          </w:rPr>
          <w:t>5</w:t>
        </w:r>
        <w:r>
          <w:rPr>
            <w:noProof/>
          </w:rPr>
          <w:fldChar w:fldCharType="end"/>
        </w:r>
      </w:p>
    </w:sdtContent>
  </w:sdt>
  <w:p w14:paraId="21F2B949" w14:textId="77777777" w:rsidR="00CD3059" w:rsidRDefault="00CD3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AA317" w14:textId="77777777" w:rsidR="00CD3059" w:rsidRDefault="00CD3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09CAC" w14:textId="77777777" w:rsidR="002665AC" w:rsidRDefault="002665AC" w:rsidP="002665AC">
      <w:pPr>
        <w:spacing w:after="0"/>
      </w:pPr>
      <w:r>
        <w:separator/>
      </w:r>
    </w:p>
  </w:footnote>
  <w:footnote w:type="continuationSeparator" w:id="0">
    <w:p w14:paraId="3AC40BA5" w14:textId="77777777" w:rsidR="002665AC" w:rsidRDefault="002665AC" w:rsidP="002665AC">
      <w:pPr>
        <w:spacing w:after="0"/>
      </w:pPr>
      <w:r>
        <w:continuationSeparator/>
      </w:r>
    </w:p>
  </w:footnote>
  <w:footnote w:id="1">
    <w:p w14:paraId="27EF08DE" w14:textId="77777777" w:rsidR="00974E14" w:rsidRPr="00E03206" w:rsidRDefault="00974E14" w:rsidP="00E03206">
      <w:pPr>
        <w:pStyle w:val="FootnoteText"/>
        <w:ind w:left="357" w:hanging="357"/>
        <w:jc w:val="both"/>
        <w:rPr>
          <w:rFonts w:ascii="Times New Roman" w:hAnsi="Times New Roman" w:cs="Times New Roman"/>
        </w:rPr>
      </w:pPr>
      <w:r w:rsidRPr="00E01811">
        <w:rPr>
          <w:rStyle w:val="FootnoteReference"/>
          <w:sz w:val="24"/>
          <w:szCs w:val="22"/>
        </w:rPr>
        <w:footnoteRef/>
      </w:r>
      <w:r w:rsidRPr="00E01811">
        <w:rPr>
          <w:sz w:val="24"/>
          <w:szCs w:val="22"/>
        </w:rPr>
        <w:t xml:space="preserve"> </w:t>
      </w:r>
      <w:r w:rsidRPr="00E01811">
        <w:rPr>
          <w:sz w:val="24"/>
          <w:szCs w:val="22"/>
        </w:rPr>
        <w:tab/>
      </w:r>
      <w:r w:rsidRPr="00E03206">
        <w:rPr>
          <w:rFonts w:ascii="Times New Roman" w:hAnsi="Times New Roman" w:cs="Times New Roman"/>
        </w:rPr>
        <w:t>BPC op</w:t>
      </w:r>
      <w:bookmarkStart w:id="1" w:name="_GoBack"/>
      <w:bookmarkEnd w:id="1"/>
      <w:r w:rsidRPr="00E03206">
        <w:rPr>
          <w:rFonts w:ascii="Times New Roman" w:hAnsi="Times New Roman" w:cs="Times New Roman"/>
        </w:rPr>
        <w:t>inion of 5 March 2020 on the Union authorisation of the biocidal Product Family: CMIT/MIT SOLVENT BASE, Product type: 6, ECHA/BPC/246/2020.</w:t>
      </w:r>
    </w:p>
  </w:footnote>
  <w:footnote w:id="2">
    <w:p w14:paraId="1F11F946" w14:textId="77777777" w:rsidR="00974E14" w:rsidRPr="00E03206" w:rsidRDefault="00974E14" w:rsidP="00E03206">
      <w:pPr>
        <w:pStyle w:val="FootnoteText"/>
        <w:ind w:left="357" w:hanging="357"/>
        <w:jc w:val="both"/>
        <w:rPr>
          <w:rFonts w:ascii="Times New Roman" w:hAnsi="Times New Roman" w:cs="Times New Roman"/>
        </w:rPr>
      </w:pPr>
      <w:r w:rsidRPr="00E03206">
        <w:rPr>
          <w:rStyle w:val="FootnoteReference"/>
          <w:rFonts w:ascii="Times New Roman" w:hAnsi="Times New Roman" w:cs="Times New Roman"/>
        </w:rPr>
        <w:footnoteRef/>
      </w:r>
      <w:r w:rsidRPr="00E03206">
        <w:rPr>
          <w:rFonts w:ascii="Times New Roman" w:hAnsi="Times New Roman" w:cs="Times New Roman"/>
        </w:rPr>
        <w:t xml:space="preserve"> </w:t>
      </w:r>
      <w:r w:rsidRPr="00E03206">
        <w:rPr>
          <w:rFonts w:ascii="Times New Roman" w:hAnsi="Times New Roman" w:cs="Times New Roman"/>
        </w:rPr>
        <w:tab/>
        <w:t xml:space="preserve">Commission report of 4 January 2019 on the review and update of the second European Union Implementation Plan in accordance with Article 8(4) of Regulation No 850/2004 on persistent organic pollutants, COM(2018)0848, </w:t>
      </w:r>
      <w:hyperlink r:id="rId1" w:history="1">
        <w:r w:rsidRPr="00E03206">
          <w:rPr>
            <w:rStyle w:val="Hyperlink"/>
            <w:rFonts w:ascii="Times New Roman" w:hAnsi="Times New Roman" w:cs="Times New Roman"/>
          </w:rPr>
          <w:t>https://ec.europa.eu/transparency/regdoc/rep/1/2018/EN/COM-2018-848-F1-EN-MAIN-PART-1.PDF</w:t>
        </w:r>
      </w:hyperlink>
      <w:r w:rsidRPr="00E03206">
        <w:rPr>
          <w:rFonts w:ascii="Times New Roman" w:hAnsi="Times New Roman" w:cs="Times New Roman"/>
        </w:rPr>
        <w:t xml:space="preserve"> </w:t>
      </w:r>
    </w:p>
  </w:footnote>
  <w:footnote w:id="3">
    <w:p w14:paraId="0F94B87E" w14:textId="77777777" w:rsidR="00974E14" w:rsidRPr="00E03206" w:rsidRDefault="00974E14" w:rsidP="00E03206">
      <w:pPr>
        <w:pStyle w:val="FootnoteText"/>
        <w:ind w:left="357" w:hanging="357"/>
        <w:jc w:val="both"/>
        <w:rPr>
          <w:rFonts w:ascii="Times New Roman" w:hAnsi="Times New Roman" w:cs="Times New Roman"/>
        </w:rPr>
      </w:pPr>
      <w:r w:rsidRPr="00E03206">
        <w:rPr>
          <w:rStyle w:val="FootnoteReference"/>
          <w:rFonts w:ascii="Times New Roman" w:hAnsi="Times New Roman" w:cs="Times New Roman"/>
        </w:rPr>
        <w:footnoteRef/>
      </w:r>
      <w:r w:rsidRPr="00E03206">
        <w:rPr>
          <w:rFonts w:ascii="Times New Roman" w:hAnsi="Times New Roman" w:cs="Times New Roman"/>
        </w:rPr>
        <w:t xml:space="preserve"> </w:t>
      </w:r>
      <w:r w:rsidRPr="00E03206">
        <w:rPr>
          <w:rFonts w:ascii="Times New Roman" w:hAnsi="Times New Roman" w:cs="Times New Roman"/>
        </w:rPr>
        <w:tab/>
        <w:t>BPC opinion of 5 July 2021 on a request according to Article 75(1)(g) of Regulation (EU) No 528/2012 on the evaluation of dioxins emissions from the use of the biocidal product family (BPF) “CMIT/MIT SOLVENT BASED” in fuels used in road and ship transport (ECHA/BPC/283/2021).</w:t>
      </w:r>
    </w:p>
  </w:footnote>
  <w:footnote w:id="4">
    <w:p w14:paraId="577666E1" w14:textId="77777777" w:rsidR="00974E14" w:rsidRPr="00E01811" w:rsidRDefault="00974E14" w:rsidP="00E03206">
      <w:pPr>
        <w:pStyle w:val="FootnoteText"/>
        <w:ind w:left="357" w:hanging="357"/>
        <w:jc w:val="both"/>
        <w:rPr>
          <w:sz w:val="24"/>
          <w:szCs w:val="22"/>
        </w:rPr>
      </w:pPr>
      <w:r w:rsidRPr="00E03206">
        <w:rPr>
          <w:rStyle w:val="FootnoteReference"/>
          <w:rFonts w:ascii="Times New Roman" w:hAnsi="Times New Roman" w:cs="Times New Roman"/>
        </w:rPr>
        <w:footnoteRef/>
      </w:r>
      <w:r w:rsidRPr="00E03206">
        <w:rPr>
          <w:rFonts w:ascii="Times New Roman" w:hAnsi="Times New Roman" w:cs="Times New Roman"/>
        </w:rPr>
        <w:t xml:space="preserve"> </w:t>
      </w:r>
      <w:r w:rsidRPr="00E03206">
        <w:rPr>
          <w:rFonts w:ascii="Times New Roman" w:hAnsi="Times New Roman" w:cs="Times New Roman"/>
        </w:rPr>
        <w:tab/>
        <w:t>Communication of the Commission of 11 December 2019 on the European Green Deal, COM(2019)0640</w:t>
      </w:r>
      <w:r w:rsidRPr="00CC6BB9">
        <w:rPr>
          <w:rFonts w:ascii="Times New Roman" w:hAnsi="Times New Roman" w:cs="Times New Roman"/>
        </w:rPr>
        <w:t>.</w:t>
      </w:r>
    </w:p>
  </w:footnote>
  <w:footnote w:id="5">
    <w:p w14:paraId="7455ACE9" w14:textId="77777777" w:rsidR="00974E14" w:rsidRPr="00E01811" w:rsidRDefault="00974E14" w:rsidP="00974E14">
      <w:pPr>
        <w:pStyle w:val="FootnoteText"/>
        <w:ind w:left="567" w:hanging="567"/>
        <w:rPr>
          <w:sz w:val="24"/>
          <w:szCs w:val="22"/>
        </w:rPr>
      </w:pPr>
      <w:r w:rsidRPr="00E01811">
        <w:rPr>
          <w:rStyle w:val="FootnoteReference"/>
          <w:sz w:val="24"/>
          <w:szCs w:val="22"/>
        </w:rPr>
        <w:footnoteRef/>
      </w:r>
      <w:r w:rsidRPr="00E01811">
        <w:rPr>
          <w:bCs/>
          <w:sz w:val="24"/>
          <w:szCs w:val="22"/>
        </w:rPr>
        <w:t xml:space="preserve"> </w:t>
      </w:r>
      <w:r w:rsidRPr="00E01811">
        <w:rPr>
          <w:bCs/>
          <w:sz w:val="24"/>
          <w:szCs w:val="22"/>
        </w:rPr>
        <w:tab/>
      </w:r>
      <w:r w:rsidRPr="00CC6BB9">
        <w:rPr>
          <w:rFonts w:ascii="Times New Roman" w:hAnsi="Times New Roman" w:cs="Times New Roman"/>
          <w:bCs/>
        </w:rPr>
        <w:t>Regulation (EU) 2021/1119 of the European Parliament and of the Council of 30 June 2021 establishing the framework for achieving climate neutrality and amending Regulations (EC) No 401/2009 and (EU) 2018/1999 (‘</w:t>
      </w:r>
      <w:r w:rsidRPr="00CC6BB9">
        <w:rPr>
          <w:rFonts w:ascii="Times New Roman" w:hAnsi="Times New Roman" w:cs="Times New Roman"/>
        </w:rPr>
        <w:t>European Climate Law’) (OJ L 243, 9.7.2021,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C570" w14:textId="77777777" w:rsidR="00CD3059" w:rsidRDefault="00CD3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ED3EB" w14:textId="77777777" w:rsidR="00CD3059" w:rsidRDefault="00CD3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8DEA0" w14:textId="77777777" w:rsidR="00CD3059" w:rsidRDefault="00CD3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D927FAA"/>
    <w:lvl w:ilvl="0">
      <w:start w:val="1"/>
      <w:numFmt w:val="decimal"/>
      <w:pStyle w:val="ListNumber"/>
      <w:lvlText w:val="%1."/>
      <w:lvlJc w:val="left"/>
      <w:pPr>
        <w:tabs>
          <w:tab w:val="num" w:pos="360"/>
        </w:tabs>
        <w:ind w:left="360" w:hanging="360"/>
      </w:pPr>
    </w:lvl>
  </w:abstractNum>
  <w:abstractNum w:abstractNumId="1" w15:restartNumberingAfterBreak="0">
    <w:nsid w:val="3B9C0298"/>
    <w:multiLevelType w:val="hybridMultilevel"/>
    <w:tmpl w:val="7494E44A"/>
    <w:lvl w:ilvl="0" w:tplc="3C4813B0">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D6CDF"/>
    <w:rsid w:val="00006E65"/>
    <w:rsid w:val="00037FC2"/>
    <w:rsid w:val="00053D0D"/>
    <w:rsid w:val="000674D9"/>
    <w:rsid w:val="00093818"/>
    <w:rsid w:val="000C2AEF"/>
    <w:rsid w:val="000D58BE"/>
    <w:rsid w:val="000F5F0F"/>
    <w:rsid w:val="00117908"/>
    <w:rsid w:val="001630B2"/>
    <w:rsid w:val="00183A48"/>
    <w:rsid w:val="001961DC"/>
    <w:rsid w:val="001C2799"/>
    <w:rsid w:val="001D3DB8"/>
    <w:rsid w:val="00230C75"/>
    <w:rsid w:val="00251595"/>
    <w:rsid w:val="0026643C"/>
    <w:rsid w:val="002665AC"/>
    <w:rsid w:val="002B76D0"/>
    <w:rsid w:val="002C694B"/>
    <w:rsid w:val="002E1553"/>
    <w:rsid w:val="00301C7C"/>
    <w:rsid w:val="00306ACE"/>
    <w:rsid w:val="0031548E"/>
    <w:rsid w:val="00323C66"/>
    <w:rsid w:val="00334CC7"/>
    <w:rsid w:val="00342F93"/>
    <w:rsid w:val="0037487F"/>
    <w:rsid w:val="003903BE"/>
    <w:rsid w:val="003B4F53"/>
    <w:rsid w:val="00407650"/>
    <w:rsid w:val="00413A1C"/>
    <w:rsid w:val="004730F2"/>
    <w:rsid w:val="004A6DAB"/>
    <w:rsid w:val="004B78D0"/>
    <w:rsid w:val="00521853"/>
    <w:rsid w:val="00521B58"/>
    <w:rsid w:val="00526019"/>
    <w:rsid w:val="005304D6"/>
    <w:rsid w:val="0053313F"/>
    <w:rsid w:val="005372FE"/>
    <w:rsid w:val="005769C6"/>
    <w:rsid w:val="0058470A"/>
    <w:rsid w:val="005A7E1B"/>
    <w:rsid w:val="005D6CDF"/>
    <w:rsid w:val="005E74FC"/>
    <w:rsid w:val="00603932"/>
    <w:rsid w:val="0063019F"/>
    <w:rsid w:val="006538F5"/>
    <w:rsid w:val="006707EB"/>
    <w:rsid w:val="006764CF"/>
    <w:rsid w:val="00686BD7"/>
    <w:rsid w:val="006D6C30"/>
    <w:rsid w:val="00731FBA"/>
    <w:rsid w:val="0078270B"/>
    <w:rsid w:val="007F16B4"/>
    <w:rsid w:val="0082343D"/>
    <w:rsid w:val="008300B8"/>
    <w:rsid w:val="00831BC3"/>
    <w:rsid w:val="00844867"/>
    <w:rsid w:val="0085794A"/>
    <w:rsid w:val="00870D5B"/>
    <w:rsid w:val="00874DED"/>
    <w:rsid w:val="00876089"/>
    <w:rsid w:val="008A457A"/>
    <w:rsid w:val="008C76FE"/>
    <w:rsid w:val="0090035A"/>
    <w:rsid w:val="009474DF"/>
    <w:rsid w:val="00950976"/>
    <w:rsid w:val="00966DDB"/>
    <w:rsid w:val="00970C57"/>
    <w:rsid w:val="00974E14"/>
    <w:rsid w:val="00985138"/>
    <w:rsid w:val="009B1A88"/>
    <w:rsid w:val="009B2C6B"/>
    <w:rsid w:val="009C1CF5"/>
    <w:rsid w:val="00A0013F"/>
    <w:rsid w:val="00A65A52"/>
    <w:rsid w:val="00A77D03"/>
    <w:rsid w:val="00A94A9D"/>
    <w:rsid w:val="00AA1290"/>
    <w:rsid w:val="00B01153"/>
    <w:rsid w:val="00B57867"/>
    <w:rsid w:val="00B80014"/>
    <w:rsid w:val="00B86110"/>
    <w:rsid w:val="00B92F34"/>
    <w:rsid w:val="00B95734"/>
    <w:rsid w:val="00C15622"/>
    <w:rsid w:val="00C17920"/>
    <w:rsid w:val="00C27B3D"/>
    <w:rsid w:val="00C5276C"/>
    <w:rsid w:val="00C80B67"/>
    <w:rsid w:val="00C84423"/>
    <w:rsid w:val="00C92139"/>
    <w:rsid w:val="00CB26B5"/>
    <w:rsid w:val="00CC6BB9"/>
    <w:rsid w:val="00CD3059"/>
    <w:rsid w:val="00CF1F7D"/>
    <w:rsid w:val="00D37F13"/>
    <w:rsid w:val="00D422BB"/>
    <w:rsid w:val="00DA4C5D"/>
    <w:rsid w:val="00DF1588"/>
    <w:rsid w:val="00E03206"/>
    <w:rsid w:val="00E367FA"/>
    <w:rsid w:val="00E56090"/>
    <w:rsid w:val="00E73AC1"/>
    <w:rsid w:val="00E75D7E"/>
    <w:rsid w:val="00EB091B"/>
    <w:rsid w:val="00EB4942"/>
    <w:rsid w:val="00EB7685"/>
    <w:rsid w:val="00EF2D99"/>
    <w:rsid w:val="00F16293"/>
    <w:rsid w:val="00F22E62"/>
    <w:rsid w:val="00F33DA9"/>
    <w:rsid w:val="00F4056D"/>
    <w:rsid w:val="00F45504"/>
    <w:rsid w:val="00F83B86"/>
    <w:rsid w:val="00FA032B"/>
    <w:rsid w:val="00FC0B9C"/>
    <w:rsid w:val="00FF6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D3BB621"/>
  <w15:chartTrackingRefBased/>
  <w15:docId w15:val="{2FA487B6-BB46-4D58-9E03-BCF4B04E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CDF"/>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65AC"/>
    <w:pPr>
      <w:spacing w:after="0"/>
      <w:jc w:val="left"/>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2665AC"/>
    <w:rPr>
      <w:sz w:val="20"/>
      <w:szCs w:val="20"/>
    </w:rPr>
  </w:style>
  <w:style w:type="character" w:styleId="FootnoteReference">
    <w:name w:val="footnote reference"/>
    <w:aliases w:val="BVI fnr,Footnote symbol, BVI fnr,SUPERS,Footnote reference number,note TESI,-E Fußnotenzeichen,number,Appel note de bas de p,Nota,Footnote,Footnote number,Footnote Reference Superscript,EN Footnote Reference,number Char Char,Ref,fr,o"/>
    <w:basedOn w:val="DefaultParagraphFont"/>
    <w:unhideWhenUsed/>
    <w:qFormat/>
    <w:rsid w:val="002665AC"/>
    <w:rPr>
      <w:vertAlign w:val="superscript"/>
    </w:rPr>
  </w:style>
  <w:style w:type="character" w:styleId="Hyperlink">
    <w:name w:val="Hyperlink"/>
    <w:basedOn w:val="DefaultParagraphFont"/>
    <w:uiPriority w:val="99"/>
    <w:unhideWhenUsed/>
    <w:rsid w:val="002665AC"/>
    <w:rPr>
      <w:color w:val="0563C1" w:themeColor="hyperlink"/>
      <w:u w:val="single"/>
    </w:rPr>
  </w:style>
  <w:style w:type="paragraph" w:styleId="Header">
    <w:name w:val="header"/>
    <w:basedOn w:val="Normal"/>
    <w:link w:val="HeaderChar"/>
    <w:uiPriority w:val="99"/>
    <w:unhideWhenUsed/>
    <w:rsid w:val="00CD3059"/>
    <w:pPr>
      <w:tabs>
        <w:tab w:val="center" w:pos="4513"/>
        <w:tab w:val="right" w:pos="9026"/>
      </w:tabs>
      <w:spacing w:after="0"/>
    </w:pPr>
  </w:style>
  <w:style w:type="character" w:customStyle="1" w:styleId="HeaderChar">
    <w:name w:val="Header Char"/>
    <w:basedOn w:val="DefaultParagraphFont"/>
    <w:link w:val="Header"/>
    <w:uiPriority w:val="99"/>
    <w:rsid w:val="00CD3059"/>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CD3059"/>
    <w:pPr>
      <w:tabs>
        <w:tab w:val="center" w:pos="4513"/>
        <w:tab w:val="right" w:pos="9026"/>
      </w:tabs>
      <w:spacing w:after="0"/>
    </w:pPr>
  </w:style>
  <w:style w:type="character" w:customStyle="1" w:styleId="FooterChar">
    <w:name w:val="Footer Char"/>
    <w:basedOn w:val="DefaultParagraphFont"/>
    <w:link w:val="Footer"/>
    <w:uiPriority w:val="99"/>
    <w:rsid w:val="00CD3059"/>
    <w:rPr>
      <w:rFonts w:ascii="Courier New" w:eastAsia="Times New Roman" w:hAnsi="Courier New" w:cs="Times New Roman"/>
      <w:sz w:val="24"/>
      <w:szCs w:val="20"/>
      <w:lang w:eastAsia="en-GB"/>
    </w:rPr>
  </w:style>
  <w:style w:type="character" w:styleId="CommentReference">
    <w:name w:val="annotation reference"/>
    <w:basedOn w:val="DefaultParagraphFont"/>
    <w:uiPriority w:val="99"/>
    <w:semiHidden/>
    <w:unhideWhenUsed/>
    <w:rsid w:val="00B01153"/>
    <w:rPr>
      <w:sz w:val="16"/>
      <w:szCs w:val="16"/>
    </w:rPr>
  </w:style>
  <w:style w:type="paragraph" w:styleId="CommentText">
    <w:name w:val="annotation text"/>
    <w:basedOn w:val="Normal"/>
    <w:link w:val="CommentTextChar"/>
    <w:uiPriority w:val="99"/>
    <w:semiHidden/>
    <w:unhideWhenUsed/>
    <w:rsid w:val="00B01153"/>
    <w:rPr>
      <w:sz w:val="20"/>
    </w:rPr>
  </w:style>
  <w:style w:type="character" w:customStyle="1" w:styleId="CommentTextChar">
    <w:name w:val="Comment Text Char"/>
    <w:basedOn w:val="DefaultParagraphFont"/>
    <w:link w:val="CommentText"/>
    <w:uiPriority w:val="99"/>
    <w:semiHidden/>
    <w:rsid w:val="00B01153"/>
    <w:rPr>
      <w:rFonts w:ascii="Courier New" w:eastAsia="Times New Roman" w:hAnsi="Courier New"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01153"/>
    <w:rPr>
      <w:b/>
      <w:bCs/>
    </w:rPr>
  </w:style>
  <w:style w:type="character" w:customStyle="1" w:styleId="CommentSubjectChar">
    <w:name w:val="Comment Subject Char"/>
    <w:basedOn w:val="CommentTextChar"/>
    <w:link w:val="CommentSubject"/>
    <w:uiPriority w:val="99"/>
    <w:semiHidden/>
    <w:rsid w:val="00B01153"/>
    <w:rPr>
      <w:rFonts w:ascii="Courier New" w:eastAsia="Times New Roman" w:hAnsi="Courier New" w:cs="Times New Roman"/>
      <w:b/>
      <w:bCs/>
      <w:sz w:val="20"/>
      <w:szCs w:val="20"/>
      <w:lang w:eastAsia="en-GB"/>
    </w:rPr>
  </w:style>
  <w:style w:type="paragraph" w:styleId="BalloonText">
    <w:name w:val="Balloon Text"/>
    <w:basedOn w:val="Normal"/>
    <w:link w:val="BalloonTextChar"/>
    <w:uiPriority w:val="99"/>
    <w:semiHidden/>
    <w:unhideWhenUsed/>
    <w:rsid w:val="00053D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D0D"/>
    <w:rPr>
      <w:rFonts w:ascii="Segoe UI" w:eastAsia="Times New Roman" w:hAnsi="Segoe UI" w:cs="Segoe UI"/>
      <w:sz w:val="18"/>
      <w:szCs w:val="18"/>
      <w:lang w:eastAsia="en-GB"/>
    </w:rPr>
  </w:style>
  <w:style w:type="paragraph" w:styleId="ListNumber">
    <w:name w:val="List Number"/>
    <w:basedOn w:val="Normal"/>
    <w:uiPriority w:val="99"/>
    <w:semiHidden/>
    <w:unhideWhenUsed/>
    <w:rsid w:val="00974E14"/>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3596">
      <w:bodyDiv w:val="1"/>
      <w:marLeft w:val="0"/>
      <w:marRight w:val="0"/>
      <w:marTop w:val="0"/>
      <w:marBottom w:val="0"/>
      <w:divBdr>
        <w:top w:val="none" w:sz="0" w:space="0" w:color="auto"/>
        <w:left w:val="none" w:sz="0" w:space="0" w:color="auto"/>
        <w:bottom w:val="none" w:sz="0" w:space="0" w:color="auto"/>
        <w:right w:val="none" w:sz="0" w:space="0" w:color="auto"/>
      </w:divBdr>
    </w:div>
    <w:div w:id="5708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ransparency/regdoc/rep/1/2018/EN/COM-2018-848-F1-EN-MAIN-PAR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92ED0-F098-4BFC-8645-BFC344AA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PEREZ Maria (SANTE)</dc:creator>
  <cp:keywords/>
  <dc:description/>
  <cp:lastModifiedBy>BIANCHIN Raffaella (SG)</cp:lastModifiedBy>
  <cp:revision>4</cp:revision>
  <dcterms:created xsi:type="dcterms:W3CDTF">2023-01-20T16:42:00Z</dcterms:created>
  <dcterms:modified xsi:type="dcterms:W3CDTF">2023-01-30T14:24:00Z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2022-11-20T10:45:30Z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e1d75b02-b0ad-4650-8ca7-795d60c1fe53</vt:lpwstr>
  </property>
  <property fmtid="{D5CDD505-2E9C-101B-9397-08002B2CF9AE}" pid="8" name="MSIP_Label_6bd9ddd1-4d20-43f6-abfa-fc3c07406f94_ContentBits">
    <vt:lpwstr>0</vt:lpwstr>
  </property>
</Properties>
</file>