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107F" w14:textId="455936F7" w:rsidR="001F071E" w:rsidRPr="009A229F" w:rsidRDefault="001F071E" w:rsidP="001F071E">
      <w:pPr>
        <w:spacing w:after="600"/>
        <w:jc w:val="center"/>
        <w:rPr>
          <w:rFonts w:ascii="Times New Roman" w:hAnsi="Times New Roman"/>
          <w:b/>
        </w:rPr>
      </w:pPr>
      <w:bookmarkStart w:id="0" w:name="Istambul"/>
      <w:r w:rsidRPr="009A229F">
        <w:rPr>
          <w:rFonts w:ascii="Times New Roman" w:hAnsi="Times New Roman"/>
          <w:b/>
        </w:rPr>
        <w:t>Suite donnée à la résolution non législative du Parlement européen sur les grands projets d’infrastructures de transport dans l’UE – mise en œuvre des projets et suivi et contrôle des fonds de l’Union</w:t>
      </w:r>
    </w:p>
    <w:bookmarkEnd w:id="0"/>
    <w:p w14:paraId="6446B44C" w14:textId="74EAA8BA" w:rsidR="001F071E" w:rsidRPr="009A229F" w:rsidRDefault="001F071E" w:rsidP="001F071E">
      <w:pPr>
        <w:numPr>
          <w:ilvl w:val="0"/>
          <w:numId w:val="1"/>
        </w:numPr>
        <w:ind w:left="567" w:hanging="567"/>
        <w:rPr>
          <w:rFonts w:ascii="Times New Roman" w:hAnsi="Times New Roman"/>
          <w:i/>
          <w:szCs w:val="24"/>
        </w:rPr>
      </w:pPr>
      <w:r w:rsidRPr="009A229F">
        <w:rPr>
          <w:rFonts w:ascii="Times New Roman" w:hAnsi="Times New Roman"/>
          <w:b/>
        </w:rPr>
        <w:t xml:space="preserve">Rapporteur: </w:t>
      </w:r>
      <w:r w:rsidRPr="009A229F">
        <w:rPr>
          <w:rFonts w:ascii="Times New Roman" w:hAnsi="Times New Roman"/>
        </w:rPr>
        <w:t>Andrey NOVAKOV (PPE/BG)</w:t>
      </w:r>
    </w:p>
    <w:p w14:paraId="077FB17D" w14:textId="0977D90B" w:rsidR="001F071E" w:rsidRPr="009A229F" w:rsidRDefault="001F071E" w:rsidP="00B6078F">
      <w:pPr>
        <w:numPr>
          <w:ilvl w:val="0"/>
          <w:numId w:val="1"/>
        </w:numPr>
        <w:ind w:left="567" w:hanging="567"/>
        <w:rPr>
          <w:rFonts w:ascii="Times New Roman" w:hAnsi="Times New Roman"/>
          <w:i/>
          <w:szCs w:val="24"/>
        </w:rPr>
      </w:pPr>
      <w:r w:rsidRPr="009A229F">
        <w:rPr>
          <w:rFonts w:ascii="Times New Roman" w:hAnsi="Times New Roman"/>
          <w:b/>
        </w:rPr>
        <w:t xml:space="preserve">Numéros de référence: </w:t>
      </w:r>
      <w:r w:rsidRPr="009A229F">
        <w:rPr>
          <w:rFonts w:ascii="Times New Roman" w:hAnsi="Times New Roman"/>
        </w:rPr>
        <w:t>2022/2021 (INI) / A9-0181/2023 / P9_TA(2023)0229</w:t>
      </w:r>
    </w:p>
    <w:p w14:paraId="48C8AEC6" w14:textId="7E37E8F3" w:rsidR="001F071E" w:rsidRPr="009A229F" w:rsidRDefault="001F071E" w:rsidP="001F071E">
      <w:pPr>
        <w:numPr>
          <w:ilvl w:val="0"/>
          <w:numId w:val="1"/>
        </w:numPr>
        <w:ind w:left="567" w:hanging="567"/>
        <w:rPr>
          <w:rFonts w:ascii="Times New Roman" w:hAnsi="Times New Roman"/>
          <w:szCs w:val="24"/>
        </w:rPr>
      </w:pPr>
      <w:r w:rsidRPr="009A229F">
        <w:rPr>
          <w:rFonts w:ascii="Times New Roman" w:hAnsi="Times New Roman"/>
          <w:b/>
        </w:rPr>
        <w:t>Date d'adoption de la résolution</w:t>
      </w:r>
      <w:r w:rsidRPr="009A229F">
        <w:rPr>
          <w:rFonts w:ascii="Times New Roman" w:hAnsi="Times New Roman"/>
        </w:rPr>
        <w:t xml:space="preserve"> 13 juin 2023</w:t>
      </w:r>
    </w:p>
    <w:p w14:paraId="55E5BBC5" w14:textId="44C4876F" w:rsidR="001F071E" w:rsidRPr="009A229F" w:rsidRDefault="001F071E" w:rsidP="001F071E">
      <w:pPr>
        <w:numPr>
          <w:ilvl w:val="0"/>
          <w:numId w:val="1"/>
        </w:numPr>
        <w:ind w:left="567" w:hanging="567"/>
        <w:rPr>
          <w:rFonts w:ascii="Times New Roman" w:hAnsi="Times New Roman"/>
          <w:i/>
          <w:szCs w:val="24"/>
        </w:rPr>
      </w:pPr>
      <w:r w:rsidRPr="009A229F">
        <w:rPr>
          <w:rFonts w:ascii="Times New Roman" w:hAnsi="Times New Roman"/>
          <w:b/>
        </w:rPr>
        <w:t>Commission parlementaire compétente</w:t>
      </w:r>
      <w:r w:rsidRPr="009A229F">
        <w:rPr>
          <w:rFonts w:ascii="Times New Roman" w:hAnsi="Times New Roman"/>
        </w:rPr>
        <w:t xml:space="preserve"> Commission du contrôle budgétaire (CONT)</w:t>
      </w:r>
    </w:p>
    <w:p w14:paraId="53D06B8C" w14:textId="7BAC4EEB" w:rsidR="001F071E" w:rsidRPr="009A229F" w:rsidRDefault="001F071E" w:rsidP="00483427">
      <w:pPr>
        <w:widowControl w:val="0"/>
        <w:numPr>
          <w:ilvl w:val="0"/>
          <w:numId w:val="1"/>
        </w:numPr>
        <w:ind w:left="567" w:hanging="567"/>
        <w:rPr>
          <w:rFonts w:ascii="Times New Roman" w:hAnsi="Times New Roman"/>
          <w:szCs w:val="24"/>
        </w:rPr>
      </w:pPr>
      <w:r w:rsidRPr="009A229F">
        <w:rPr>
          <w:rFonts w:ascii="Times New Roman" w:hAnsi="Times New Roman"/>
          <w:b/>
        </w:rPr>
        <w:t xml:space="preserve">Analyse/évaluation succincte de la résolution et des demandes qu’elle contient: </w:t>
      </w:r>
    </w:p>
    <w:p w14:paraId="1C5C9AB0" w14:textId="0BD205AF" w:rsidR="008F0B62" w:rsidRPr="009A229F" w:rsidRDefault="00EC175A" w:rsidP="00EA4341">
      <w:pPr>
        <w:widowControl w:val="0"/>
        <w:spacing w:after="120"/>
        <w:rPr>
          <w:rFonts w:ascii="Times New Roman" w:hAnsi="Times New Roman"/>
          <w:bCs/>
          <w:szCs w:val="24"/>
        </w:rPr>
      </w:pPr>
      <w:r w:rsidRPr="009A229F">
        <w:rPr>
          <w:rFonts w:ascii="Times New Roman" w:hAnsi="Times New Roman"/>
        </w:rPr>
        <w:t>La résolution du Parlement européen tient compte des recommandations de la Cour des comptes européenne, qui a fait part de son inquiétude face aux dépassements de coûts et aux retards importants dans la mise en œuvre de grands projets d’infrastructures de transport. Elle souligne toutefois la responsabilité partagée de l’UE et des États membres en matière de continuité et de capacité administrative. Elle reconnaît également que, même s’il y a effectivement des retards dans la mise en œuvre, le nombre de projets à forte incidence, couronnés de succès, qui sont cofinancés par l’UE ne doit pas être ignoré. Elle formule des recommandations constructives, qui doivent être mises en œuvre dans le cadre des travaux de la Commission sur l’achèvement du réseau RTE-T.</w:t>
      </w:r>
    </w:p>
    <w:p w14:paraId="086680DD" w14:textId="0EE72DBC" w:rsidR="008E455E" w:rsidRPr="009A229F" w:rsidRDefault="00714D8B" w:rsidP="00EA4341">
      <w:pPr>
        <w:widowControl w:val="0"/>
        <w:spacing w:after="120"/>
        <w:rPr>
          <w:rFonts w:ascii="Times New Roman" w:hAnsi="Times New Roman"/>
          <w:bCs/>
          <w:szCs w:val="24"/>
        </w:rPr>
      </w:pPr>
      <w:r w:rsidRPr="009A229F">
        <w:rPr>
          <w:rFonts w:ascii="Times New Roman" w:hAnsi="Times New Roman"/>
        </w:rPr>
        <w:t>En ce qui concerne le financement, la résolution souligne qu’il importe d’augmenter le budget au titre du mécanisme pour l’interconnexion en Europe (MIE), compte tenu de la hausse de l’inflation et de la nécessité de répondre à divers défis et priorités nouveaux ayant une incidence sur la mise en œuvre du RTE-T, y compris les tronçons transfrontaliers. La résolution souligne également qu’il est important d’établir un cadre financier afin de mieux encourager et d’attirer les investissements privés en faveur des projets d’infrastructure et demande que le prochain cadre financier pluriannuel (CFP) prévoie une enveloppe budgétaire consacrée au «transport extérieur» en vue d’aider les partenaires qui ne font pas partie de l’Union en ce qui concerne le développement d’infrastructures transfrontalières. Pour ce qui est de la gestion des fonds par la Commission, la résolution appelle à une meilleure coordination entre les directions générales de la Commission concernant la gestion des programmes et des initiatives de financement de l’UE afin d'obtenir des données plus complètes sur le montant du cofinancement de l’UE prévu pour les grands projets de transport et de permettre un examen plus complet, par la Commission, des analyses coûts-avantages présentées lors de la sélection des projets relevant du MIE, notamment.</w:t>
      </w:r>
    </w:p>
    <w:p w14:paraId="417E9780" w14:textId="7EB32042" w:rsidR="00A20237" w:rsidRPr="009A229F" w:rsidRDefault="00714D8B" w:rsidP="00EA4341">
      <w:pPr>
        <w:spacing w:after="120"/>
        <w:rPr>
          <w:rFonts w:ascii="Times New Roman" w:hAnsi="Times New Roman"/>
          <w:bCs/>
          <w:szCs w:val="24"/>
        </w:rPr>
      </w:pPr>
      <w:r w:rsidRPr="009A229F">
        <w:rPr>
          <w:rFonts w:ascii="Times New Roman" w:hAnsi="Times New Roman"/>
        </w:rPr>
        <w:t xml:space="preserve">Quant à la planification, à la coordination et à la mise en œuvre des grands projets d’infrastructure, la résolution demande un renforcement du rôle des coordonnateurs RTE-T, un alignement plus étroit entre les priorités stratégiques de l’UE et celles des États membres, ainsi qu’une cohérence entre les plans nationaux de transport et d’investissement des États membres de l’UE et les objectifs de l’UE en matière de transports. Il ressort de la résolution que la Commission devrait jouer un rôle plus important dans la surveillance de la planification des projets et de leur mise en œuvre le long des corridors du réseau de transport. Afin de remédier aux retards, la résolution invite la Commission à mettre en place une procédure accélérée pour les projets d’infrastructure le long du réseau RTE-T. Pour renforcer la connectivité avec les pays voisins, la résolution demande l’extension du réseau RTE-T aux pays partenaires voisins </w:t>
      </w:r>
      <w:r w:rsidRPr="009A229F">
        <w:rPr>
          <w:rFonts w:ascii="Times New Roman" w:hAnsi="Times New Roman"/>
        </w:rPr>
        <w:lastRenderedPageBreak/>
        <w:t>et l’amélioration des liaisons ferroviaires en vue de l’intégration des infrastructures ukrainiennes dans le RTE-T.</w:t>
      </w:r>
    </w:p>
    <w:p w14:paraId="093F2C73" w14:textId="38E98E4C" w:rsidR="008F0B62" w:rsidRPr="009A229F" w:rsidRDefault="00E65AC5" w:rsidP="00EA4341">
      <w:pPr>
        <w:widowControl w:val="0"/>
        <w:spacing w:after="120"/>
        <w:rPr>
          <w:rFonts w:ascii="Times New Roman" w:hAnsi="Times New Roman"/>
          <w:bCs/>
          <w:szCs w:val="24"/>
        </w:rPr>
      </w:pPr>
      <w:r w:rsidRPr="009A229F">
        <w:rPr>
          <w:rFonts w:ascii="Times New Roman" w:hAnsi="Times New Roman"/>
        </w:rPr>
        <w:t>En ce qui concerne le suivi des projets, la résolution préconise une transparence accrue au moyen d’évaluations ex post systématiques des différents projets cofinancés par l’UE, une plus grande visibilité de ces évaluations et un renforcement des indicateurs d’évaluation ex post, et demande que le suivi des projets se concentre sur les intrants financiers et les réalisations, mais également sur les résultats financiers et les incidences des projets.</w:t>
      </w:r>
    </w:p>
    <w:p w14:paraId="2A4A675C" w14:textId="623E6588" w:rsidR="00456DCC" w:rsidRPr="009A229F" w:rsidRDefault="00456DCC" w:rsidP="00EA4341">
      <w:pPr>
        <w:widowControl w:val="0"/>
        <w:spacing w:after="120"/>
        <w:rPr>
          <w:rFonts w:ascii="Times New Roman" w:hAnsi="Times New Roman"/>
          <w:bCs/>
          <w:szCs w:val="24"/>
        </w:rPr>
      </w:pPr>
      <w:r w:rsidRPr="009A229F">
        <w:rPr>
          <w:rFonts w:ascii="Times New Roman" w:hAnsi="Times New Roman"/>
        </w:rPr>
        <w:t xml:space="preserve">La résolution demande également l’adoption rapide du </w:t>
      </w:r>
      <w:bookmarkStart w:id="1" w:name="_Hlk138345134"/>
      <w:r w:rsidRPr="009A229F">
        <w:rPr>
          <w:rFonts w:ascii="Times New Roman" w:hAnsi="Times New Roman"/>
        </w:rPr>
        <w:t>règlement sur une infrastructure pour carburants alternatifs (AFIR)</w:t>
      </w:r>
      <w:bookmarkEnd w:id="1"/>
      <w:r w:rsidRPr="009A229F">
        <w:rPr>
          <w:rFonts w:ascii="Times New Roman" w:hAnsi="Times New Roman"/>
        </w:rPr>
        <w:t xml:space="preserve"> et invite les États membres à déployer des infrastructures conformes aux objectifs fixés en matière de déploiement.</w:t>
      </w:r>
    </w:p>
    <w:p w14:paraId="7EAAA143" w14:textId="77777777" w:rsidR="00383954" w:rsidRPr="009A229F" w:rsidRDefault="001F071E" w:rsidP="008F0B62">
      <w:pPr>
        <w:widowControl w:val="0"/>
        <w:numPr>
          <w:ilvl w:val="0"/>
          <w:numId w:val="1"/>
        </w:numPr>
        <w:ind w:left="567" w:hanging="567"/>
        <w:rPr>
          <w:rFonts w:ascii="Times New Roman" w:hAnsi="Times New Roman"/>
          <w:b/>
          <w:i/>
          <w:szCs w:val="24"/>
        </w:rPr>
      </w:pPr>
      <w:r w:rsidRPr="009A229F">
        <w:rPr>
          <w:rFonts w:ascii="Times New Roman" w:hAnsi="Times New Roman"/>
          <w:b/>
        </w:rPr>
        <w:t>Réponse à ces demandes et aperçu des mesures que la Commission a prises ou envisage de prendre:</w:t>
      </w:r>
      <w:r w:rsidRPr="009A229F">
        <w:rPr>
          <w:rFonts w:ascii="Times New Roman" w:hAnsi="Times New Roman"/>
        </w:rPr>
        <w:t xml:space="preserve"> </w:t>
      </w:r>
    </w:p>
    <w:p w14:paraId="0F92DF96" w14:textId="107504F8" w:rsidR="008F0B62" w:rsidRPr="009A229F" w:rsidRDefault="00383954" w:rsidP="00EA4341">
      <w:pPr>
        <w:widowControl w:val="0"/>
        <w:spacing w:after="120"/>
        <w:rPr>
          <w:rFonts w:ascii="Times New Roman" w:hAnsi="Times New Roman"/>
          <w:szCs w:val="24"/>
        </w:rPr>
      </w:pPr>
      <w:r w:rsidRPr="009A229F">
        <w:rPr>
          <w:rFonts w:ascii="Times New Roman" w:hAnsi="Times New Roman"/>
        </w:rPr>
        <w:t>La Commission se félicite de l’approche équilibrée de la résolution qui, tout en tenant compte des critiques et des recommandations formulées par la Cour des comptes, souligne également la responsabilité partagée de l’UE et des États membres en matière de suivi, de coordination, de continuité et de capacité administrative.</w:t>
      </w:r>
    </w:p>
    <w:p w14:paraId="17024C78" w14:textId="2A72FFDD" w:rsidR="00CE36CB" w:rsidRPr="009A229F" w:rsidRDefault="00B6078F" w:rsidP="00EA4341">
      <w:pPr>
        <w:widowControl w:val="0"/>
        <w:spacing w:after="120"/>
        <w:rPr>
          <w:rFonts w:ascii="Times New Roman" w:hAnsi="Times New Roman"/>
          <w:bCs/>
          <w:iCs/>
          <w:szCs w:val="24"/>
        </w:rPr>
      </w:pPr>
      <w:r w:rsidRPr="009A229F">
        <w:rPr>
          <w:rFonts w:ascii="Times New Roman" w:hAnsi="Times New Roman"/>
        </w:rPr>
        <w:t xml:space="preserve">En ce qui concerne le financement, la Commission prend note des recommandations du Parlement relatives à l’augmentation du budget alloué au mécanisme pour l’interconnexion en Europe en vue de faire face aux coûts supplémentaires découlant de l’inflation qui pèsent sur le budget de l’Union, ainsi que de tenir compte d’autres besoins et défis géopolitiques et de transition ayant une incidence sur la mise en œuvre du RTE-T, et notamment de ses tronçons transfrontaliers. La Commission rappelle que le budget de l’UE consacré aux grands projets à forte valeur ajoutée européenne au titre du MIE s’est révélé assez limité pour ce qui est de répondre aux besoins de financement. Le budget total de l’actuel mécanisme pour l’interconnexion en Europe (MIE II) consacré aux transports, qui couvre la période 2021-2027, s’élève à 25 milliards d’EUR (25,3 milliards d’EUR supplémentaires provenant du Fonds de cohésion et du Fonds européen de développement régional (FEDER) étant alloués au RTE-T dans le cadre des programmes relevant de la politique de cohésion  pour la période 2021-2027). Toutefois, le budget demandé pour les premiers appels à propositions dans le domaine des transports était près de trois fois supérieur au budget disponible pour l’appel lancé au titre du MIE. De nombreux projets présentés sont parvenus à maturité et présentent une forte valeur ajoutée européenne. Afin de remédier à cette situation, la Commission a concentré plus des trois quarts du budget du MIE II sur les trois premières années (grâce à des tranches annuelles). La Commission rappelle également qu’il convient de répondre aux nouvelles priorités définies à la suite de la guerre d’agression menée par la Russie contre l’Ukraine, à savoir les corridors de solidarité, au moyen du budget existant. Le budget consacré à la mobilité militaire, qui s’avère encore plus nécessaire depuis février 2022, sera épuisé à la suite du dernier appel publié en mai 2023 et clôturé le 21 septembre 2023. Les </w:t>
      </w:r>
      <w:r w:rsidRPr="009A229F">
        <w:rPr>
          <w:rStyle w:val="cf01"/>
          <w:rFonts w:ascii="Times New Roman" w:hAnsi="Times New Roman" w:cs="Times New Roman"/>
          <w:sz w:val="24"/>
        </w:rPr>
        <w:t>résultats seront connus en janvier 2024.</w:t>
      </w:r>
    </w:p>
    <w:p w14:paraId="7EBE80AE" w14:textId="38EB7AC6" w:rsidR="00155B03" w:rsidRPr="009A229F" w:rsidRDefault="00F535A6" w:rsidP="00EA4341">
      <w:pPr>
        <w:widowControl w:val="0"/>
        <w:spacing w:after="120"/>
        <w:rPr>
          <w:rFonts w:ascii="Times New Roman" w:hAnsi="Times New Roman"/>
          <w:bCs/>
          <w:iCs/>
          <w:szCs w:val="24"/>
        </w:rPr>
      </w:pPr>
      <w:r w:rsidRPr="009A229F">
        <w:rPr>
          <w:rFonts w:ascii="Times New Roman" w:hAnsi="Times New Roman"/>
        </w:rPr>
        <w:t xml:space="preserve">En ce qui concerne l’inflation, la Commission suit l’incidence exacte de l’inflation élevée sur les projets relevant du MIE, dans le cadre de l’exercice de suivi régulier, en collaboration avec l’Agence exécutive européenne pour le climat, les infrastructures et l’environnement (CINEA). L’expérience acquise jusqu’à présent a montré qu’en moyenne, les projets clôturés avaient utilisé 90 % environ des subventions allouées à l’issue d’une mise en concurrence. Cela permet de penser que les promoteurs de projets prévoient une certaine marge de manœuvre financière pour faire face à des risques tels que l’inflation. En outre, pour les projets futurs, les candidats devraient tenir compte, dans leurs demandes de subventions, des prévisions relatives à la hausse des coûts du marché. </w:t>
      </w:r>
    </w:p>
    <w:p w14:paraId="12BF1448" w14:textId="414BB10F" w:rsidR="00F645A0" w:rsidRPr="009A229F" w:rsidRDefault="00A96206" w:rsidP="00EA4341">
      <w:pPr>
        <w:pStyle w:val="Briefingtext"/>
        <w:rPr>
          <w:rFonts w:ascii="Times New Roman" w:eastAsia="Times New Roman" w:hAnsi="Times New Roman" w:cs="Times New Roman"/>
          <w:bCs/>
          <w:iCs/>
          <w:sz w:val="24"/>
          <w:szCs w:val="24"/>
        </w:rPr>
      </w:pPr>
      <w:r w:rsidRPr="009A229F">
        <w:rPr>
          <w:rFonts w:ascii="Times New Roman" w:hAnsi="Times New Roman" w:cs="Times New Roman"/>
          <w:sz w:val="24"/>
        </w:rPr>
        <w:lastRenderedPageBreak/>
        <w:t>Pour encourager les investissements privés, la Commission emploie les instruments financiers et réglementaires dont elle dispose. Le financement de l’UE a clairement un effet catalyseur sur les investissements privés: de nombreux projets ne seraient pas viables ou seraient mis en œuvre beaucoup plus lentement sans le soutien de l’UE. L’UE stimule également les investissements privés au moyen de réformes réglementaires qui sont intégrées dans les plans nationaux pour la reprise et la résilience au titre de la facilité pour la reprise et la résilience (FRR). La mise en œuvre de ces réformes est nécessaire pour obtenir un financement de l’UE. Ainsi, par exemple, une réforme a été mise en œuvre afin d’introduire des procédures plus intelligentes pour l’évaluation des projets ayant trait aux systèmes de transport public locaux et au secteur des transports de masse rapides, comme le prévoit le plan italien pour la reprise et la résilience.</w:t>
      </w:r>
    </w:p>
    <w:p w14:paraId="4779D5CA" w14:textId="0C13CDE6" w:rsidR="00F645A0" w:rsidRPr="009A229F" w:rsidRDefault="00F645A0" w:rsidP="00EA4341">
      <w:pPr>
        <w:spacing w:after="120"/>
        <w:rPr>
          <w:rFonts w:ascii="Times New Roman" w:hAnsi="Times New Roman"/>
          <w:bCs/>
          <w:iCs/>
          <w:szCs w:val="24"/>
        </w:rPr>
      </w:pPr>
      <w:r w:rsidRPr="009A229F">
        <w:rPr>
          <w:rFonts w:ascii="Times New Roman" w:hAnsi="Times New Roman"/>
        </w:rPr>
        <w:t xml:space="preserve">En outre, en ce qui concerne l’appel relatif à l’établissement d’un cadre financier en vue d’encourager et d’attirer les investissements privés, la Commission utilise déjà des instruments financiers tels que le financement mixte relevant du MIE. Le mécanisme pour une infrastructure pour carburants alternatifs (AFIF) prévoit un financement par une institution financière, qui est ensuite combiné avec une composante «subvention» du MIE pour un projet. Ce type de financement mixte n’est toutefois pas adapté à tous les types de projets, en particulier dans le secteur des transports, où le développement du réseau requiert des projets complexes et plus risqués (comme c’est le cas, par exemple, des projets transfrontaliers). Cette notion fait toutefois partie de la boîte à outils et pourrait être utilisée plus largement à l’avenir en tenant dûment compte de son efficience pour les différents modes/secteurs de transport. </w:t>
      </w:r>
    </w:p>
    <w:p w14:paraId="7E9C3547" w14:textId="4C512931" w:rsidR="00CE36CB" w:rsidRPr="009A229F" w:rsidRDefault="00CE36CB" w:rsidP="00EA4341">
      <w:pPr>
        <w:widowControl w:val="0"/>
        <w:spacing w:after="120"/>
        <w:rPr>
          <w:rFonts w:ascii="Times New Roman" w:hAnsi="Times New Roman"/>
          <w:bCs/>
          <w:iCs/>
          <w:szCs w:val="24"/>
        </w:rPr>
      </w:pPr>
      <w:r w:rsidRPr="009A229F">
        <w:rPr>
          <w:rFonts w:ascii="Times New Roman" w:hAnsi="Times New Roman"/>
        </w:rPr>
        <w:t>En ce qui concerne la dimension extérieure, la Commission rappelle que le cadre juridique actuel prévoit la possibilité pour les pays tiers d’être associés au programme, comme l’ont fait récemment l’Ukraine et la Moldavie. Les entités de ces pays pourront désormais participer aux appels d’offres du MIE-Transports et les autorités sont invitées en tant qu’observateurs au sein du comité MIE.</w:t>
      </w:r>
    </w:p>
    <w:p w14:paraId="7CF2B5AE" w14:textId="6496768B" w:rsidR="00617150" w:rsidRPr="009A229F" w:rsidRDefault="00617150" w:rsidP="00EA4341">
      <w:pPr>
        <w:spacing w:after="120"/>
        <w:rPr>
          <w:rFonts w:ascii="Times New Roman" w:hAnsi="Times New Roman"/>
          <w:bCs/>
          <w:iCs/>
          <w:szCs w:val="24"/>
        </w:rPr>
      </w:pPr>
      <w:r w:rsidRPr="009A229F">
        <w:rPr>
          <w:rFonts w:ascii="Times New Roman" w:hAnsi="Times New Roman"/>
        </w:rPr>
        <w:t>Dans le même temps, afin de favoriser les synergies et la coordination entre les programmes, la Commission a mis en place un réseau de synergies interservices. L’une des missions de ce réseau consiste à recenser les meilleures pratiques existantes en matière de synergies entre les programmes de financement qui sont susceptibles d’être reproduites afin de servir de source d’inspiration pour d’éventuelles approches à adopter dans le prochain cadre financier pluriannuel et/ou afin de mettre en place des projets pilotes à cet effet. La coordination et l’échange d’informations sont en outre assurés par des consultations interservices portant sur les différents aspects des programmes de financement et par les équipes nationales concernées, qui constituent la principale enceinte des travaux de coordination et de préparation de ces consultations.</w:t>
      </w:r>
    </w:p>
    <w:p w14:paraId="75236B07" w14:textId="418B1922" w:rsidR="00446CAD" w:rsidRPr="009A229F" w:rsidRDefault="00B6173A" w:rsidP="00EA4341">
      <w:pPr>
        <w:widowControl w:val="0"/>
        <w:spacing w:after="120"/>
        <w:rPr>
          <w:rFonts w:ascii="Times New Roman" w:hAnsi="Times New Roman"/>
          <w:bCs/>
          <w:iCs/>
          <w:szCs w:val="24"/>
        </w:rPr>
      </w:pPr>
      <w:r w:rsidRPr="009A229F">
        <w:rPr>
          <w:rFonts w:ascii="Times New Roman" w:hAnsi="Times New Roman"/>
        </w:rPr>
        <w:t xml:space="preserve">En ce qui concerne les recommandations relatives à la planification, à la coordination et à la mise en œuvre des grands projets d’infrastructure, la Commission reconnaît qu’il existe effectivement un risque de décalage entre les priorités stratégiques de l’UE et celles des États membres, étant donné que les États membres ont tendance à accorder la priorité au contexte national et négligent souvent les liaisons transfrontalières, qui font l'objet des grands projets d’infrastructure. Ces projets exigent un réel effort de coordination et d’alignement de la planification nationale des transports et du calendrier des procédures d’autorisation et de passation de marchés connexes entre deux États membres ou plus. Toutefois, la Commission s’emploie d’ores et déjà à résoudre ce problème au moyen de la proposition de révision du règlement RTE-T de décembre 2021 [COM (2021) 812], modifiée en juillet 2022 (COM/2022/384). La proposition vise à renforcer les instruments permettant de garantir la mise en œuvre des projets d’intérêt commun en conférant un plus grand rôle aux coordinateurs </w:t>
      </w:r>
      <w:r w:rsidRPr="009A229F">
        <w:rPr>
          <w:rFonts w:ascii="Times New Roman" w:hAnsi="Times New Roman"/>
        </w:rPr>
        <w:lastRenderedPageBreak/>
        <w:t>RTE</w:t>
      </w:r>
      <w:r w:rsidR="009A229F">
        <w:rPr>
          <w:rFonts w:ascii="Times New Roman" w:hAnsi="Times New Roman"/>
        </w:rPr>
        <w:noBreakHyphen/>
      </w:r>
      <w:r w:rsidRPr="009A229F">
        <w:rPr>
          <w:rFonts w:ascii="Times New Roman" w:hAnsi="Times New Roman"/>
        </w:rPr>
        <w:t>T et en alignant les plans d’investissement nationaux sur les objectifs du RTE-T. La Commission peut par exemple exiger des États membres, au moyen d’un acte d’exécution, qu’ils créent une entité unique pour la construction et la gestion de projets d’infrastructure transfrontaliers d’intérêt commun. Le coordinateur européen compétent a le statut d’observateur au sein du conseil d’administration ou du conseil de surveillance ou des deux conseils de l’entité unique. En outre, sur la base du règlement RTE-T révisé, le programme de travail des coordonnateurs européens fixant les priorités et les étapes pour la réalisation des corridors RTE-T est traduit par la Commission en un acte d’exécution. L’adoption de tels actes pour chaque corridor permettrait de définir les priorités en matière de planification des infrastructures et des investissements ainsi que de financement. Ces actes permettront un meilleur suivi des progrès réalisés par les États membres en ce qui concerne les grands projets d’infrastructure transfrontaliers.</w:t>
      </w:r>
    </w:p>
    <w:p w14:paraId="3410317F" w14:textId="52CBB49B" w:rsidR="00B6173A" w:rsidRPr="009A229F" w:rsidRDefault="00E82D2A" w:rsidP="00EA4341">
      <w:pPr>
        <w:widowControl w:val="0"/>
        <w:spacing w:after="120"/>
        <w:rPr>
          <w:rFonts w:ascii="Times New Roman" w:hAnsi="Times New Roman"/>
          <w:bCs/>
          <w:iCs/>
          <w:szCs w:val="24"/>
        </w:rPr>
      </w:pPr>
      <w:r w:rsidRPr="009A229F">
        <w:rPr>
          <w:rFonts w:ascii="Times New Roman" w:hAnsi="Times New Roman"/>
        </w:rPr>
        <w:t>En outre, la proposition relative au nouveau règlement RTE-T comprend, pour la première fois, un article spécifique traitant de la nécessité de mieux aligner la planification nationale sur la politique des transports de l’Union afin de veiller à ce que les priorités en matière de RTE-T, et en particulier les priorités du programme de travail des coordonnateurs européens, soient dûment prises en considération dans les plans nationaux de transport et d’investissement. La proposition comprend également un article spécifique relatif aux retards potentiels dans l’achèvement du réseau RTE-T. Dans un premier temps, la Commission sera habilitée à demander à l’État membre concerné ou aux États membres concernés les raisons du retard. En fonction de la réponse reçue, elle pourra consulter les États membres concernés afin de résoudre le problème qui a causé le retard, en associant également le coordonnateur européen concerné. La Commission peut même adopter une décision adressée à l’État membre concerné ou aux États membres concernés demandant la suppression du retard (sauf s’il existe une justification objective). Dans le cas où le tronçon concerné par le retard a trait à un projet soutenu par des fonds de l’Union en gestion directe, il est procédé à une révision à la baisse du montant de la subvention et/ou à une modification ou à une résiliation de la convention de subvention conformément aux règles applicables.</w:t>
      </w:r>
    </w:p>
    <w:p w14:paraId="694FEA25" w14:textId="59F608B1" w:rsidR="00357AF2" w:rsidRPr="009A229F" w:rsidRDefault="00F535A6" w:rsidP="00EA4341">
      <w:pPr>
        <w:widowControl w:val="0"/>
        <w:spacing w:after="120"/>
        <w:rPr>
          <w:rFonts w:ascii="Times New Roman" w:hAnsi="Times New Roman"/>
          <w:bCs/>
          <w:iCs/>
          <w:szCs w:val="24"/>
        </w:rPr>
      </w:pPr>
      <w:r w:rsidRPr="009A229F">
        <w:rPr>
          <w:rFonts w:ascii="Times New Roman" w:hAnsi="Times New Roman"/>
        </w:rPr>
        <w:t>En ce qui concerne la recommandation du Parlement relative à la mise en place d'une procédure accélérée pour les projets d’infrastructure le long du réseau RTE-T, la Commission rappelle que, pour remédier aux retards dans l’achèvement des projets dus à la complexité et à la diversité des procédures de passation de marchés publics et d'octroi d'autorisations, la directive (UE) 2021/1187 (la directive relative à la rationalisation) a été adoptée le 7 juillet 2021. La directive doit garantir une meilleur</w:t>
      </w:r>
      <w:r w:rsidR="0008712F">
        <w:rPr>
          <w:rFonts w:ascii="Times New Roman" w:hAnsi="Times New Roman"/>
        </w:rPr>
        <w:t>e</w:t>
      </w:r>
      <w:r w:rsidRPr="009A229F">
        <w:rPr>
          <w:rFonts w:ascii="Times New Roman" w:hAnsi="Times New Roman"/>
        </w:rPr>
        <w:t xml:space="preserve"> coordination de la mise en œuvre des projets du réseau central RTE-T grâce à la rationalisation des mesures visant à faire progresser la réalisation du réseau transeuropéen de transport et à la clarification des procédures pour les promoteurs de projets, en particulier pour ce qui est de l’octroi d’autorisations et des marchés publics. En ce qui concerne les projets transfrontaliers, les États membres doivent coopérer en coordonnant les calendriers et en convenant d’un calendrier commun pour les procédures d’octroi d’autorisations, avec l’aide et sous la supervision des coordonnateurs européens. Le délai de transposition a expiré le 10 août 2023.</w:t>
      </w:r>
    </w:p>
    <w:p w14:paraId="5B4C9FD1" w14:textId="34821D8C" w:rsidR="00920EAD" w:rsidRPr="009A229F" w:rsidRDefault="007906EF" w:rsidP="00EA4341">
      <w:pPr>
        <w:widowControl w:val="0"/>
        <w:spacing w:after="120"/>
        <w:rPr>
          <w:rFonts w:ascii="Times New Roman" w:hAnsi="Times New Roman"/>
          <w:bCs/>
          <w:iCs/>
          <w:szCs w:val="24"/>
        </w:rPr>
      </w:pPr>
      <w:r w:rsidRPr="009A229F">
        <w:rPr>
          <w:rFonts w:ascii="Times New Roman" w:hAnsi="Times New Roman"/>
        </w:rPr>
        <w:t xml:space="preserve">En ce qui concerne l’appel du Parlement à renforcer la connectivité avec les pays voisins, la Commission a modifié sa proposition de révision du RTE-T en juillet 2022 en étendant quatre corridors de transport européens à l’Ukraine et à la République de Moldavie. Grâce à l’extension de ces corridors aux territoires de l’Ukraine et de la Moldavie, la proposition révisée contribuera à l’amélioration de la connectivité des transports entre ces deux pays et l’UE, en facilitant les échanges économiques et en améliorant les connexions en matière de transport de personnes et de marchandises. L'écartement différent des voies ferrées ukrainiennes par rapport à celui des voies utilisées dans la plupart des pays de l’UE, qui constitue un obstacle </w:t>
      </w:r>
      <w:r w:rsidRPr="009A229F">
        <w:rPr>
          <w:rFonts w:ascii="Times New Roman" w:hAnsi="Times New Roman"/>
        </w:rPr>
        <w:lastRenderedPageBreak/>
        <w:t>considérable à l’interopérabilité, est également examiné dans la proposition. La proposition comprend des mesures visant à construire de nouvelles lignes ferroviaires et à adapter les lignes ferroviaires existantes à l’écartement des voies standard européen. Cela vaut également pour les écartements de voie non normalisés au sein de l’UE; les difficultés rencontrées à la frontière ukrainienne ont mis en évidence la vulnérabilité du réseau ferroviaire à l’intérieur du territoire de l’UE qui est imputable à ce manque d’interopérabilité. Il s’agit d’une mesure essentielle de la révision du RTE-T, car elle contribuera à unifier le système ferroviaire de l’UE.</w:t>
      </w:r>
    </w:p>
    <w:p w14:paraId="75165ADB" w14:textId="7EB44891" w:rsidR="00357AF2" w:rsidRPr="009A229F" w:rsidRDefault="00F535A6" w:rsidP="00EA4341">
      <w:pPr>
        <w:widowControl w:val="0"/>
        <w:spacing w:after="120"/>
        <w:rPr>
          <w:rFonts w:ascii="Times New Roman" w:hAnsi="Times New Roman"/>
          <w:bCs/>
          <w:iCs/>
          <w:szCs w:val="24"/>
        </w:rPr>
      </w:pPr>
      <w:r w:rsidRPr="009A229F">
        <w:rPr>
          <w:rFonts w:ascii="Times New Roman" w:hAnsi="Times New Roman"/>
        </w:rPr>
        <w:t>En ce qui concerne les évaluations ex post et les indicateurs objectifs connexes, la Commission souligne que les grands projets d’infrastructure transfrontaliers déployés sur le réseau RTE-T sont toujours en cours d'élaboration et qu’il est encore temps de planifier ces évaluations. La Commission est prête à procéder à de telles évaluations une fois que les projets seront finalisés.</w:t>
      </w:r>
    </w:p>
    <w:p w14:paraId="0D43AAEC" w14:textId="3D86E652" w:rsidR="0069218F" w:rsidRPr="009A229F" w:rsidRDefault="0069218F" w:rsidP="00EA4341">
      <w:pPr>
        <w:widowControl w:val="0"/>
        <w:spacing w:after="120"/>
        <w:rPr>
          <w:rFonts w:ascii="Times New Roman" w:hAnsi="Times New Roman"/>
          <w:bCs/>
          <w:szCs w:val="24"/>
        </w:rPr>
      </w:pPr>
      <w:r w:rsidRPr="009A229F">
        <w:rPr>
          <w:rFonts w:ascii="Times New Roman" w:hAnsi="Times New Roman"/>
        </w:rPr>
        <w:t>En ce qui concerne les retards dans l’adoption des accords de partenariat (AP) et des programmes relevant de la politique de cohésion, il a été procédé à l’adoption de tous les AP ainsi que de 379 nouveaux programmes au titre de la politique de cohésion. Les programmes sont désormais opérationnels, avec une éligibilité rétroactive des coûts à partir du 1</w:t>
      </w:r>
      <w:r w:rsidRPr="009A229F">
        <w:rPr>
          <w:rFonts w:ascii="Times New Roman" w:hAnsi="Times New Roman"/>
          <w:vertAlign w:val="superscript"/>
        </w:rPr>
        <w:t>er</w:t>
      </w:r>
      <w:r w:rsidRPr="009A229F">
        <w:rPr>
          <w:rFonts w:ascii="Times New Roman" w:hAnsi="Times New Roman"/>
        </w:rPr>
        <w:t xml:space="preserve"> janvier 2021, mettant en œuvre des projets de transport et soutenant la réalisation de systèmes de transport efficaces à tous les niveaux territoriaux, y compris les corridors transeuropéens. Les investissements en faveur du RTE-T relevant de l’OS 3 «Une Europe mieux connectée» pour la période de programmation 2021-2027 s’élèvent à 40 milliards d’EUR au total (dont 25,3 milliards d’EUR au titre du Fonds de cohésion et du FEDER) et viennent renforcer les investissements en faveur de la transition numérique et écologique du secteur des transports tout en contribuant à la poursuite de l’amélioration de la connectivité et de la sécurité du trafic. L’incidence des grands projets d’infrastructure exécutés au titre de la politique de cohésion fait l’objet d’un suivi dans le cadre de la mise en œuvre de programmes contenant des valeurs agrégées pour les indicateurs de réalisation et de résultat.</w:t>
      </w:r>
    </w:p>
    <w:p w14:paraId="13BDFF48" w14:textId="502E5E26" w:rsidR="009009D9" w:rsidRPr="009A229F" w:rsidRDefault="00F1494B" w:rsidP="00EA4341">
      <w:pPr>
        <w:widowControl w:val="0"/>
        <w:spacing w:after="120"/>
        <w:rPr>
          <w:rFonts w:ascii="Times New Roman" w:hAnsi="Times New Roman"/>
          <w:szCs w:val="24"/>
        </w:rPr>
      </w:pPr>
      <w:r w:rsidRPr="009A229F">
        <w:rPr>
          <w:rFonts w:ascii="Times New Roman" w:hAnsi="Times New Roman"/>
        </w:rPr>
        <w:t>Dans le cadre de l’AFIF, la Commission finance le déploiement d’une infrastructure pour carburants alternatifs sur l’ensemble du réseau RTE-T. Le budget total de cet instrument pour la période 2021-2023 s’élève à 1,5 milliard d’EUR. Pour garantir la répartition des investissements dans l’ensemble de l’Union, des taux de cofinancement plus élevés s’appliquent aux projets déployés dans les pays relevant du Fonds de cohésion dans lesquels le déploiement des infrastructures a été plus lent. En outre, la Commission suit de près le déploiement de stations de recharge sur l’ensemble du réseau RTE-T en veillant à ce qu’un financement ne soit accordé que dans les zones où sont déployés des points de recharge suffisamment rapides d’une puissance de sortie minimale de 150 kW pour les véhicules utilitaires légers et d’une puissance minimale de 350 kW pour les véhicules utilitaires lourds, garantissant ainsi le déploiement d’infrastructures dans toute l’Union.</w:t>
      </w:r>
    </w:p>
    <w:p w14:paraId="3076AB14" w14:textId="7E6734F8" w:rsidR="0085333D" w:rsidRPr="009A229F" w:rsidRDefault="0085333D" w:rsidP="0085333D">
      <w:pPr>
        <w:widowControl w:val="0"/>
        <w:spacing w:after="120"/>
        <w:rPr>
          <w:rFonts w:ascii="Times New Roman" w:hAnsi="Times New Roman"/>
          <w:szCs w:val="24"/>
        </w:rPr>
      </w:pPr>
      <w:r w:rsidRPr="009A229F">
        <w:rPr>
          <w:rFonts w:ascii="Times New Roman" w:hAnsi="Times New Roman"/>
        </w:rPr>
        <w:t>À la suite de l’approbation du Parlement européen et de l’adoption formelle par le Conseil en juillet 2023, le règlement AFIR a été publié au Journal officiel de l’UE le 22 septembre. Il entrera en vigueur le vingtième jour suivant sa publication, à savoir le 12 octobre. Les nouvelles règles s’appliqueront six mois après la date d’entrée en vigueur du règlement, soit le 12 avril 2024. Le règlement établit des exigences strictes en matière de rapports et de suivi garantissant la réalisation des objectifs de déploiement contraignants par les États membres.</w:t>
      </w:r>
    </w:p>
    <w:p w14:paraId="79F79561" w14:textId="343D9464" w:rsidR="00C00DAB" w:rsidRPr="009A229F" w:rsidRDefault="00C00DAB" w:rsidP="00EA4341">
      <w:pPr>
        <w:widowControl w:val="0"/>
        <w:spacing w:after="120"/>
        <w:rPr>
          <w:rFonts w:ascii="Times New Roman" w:hAnsi="Times New Roman"/>
          <w:bCs/>
          <w:iCs/>
          <w:szCs w:val="24"/>
        </w:rPr>
      </w:pPr>
      <w:r w:rsidRPr="009A229F">
        <w:rPr>
          <w:rFonts w:ascii="Times New Roman" w:hAnsi="Times New Roman"/>
        </w:rPr>
        <w:t xml:space="preserve">En conclusion, un cadre permettant la mise en œuvre efficace des projets d’infrastructures de transport est essentiel pour permettre à l’UE d’atteindre ses objectifs ambitieux consistant à rendre les transports durables intelligents et résilients. La Commission déploie d’ores et déjà d’importants efforts en vue d’accroître l’efficience et l’efficacité de la planification, de la coordination et du suivi de la mise en œuvre des projets d’infrastructures de transport grâce aux dispositions pertinentes de la proposition de révision du règlement RTE-T. Elle </w:t>
      </w:r>
      <w:r w:rsidRPr="009A229F">
        <w:rPr>
          <w:rFonts w:ascii="Times New Roman" w:hAnsi="Times New Roman"/>
        </w:rPr>
        <w:lastRenderedPageBreak/>
        <w:t>s’emploiera également à faire en sorte que l’UE dispose d’un effet de levier financier plus important en ce qui concerne la mise en œuvre des projets. La coordination des efforts déployés par le Parlement européen, la Commission et les États membres permet d’obtenir de très bons résultats en termes d’accélération du processus de mise en œuvre et d’amélioration de l’efficacité, mais aussi de la rentabilité, de celui-ci.</w:t>
      </w:r>
    </w:p>
    <w:sectPr w:rsidR="00C00DAB" w:rsidRPr="009A22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60A8" w14:textId="77777777" w:rsidR="00CC0195" w:rsidRDefault="00CC0195" w:rsidP="001F071E">
      <w:pPr>
        <w:spacing w:after="0"/>
      </w:pPr>
      <w:r>
        <w:separator/>
      </w:r>
    </w:p>
  </w:endnote>
  <w:endnote w:type="continuationSeparator" w:id="0">
    <w:p w14:paraId="3C8AECE2" w14:textId="77777777" w:rsidR="00CC0195" w:rsidRDefault="00CC0195" w:rsidP="001F0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3B42" w14:textId="77777777" w:rsidR="00B434C6" w:rsidRDefault="00B4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121462"/>
      <w:docPartObj>
        <w:docPartGallery w:val="Page Numbers (Bottom of Page)"/>
        <w:docPartUnique/>
      </w:docPartObj>
    </w:sdtPr>
    <w:sdtEndPr>
      <w:rPr>
        <w:noProof/>
      </w:rPr>
    </w:sdtEndPr>
    <w:sdtContent>
      <w:p w14:paraId="17D771BE" w14:textId="6F310A11" w:rsidR="008347FC" w:rsidRDefault="008347FC">
        <w:pPr>
          <w:pStyle w:val="Footer"/>
          <w:jc w:val="center"/>
        </w:pPr>
        <w:r>
          <w:fldChar w:fldCharType="begin"/>
        </w:r>
        <w:r>
          <w:instrText xml:space="preserve"> PAGE   \* MERGEFORMAT </w:instrText>
        </w:r>
        <w:r>
          <w:fldChar w:fldCharType="separate"/>
        </w:r>
        <w:r>
          <w:t>5</w:t>
        </w:r>
        <w:r>
          <w:fldChar w:fldCharType="end"/>
        </w:r>
      </w:p>
    </w:sdtContent>
  </w:sdt>
  <w:p w14:paraId="015C8DE8" w14:textId="77777777" w:rsidR="008347FC" w:rsidRDefault="00834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7251" w14:textId="77777777" w:rsidR="00B434C6" w:rsidRDefault="00B4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0CB5" w14:textId="77777777" w:rsidR="00CC0195" w:rsidRDefault="00CC0195" w:rsidP="001F071E">
      <w:pPr>
        <w:spacing w:after="0"/>
      </w:pPr>
      <w:r>
        <w:separator/>
      </w:r>
    </w:p>
  </w:footnote>
  <w:footnote w:type="continuationSeparator" w:id="0">
    <w:p w14:paraId="5D3BBB44" w14:textId="77777777" w:rsidR="00CC0195" w:rsidRDefault="00CC0195" w:rsidP="001F07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0806" w14:textId="77777777" w:rsidR="00B434C6" w:rsidRDefault="00B4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66CA" w14:textId="77777777" w:rsidR="00B434C6" w:rsidRDefault="00B43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AB8" w14:textId="77777777" w:rsidR="00B434C6" w:rsidRDefault="00B4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3C8"/>
    <w:multiLevelType w:val="hybridMultilevel"/>
    <w:tmpl w:val="29423588"/>
    <w:lvl w:ilvl="0" w:tplc="F7680BB2">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63464BE6"/>
    <w:multiLevelType w:val="hybridMultilevel"/>
    <w:tmpl w:val="B28C2AE2"/>
    <w:lvl w:ilvl="0" w:tplc="505A15A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64D32EFB"/>
    <w:multiLevelType w:val="hybridMultilevel"/>
    <w:tmpl w:val="2014E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4555205">
    <w:abstractNumId w:val="1"/>
  </w:num>
  <w:num w:numId="2" w16cid:durableId="2062047796">
    <w:abstractNumId w:val="0"/>
  </w:num>
  <w:num w:numId="3" w16cid:durableId="162360297">
    <w:abstractNumId w:val="2"/>
  </w:num>
  <w:num w:numId="4" w16cid:durableId="904797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F071E"/>
    <w:rsid w:val="000070BC"/>
    <w:rsid w:val="000128AB"/>
    <w:rsid w:val="0001548B"/>
    <w:rsid w:val="00032525"/>
    <w:rsid w:val="00046733"/>
    <w:rsid w:val="000626DA"/>
    <w:rsid w:val="00073048"/>
    <w:rsid w:val="00081226"/>
    <w:rsid w:val="0008712F"/>
    <w:rsid w:val="000B6B7F"/>
    <w:rsid w:val="000C0395"/>
    <w:rsid w:val="000D418C"/>
    <w:rsid w:val="000F674B"/>
    <w:rsid w:val="001026C3"/>
    <w:rsid w:val="00125C42"/>
    <w:rsid w:val="00131FE2"/>
    <w:rsid w:val="00135030"/>
    <w:rsid w:val="00155B03"/>
    <w:rsid w:val="001C72C0"/>
    <w:rsid w:val="001C7B23"/>
    <w:rsid w:val="001F0447"/>
    <w:rsid w:val="001F071E"/>
    <w:rsid w:val="00213F25"/>
    <w:rsid w:val="00260E81"/>
    <w:rsid w:val="002B4D9D"/>
    <w:rsid w:val="002B7B82"/>
    <w:rsid w:val="002C1BC9"/>
    <w:rsid w:val="002C2A7F"/>
    <w:rsid w:val="00300DA0"/>
    <w:rsid w:val="00353EE6"/>
    <w:rsid w:val="00355427"/>
    <w:rsid w:val="0035653B"/>
    <w:rsid w:val="00357AF2"/>
    <w:rsid w:val="00357C8A"/>
    <w:rsid w:val="003805B9"/>
    <w:rsid w:val="00383954"/>
    <w:rsid w:val="003938C2"/>
    <w:rsid w:val="003B5E34"/>
    <w:rsid w:val="003F7D01"/>
    <w:rsid w:val="00420195"/>
    <w:rsid w:val="00423798"/>
    <w:rsid w:val="00436DB2"/>
    <w:rsid w:val="00446CAD"/>
    <w:rsid w:val="0045179B"/>
    <w:rsid w:val="00456DCC"/>
    <w:rsid w:val="00465734"/>
    <w:rsid w:val="00482EF5"/>
    <w:rsid w:val="00483427"/>
    <w:rsid w:val="00492203"/>
    <w:rsid w:val="004B07B2"/>
    <w:rsid w:val="004B7D46"/>
    <w:rsid w:val="004C3E11"/>
    <w:rsid w:val="004D1318"/>
    <w:rsid w:val="004F35CD"/>
    <w:rsid w:val="00501A91"/>
    <w:rsid w:val="00503908"/>
    <w:rsid w:val="0053731E"/>
    <w:rsid w:val="00583737"/>
    <w:rsid w:val="0059059D"/>
    <w:rsid w:val="005A3D69"/>
    <w:rsid w:val="005A5F67"/>
    <w:rsid w:val="005B2172"/>
    <w:rsid w:val="005B47CB"/>
    <w:rsid w:val="005F4F0F"/>
    <w:rsid w:val="00617150"/>
    <w:rsid w:val="0062592E"/>
    <w:rsid w:val="0063608C"/>
    <w:rsid w:val="00637BA0"/>
    <w:rsid w:val="006430B5"/>
    <w:rsid w:val="0065028F"/>
    <w:rsid w:val="00650C4A"/>
    <w:rsid w:val="006711C4"/>
    <w:rsid w:val="00675415"/>
    <w:rsid w:val="006819F1"/>
    <w:rsid w:val="00683318"/>
    <w:rsid w:val="0069218F"/>
    <w:rsid w:val="006A32D8"/>
    <w:rsid w:val="006F1985"/>
    <w:rsid w:val="007059CC"/>
    <w:rsid w:val="0071347A"/>
    <w:rsid w:val="00714D8B"/>
    <w:rsid w:val="0073510B"/>
    <w:rsid w:val="00736B9D"/>
    <w:rsid w:val="00773635"/>
    <w:rsid w:val="0077385B"/>
    <w:rsid w:val="007906EF"/>
    <w:rsid w:val="007A1CE1"/>
    <w:rsid w:val="007A3920"/>
    <w:rsid w:val="007B01EB"/>
    <w:rsid w:val="007B34F8"/>
    <w:rsid w:val="007D0691"/>
    <w:rsid w:val="007F38CC"/>
    <w:rsid w:val="0083319E"/>
    <w:rsid w:val="008347FC"/>
    <w:rsid w:val="0085333D"/>
    <w:rsid w:val="008671DE"/>
    <w:rsid w:val="008B7B84"/>
    <w:rsid w:val="008D2031"/>
    <w:rsid w:val="008D56FD"/>
    <w:rsid w:val="008E455E"/>
    <w:rsid w:val="008F040D"/>
    <w:rsid w:val="008F0B62"/>
    <w:rsid w:val="009009D9"/>
    <w:rsid w:val="00920EAD"/>
    <w:rsid w:val="00921409"/>
    <w:rsid w:val="00923419"/>
    <w:rsid w:val="009365E5"/>
    <w:rsid w:val="0094130A"/>
    <w:rsid w:val="0096306F"/>
    <w:rsid w:val="00965CD1"/>
    <w:rsid w:val="0097059B"/>
    <w:rsid w:val="00995588"/>
    <w:rsid w:val="009A229F"/>
    <w:rsid w:val="009A378B"/>
    <w:rsid w:val="009B4218"/>
    <w:rsid w:val="009C2612"/>
    <w:rsid w:val="009E5CF1"/>
    <w:rsid w:val="00A01B5C"/>
    <w:rsid w:val="00A04E18"/>
    <w:rsid w:val="00A20237"/>
    <w:rsid w:val="00A33CFE"/>
    <w:rsid w:val="00A37E01"/>
    <w:rsid w:val="00A5091B"/>
    <w:rsid w:val="00A70D8D"/>
    <w:rsid w:val="00A96206"/>
    <w:rsid w:val="00AB5E21"/>
    <w:rsid w:val="00AC324E"/>
    <w:rsid w:val="00AD0817"/>
    <w:rsid w:val="00AE2F7F"/>
    <w:rsid w:val="00AF4C33"/>
    <w:rsid w:val="00B12D95"/>
    <w:rsid w:val="00B434C6"/>
    <w:rsid w:val="00B6078F"/>
    <w:rsid w:val="00B6173A"/>
    <w:rsid w:val="00B6302C"/>
    <w:rsid w:val="00B85B04"/>
    <w:rsid w:val="00BA0C0A"/>
    <w:rsid w:val="00BF4945"/>
    <w:rsid w:val="00C005C8"/>
    <w:rsid w:val="00C00DAB"/>
    <w:rsid w:val="00C018D9"/>
    <w:rsid w:val="00C07582"/>
    <w:rsid w:val="00C1193B"/>
    <w:rsid w:val="00C228FB"/>
    <w:rsid w:val="00C358BD"/>
    <w:rsid w:val="00C76411"/>
    <w:rsid w:val="00C8181E"/>
    <w:rsid w:val="00C947B1"/>
    <w:rsid w:val="00C95DA4"/>
    <w:rsid w:val="00C95E7D"/>
    <w:rsid w:val="00C969BF"/>
    <w:rsid w:val="00CA753E"/>
    <w:rsid w:val="00CC0195"/>
    <w:rsid w:val="00CC1746"/>
    <w:rsid w:val="00CC6184"/>
    <w:rsid w:val="00CE20F8"/>
    <w:rsid w:val="00CE36CB"/>
    <w:rsid w:val="00CF46E4"/>
    <w:rsid w:val="00D228A1"/>
    <w:rsid w:val="00D421DB"/>
    <w:rsid w:val="00D46FF4"/>
    <w:rsid w:val="00D81E85"/>
    <w:rsid w:val="00D851CD"/>
    <w:rsid w:val="00D95CCA"/>
    <w:rsid w:val="00DC7EA8"/>
    <w:rsid w:val="00DF6C4A"/>
    <w:rsid w:val="00E004E4"/>
    <w:rsid w:val="00E16E35"/>
    <w:rsid w:val="00E409D3"/>
    <w:rsid w:val="00E56BA5"/>
    <w:rsid w:val="00E62605"/>
    <w:rsid w:val="00E65AC5"/>
    <w:rsid w:val="00E668DE"/>
    <w:rsid w:val="00E82D2A"/>
    <w:rsid w:val="00E958E8"/>
    <w:rsid w:val="00EA4341"/>
    <w:rsid w:val="00EB3D49"/>
    <w:rsid w:val="00EC175A"/>
    <w:rsid w:val="00EF5ADD"/>
    <w:rsid w:val="00F02C3F"/>
    <w:rsid w:val="00F07FA0"/>
    <w:rsid w:val="00F1494B"/>
    <w:rsid w:val="00F222DC"/>
    <w:rsid w:val="00F2721D"/>
    <w:rsid w:val="00F52C27"/>
    <w:rsid w:val="00F535A6"/>
    <w:rsid w:val="00F57BB3"/>
    <w:rsid w:val="00F61C4D"/>
    <w:rsid w:val="00F645A0"/>
    <w:rsid w:val="00F82F20"/>
    <w:rsid w:val="00F8776D"/>
    <w:rsid w:val="00FB121A"/>
    <w:rsid w:val="00FC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764C"/>
  <w15:chartTrackingRefBased/>
  <w15:docId w15:val="{C553E913-6C7C-4390-9288-1E9F9504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71E"/>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ußnote,Geneva 9"/>
    <w:basedOn w:val="Normal"/>
    <w:link w:val="FootnoteTextChar2"/>
    <w:uiPriority w:val="99"/>
    <w:qFormat/>
    <w:rsid w:val="001F071E"/>
    <w:pPr>
      <w:ind w:left="357" w:hanging="357"/>
    </w:pPr>
    <w:rPr>
      <w:sz w:val="20"/>
    </w:rPr>
  </w:style>
  <w:style w:type="character" w:customStyle="1" w:styleId="FootnoteTextChar">
    <w:name w:val="Footnote Text Char"/>
    <w:basedOn w:val="DefaultParagraphFont"/>
    <w:uiPriority w:val="99"/>
    <w:semiHidden/>
    <w:rsid w:val="001F071E"/>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071E"/>
    <w:rPr>
      <w:vertAlign w:val="superscript"/>
    </w:rPr>
  </w:style>
  <w:style w:type="character" w:styleId="Hyperlink">
    <w:name w:val="Hyperlink"/>
    <w:aliases w:val="Char1"/>
    <w:uiPriority w:val="99"/>
    <w:rsid w:val="001F071E"/>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1F071E"/>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071E"/>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483427"/>
    <w:pPr>
      <w:ind w:left="720"/>
      <w:contextualSpacing/>
    </w:pPr>
  </w:style>
  <w:style w:type="character" w:customStyle="1" w:styleId="UnresolvedMention1">
    <w:name w:val="Unresolved Mention1"/>
    <w:basedOn w:val="DefaultParagraphFont"/>
    <w:uiPriority w:val="99"/>
    <w:semiHidden/>
    <w:unhideWhenUsed/>
    <w:rsid w:val="00483427"/>
    <w:rPr>
      <w:color w:val="605E5C"/>
      <w:shd w:val="clear" w:color="auto" w:fill="E1DFDD"/>
    </w:rPr>
  </w:style>
  <w:style w:type="paragraph" w:customStyle="1" w:styleId="normalhanging12a">
    <w:name w:val="normalhanging12a"/>
    <w:basedOn w:val="Normal"/>
    <w:rsid w:val="00F57BB3"/>
    <w:pPr>
      <w:ind w:left="567" w:hanging="567"/>
      <w:jc w:val="left"/>
    </w:pPr>
    <w:rPr>
      <w:rFonts w:ascii="Times New Roman" w:eastAsiaTheme="minorHAnsi" w:hAnsi="Times New Roman"/>
      <w:szCs w:val="24"/>
      <w:lang w:eastAsia="en-IE"/>
    </w:rPr>
  </w:style>
  <w:style w:type="paragraph" w:customStyle="1" w:styleId="NormalHanging12a0">
    <w:name w:val="NormalHanging12a"/>
    <w:basedOn w:val="Normal"/>
    <w:link w:val="NormalHanging12aChar"/>
    <w:rsid w:val="0077385B"/>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0"/>
    <w:locked/>
    <w:rsid w:val="0077385B"/>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995588"/>
    <w:pPr>
      <w:spacing w:before="100" w:beforeAutospacing="1" w:after="100" w:afterAutospacing="1"/>
      <w:jc w:val="left"/>
    </w:pPr>
    <w:rPr>
      <w:rFonts w:ascii="Times New Roman" w:hAnsi="Times New Roman"/>
      <w:szCs w:val="24"/>
    </w:rPr>
  </w:style>
  <w:style w:type="table" w:styleId="TableGrid">
    <w:name w:val="Table Grid"/>
    <w:basedOn w:val="TableNormal"/>
    <w:uiPriority w:val="39"/>
    <w:rsid w:val="00C8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ingtextChar">
    <w:name w:val="Briefing text Char"/>
    <w:basedOn w:val="DefaultParagraphFont"/>
    <w:link w:val="Briefingtext"/>
    <w:uiPriority w:val="99"/>
    <w:locked/>
    <w:rsid w:val="008B7B84"/>
    <w:rPr>
      <w:rFonts w:ascii="Arial" w:hAnsi="Arial" w:cs="Arial"/>
    </w:rPr>
  </w:style>
  <w:style w:type="paragraph" w:customStyle="1" w:styleId="Briefingtext">
    <w:name w:val="Briefing text"/>
    <w:basedOn w:val="Normal"/>
    <w:link w:val="BriefingtextChar"/>
    <w:uiPriority w:val="99"/>
    <w:rsid w:val="008B7B84"/>
    <w:pPr>
      <w:spacing w:after="120"/>
    </w:pPr>
    <w:rPr>
      <w:rFonts w:ascii="Arial" w:eastAsiaTheme="minorHAnsi" w:hAnsi="Arial" w:cs="Arial"/>
      <w:sz w:val="22"/>
      <w:szCs w:val="22"/>
      <w:lang w:eastAsia="en-US"/>
    </w:rPr>
  </w:style>
  <w:style w:type="character" w:styleId="CommentReference">
    <w:name w:val="annotation reference"/>
    <w:basedOn w:val="DefaultParagraphFont"/>
    <w:uiPriority w:val="99"/>
    <w:semiHidden/>
    <w:unhideWhenUsed/>
    <w:rsid w:val="008671DE"/>
    <w:rPr>
      <w:sz w:val="16"/>
      <w:szCs w:val="16"/>
    </w:rPr>
  </w:style>
  <w:style w:type="paragraph" w:styleId="CommentText">
    <w:name w:val="annotation text"/>
    <w:basedOn w:val="Normal"/>
    <w:link w:val="CommentTextChar"/>
    <w:uiPriority w:val="99"/>
    <w:unhideWhenUsed/>
    <w:rsid w:val="008671DE"/>
    <w:rPr>
      <w:sz w:val="20"/>
    </w:rPr>
  </w:style>
  <w:style w:type="character" w:customStyle="1" w:styleId="CommentTextChar">
    <w:name w:val="Comment Text Char"/>
    <w:basedOn w:val="DefaultParagraphFont"/>
    <w:link w:val="CommentText"/>
    <w:uiPriority w:val="99"/>
    <w:rsid w:val="008671DE"/>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71DE"/>
    <w:rPr>
      <w:b/>
      <w:bCs/>
    </w:rPr>
  </w:style>
  <w:style w:type="character" w:customStyle="1" w:styleId="CommentSubjectChar">
    <w:name w:val="Comment Subject Char"/>
    <w:basedOn w:val="CommentTextChar"/>
    <w:link w:val="CommentSubject"/>
    <w:uiPriority w:val="99"/>
    <w:semiHidden/>
    <w:rsid w:val="008671DE"/>
    <w:rPr>
      <w:rFonts w:ascii="Courier New" w:eastAsia="Times New Roman" w:hAnsi="Courier New" w:cs="Times New Roman"/>
      <w:b/>
      <w:bCs/>
      <w:sz w:val="20"/>
      <w:szCs w:val="20"/>
      <w:lang w:eastAsia="en-GB"/>
    </w:rPr>
  </w:style>
  <w:style w:type="paragraph" w:styleId="Revision">
    <w:name w:val="Revision"/>
    <w:hidden/>
    <w:uiPriority w:val="99"/>
    <w:semiHidden/>
    <w:rsid w:val="008671DE"/>
    <w:pPr>
      <w:spacing w:after="0" w:line="240" w:lineRule="auto"/>
    </w:pPr>
    <w:rPr>
      <w:rFonts w:ascii="Courier New" w:eastAsia="Times New Roman" w:hAnsi="Courier New" w:cs="Times New Roman"/>
      <w:sz w:val="24"/>
      <w:szCs w:val="20"/>
      <w:lang w:eastAsia="en-GB"/>
    </w:rPr>
  </w:style>
  <w:style w:type="paragraph" w:styleId="BalloonText">
    <w:name w:val="Balloon Text"/>
    <w:basedOn w:val="Normal"/>
    <w:link w:val="BalloonTextChar"/>
    <w:uiPriority w:val="99"/>
    <w:semiHidden/>
    <w:unhideWhenUsed/>
    <w:rsid w:val="00CC174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74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8347FC"/>
    <w:pPr>
      <w:tabs>
        <w:tab w:val="center" w:pos="4513"/>
        <w:tab w:val="right" w:pos="9026"/>
      </w:tabs>
      <w:spacing w:after="0"/>
    </w:pPr>
  </w:style>
  <w:style w:type="character" w:customStyle="1" w:styleId="HeaderChar">
    <w:name w:val="Header Char"/>
    <w:basedOn w:val="DefaultParagraphFont"/>
    <w:link w:val="Header"/>
    <w:uiPriority w:val="99"/>
    <w:rsid w:val="008347FC"/>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8347FC"/>
    <w:pPr>
      <w:tabs>
        <w:tab w:val="center" w:pos="4513"/>
        <w:tab w:val="right" w:pos="9026"/>
      </w:tabs>
      <w:spacing w:after="0"/>
    </w:pPr>
  </w:style>
  <w:style w:type="character" w:customStyle="1" w:styleId="FooterChar">
    <w:name w:val="Footer Char"/>
    <w:basedOn w:val="DefaultParagraphFont"/>
    <w:link w:val="Footer"/>
    <w:uiPriority w:val="99"/>
    <w:rsid w:val="008347FC"/>
    <w:rPr>
      <w:rFonts w:ascii="Courier New" w:eastAsia="Times New Roman" w:hAnsi="Courier New" w:cs="Times New Roman"/>
      <w:sz w:val="24"/>
      <w:szCs w:val="20"/>
      <w:lang w:eastAsia="en-GB"/>
    </w:rPr>
  </w:style>
  <w:style w:type="character" w:customStyle="1" w:styleId="cf01">
    <w:name w:val="cf01"/>
    <w:basedOn w:val="DefaultParagraphFont"/>
    <w:rsid w:val="009B4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61624">
      <w:bodyDiv w:val="1"/>
      <w:marLeft w:val="0"/>
      <w:marRight w:val="0"/>
      <w:marTop w:val="0"/>
      <w:marBottom w:val="0"/>
      <w:divBdr>
        <w:top w:val="none" w:sz="0" w:space="0" w:color="auto"/>
        <w:left w:val="none" w:sz="0" w:space="0" w:color="auto"/>
        <w:bottom w:val="none" w:sz="0" w:space="0" w:color="auto"/>
        <w:right w:val="none" w:sz="0" w:space="0" w:color="auto"/>
      </w:divBdr>
    </w:div>
    <w:div w:id="320349087">
      <w:bodyDiv w:val="1"/>
      <w:marLeft w:val="0"/>
      <w:marRight w:val="0"/>
      <w:marTop w:val="0"/>
      <w:marBottom w:val="0"/>
      <w:divBdr>
        <w:top w:val="none" w:sz="0" w:space="0" w:color="auto"/>
        <w:left w:val="none" w:sz="0" w:space="0" w:color="auto"/>
        <w:bottom w:val="none" w:sz="0" w:space="0" w:color="auto"/>
        <w:right w:val="none" w:sz="0" w:space="0" w:color="auto"/>
      </w:divBdr>
    </w:div>
    <w:div w:id="508718649">
      <w:bodyDiv w:val="1"/>
      <w:marLeft w:val="0"/>
      <w:marRight w:val="0"/>
      <w:marTop w:val="0"/>
      <w:marBottom w:val="0"/>
      <w:divBdr>
        <w:top w:val="none" w:sz="0" w:space="0" w:color="auto"/>
        <w:left w:val="none" w:sz="0" w:space="0" w:color="auto"/>
        <w:bottom w:val="none" w:sz="0" w:space="0" w:color="auto"/>
        <w:right w:val="none" w:sz="0" w:space="0" w:color="auto"/>
      </w:divBdr>
    </w:div>
    <w:div w:id="827135562">
      <w:bodyDiv w:val="1"/>
      <w:marLeft w:val="0"/>
      <w:marRight w:val="0"/>
      <w:marTop w:val="0"/>
      <w:marBottom w:val="0"/>
      <w:divBdr>
        <w:top w:val="none" w:sz="0" w:space="0" w:color="auto"/>
        <w:left w:val="none" w:sz="0" w:space="0" w:color="auto"/>
        <w:bottom w:val="none" w:sz="0" w:space="0" w:color="auto"/>
        <w:right w:val="none" w:sz="0" w:space="0" w:color="auto"/>
      </w:divBdr>
    </w:div>
    <w:div w:id="1918635565">
      <w:bodyDiv w:val="1"/>
      <w:marLeft w:val="0"/>
      <w:marRight w:val="0"/>
      <w:marTop w:val="0"/>
      <w:marBottom w:val="0"/>
      <w:divBdr>
        <w:top w:val="none" w:sz="0" w:space="0" w:color="auto"/>
        <w:left w:val="none" w:sz="0" w:space="0" w:color="auto"/>
        <w:bottom w:val="none" w:sz="0" w:space="0" w:color="auto"/>
        <w:right w:val="none" w:sz="0" w:space="0" w:color="auto"/>
      </w:divBdr>
    </w:div>
    <w:div w:id="20122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CF4239AB51A4EB929CA07116AF5D7" ma:contentTypeVersion="5" ma:contentTypeDescription="Create a new document." ma:contentTypeScope="" ma:versionID="c789a9ae5741146e8657d74b877909b1">
  <xsd:schema xmlns:xsd="http://www.w3.org/2001/XMLSchema" xmlns:xs="http://www.w3.org/2001/XMLSchema" xmlns:p="http://schemas.microsoft.com/office/2006/metadata/properties" xmlns:ns3="b7f4df02-7fd3-4055-a763-2359051bb332" targetNamespace="http://schemas.microsoft.com/office/2006/metadata/properties" ma:root="true" ma:fieldsID="693d1a7dd41f9f45a51205317ee7c040" ns3:_="">
    <xsd:import namespace="b7f4df02-7fd3-4055-a763-2359051bb3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df02-7fd3-4055-a763-2359051bb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4B9B8-09B1-4CDA-A788-2891BD022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df02-7fd3-4055-a763-2359051bb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FF757-D30C-487B-8CD7-A60FAF1AEF9B}">
  <ds:schemaRefs>
    <ds:schemaRef ds:uri="http://schemas.openxmlformats.org/officeDocument/2006/bibliography"/>
  </ds:schemaRefs>
</ds:datastoreItem>
</file>

<file path=customXml/itemProps3.xml><?xml version="1.0" encoding="utf-8"?>
<ds:datastoreItem xmlns:ds="http://schemas.openxmlformats.org/officeDocument/2006/customXml" ds:itemID="{209639C0-D191-4163-97A2-F933E1CAFDE5}">
  <ds:schemaRefs>
    <ds:schemaRef ds:uri="http://purl.org/dc/terms/"/>
    <ds:schemaRef ds:uri="http://purl.org/dc/elements/1.1/"/>
    <ds:schemaRef ds:uri="b7f4df02-7fd3-4055-a763-2359051bb332"/>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F22A0EA-0B16-46CB-8F76-22A2AC6AA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3213</Words>
  <Characters>17769</Characters>
  <Application>Microsoft Office Word</Application>
  <DocSecurity>0</DocSecurity>
  <Lines>240</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Phillip (MOVE)</dc:creator>
  <cp:keywords/>
  <dc:description/>
  <cp:lastModifiedBy>DELBAER Gerda (SG)</cp:lastModifiedBy>
  <cp:revision>2</cp:revision>
  <dcterms:created xsi:type="dcterms:W3CDTF">2023-11-21T12:28:00Z</dcterms:created>
  <dcterms:modified xsi:type="dcterms:W3CDTF">2023-11-21T12:28:00Z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2023-05-30T15:52:53Z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2886c901-0409-423b-bb51-3c8d676fb7ee</vt:lpwstr>
  </property>
  <property fmtid="{D5CDD505-2E9C-101B-9397-08002B2CF9AE}" pid="8" name="MSIP_Label_6bd9ddd1-4d20-43f6-abfa-fc3c07406f94_ContentBits">
    <vt:lpwstr>0</vt:lpwstr>
  </property>
  <property fmtid="{D5CDD505-2E9C-101B-9397-08002B2CF9AE}" pid="9" name="_NewReviewCycle">
    <vt:lpwstr/>
  </property>
  <property fmtid="{D5CDD505-2E9C-101B-9397-08002B2CF9AE}" pid="10" name="ContentTypeId">
    <vt:lpwstr>0x010100FA6CF4239AB51A4EB929CA07116AF5D7</vt:lpwstr>
  </property>
</Properties>
</file>