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F37A" w14:textId="2EFBEF9D" w:rsidR="00963420" w:rsidRPr="00C33439" w:rsidRDefault="00963420" w:rsidP="00372A52">
      <w:pPr>
        <w:spacing w:after="600"/>
        <w:jc w:val="center"/>
        <w:rPr>
          <w:rFonts w:ascii="Times New Roman" w:hAnsi="Times New Roman"/>
          <w:b/>
          <w:bCs/>
          <w:szCs w:val="24"/>
        </w:rPr>
      </w:pPr>
      <w:r>
        <w:rPr>
          <w:rFonts w:ascii="Times New Roman" w:hAnsi="Times New Roman"/>
          <w:b/>
        </w:rPr>
        <w:t>Suite donnée à la résolution non législative du Parlement européen sur la création de l’organisme européen chargé des questions d’éthique</w:t>
      </w:r>
    </w:p>
    <w:p w14:paraId="222E65B7" w14:textId="3A70AE23" w:rsidR="00963420" w:rsidRPr="00090F30" w:rsidRDefault="00963420" w:rsidP="0084310E">
      <w:pPr>
        <w:numPr>
          <w:ilvl w:val="0"/>
          <w:numId w:val="34"/>
        </w:numPr>
        <w:ind w:left="567" w:hanging="567"/>
        <w:rPr>
          <w:rFonts w:ascii="Times New Roman" w:hAnsi="Times New Roman"/>
          <w:i/>
          <w:szCs w:val="24"/>
        </w:rPr>
      </w:pPr>
      <w:r>
        <w:rPr>
          <w:rFonts w:ascii="Times New Roman" w:hAnsi="Times New Roman"/>
          <w:b/>
        </w:rPr>
        <w:t>Résolution présentée conformément à l’article 132, paragraphes 2 et 4, du règlement intérieur du Parlement européen</w:t>
      </w:r>
    </w:p>
    <w:p w14:paraId="6900E183" w14:textId="6DC88B2B" w:rsidR="00963420" w:rsidRPr="00B818AF" w:rsidRDefault="00063DCE" w:rsidP="0084310E">
      <w:pPr>
        <w:pStyle w:val="Default"/>
        <w:numPr>
          <w:ilvl w:val="0"/>
          <w:numId w:val="34"/>
        </w:numPr>
        <w:spacing w:after="240"/>
        <w:ind w:left="567" w:hanging="567"/>
        <w:jc w:val="both"/>
        <w:rPr>
          <w:color w:val="auto"/>
        </w:rPr>
      </w:pPr>
      <w:r>
        <w:rPr>
          <w:b/>
          <w:color w:val="auto"/>
        </w:rPr>
        <w:t xml:space="preserve">Numéro de référence: </w:t>
      </w:r>
      <w:r>
        <w:t>2023/2741 (RSP) / RC-B9-0312/2023 / P9 TA(2023)0281</w:t>
      </w:r>
    </w:p>
    <w:p w14:paraId="61D85C18" w14:textId="45F3A86B" w:rsidR="001F0B89" w:rsidRDefault="00963420" w:rsidP="0084310E">
      <w:pPr>
        <w:numPr>
          <w:ilvl w:val="0"/>
          <w:numId w:val="34"/>
        </w:numPr>
        <w:ind w:left="567" w:hanging="567"/>
        <w:rPr>
          <w:rFonts w:ascii="Times New Roman" w:hAnsi="Times New Roman"/>
          <w:iCs/>
          <w:szCs w:val="24"/>
        </w:rPr>
      </w:pPr>
      <w:r>
        <w:rPr>
          <w:rFonts w:ascii="Times New Roman" w:hAnsi="Times New Roman"/>
          <w:b/>
        </w:rPr>
        <w:t>Date d’adoption de la résolution:</w:t>
      </w:r>
      <w:r>
        <w:rPr>
          <w:rFonts w:ascii="Times New Roman" w:hAnsi="Times New Roman"/>
        </w:rPr>
        <w:t xml:space="preserve"> 12 juillet 2023 </w:t>
      </w:r>
    </w:p>
    <w:p w14:paraId="2F90DF19" w14:textId="1CD386F2" w:rsidR="00372A52" w:rsidRPr="00F43984" w:rsidRDefault="00372A52" w:rsidP="0084310E">
      <w:pPr>
        <w:numPr>
          <w:ilvl w:val="0"/>
          <w:numId w:val="34"/>
        </w:numPr>
        <w:ind w:left="567" w:hanging="567"/>
        <w:rPr>
          <w:rFonts w:ascii="Times New Roman" w:hAnsi="Times New Roman"/>
          <w:iCs/>
          <w:szCs w:val="24"/>
        </w:rPr>
      </w:pPr>
      <w:r>
        <w:rPr>
          <w:rFonts w:ascii="Times New Roman" w:hAnsi="Times New Roman"/>
          <w:b/>
        </w:rPr>
        <w:t>Commission parlementaire compétente:</w:t>
      </w:r>
      <w:r>
        <w:rPr>
          <w:rFonts w:ascii="Times New Roman" w:hAnsi="Times New Roman"/>
        </w:rPr>
        <w:t xml:space="preserve"> S.O.</w:t>
      </w:r>
    </w:p>
    <w:p w14:paraId="1540F533" w14:textId="7222F989" w:rsidR="00963420"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17A5AA90" w14:textId="1483E3FC" w:rsidR="00EF6587" w:rsidRPr="00EF6587" w:rsidRDefault="009E5521" w:rsidP="00EF6587">
      <w:pPr>
        <w:spacing w:after="120"/>
        <w:rPr>
          <w:rFonts w:ascii="Times New Roman" w:hAnsi="Times New Roman"/>
          <w:szCs w:val="24"/>
        </w:rPr>
      </w:pPr>
      <w:r>
        <w:rPr>
          <w:rFonts w:ascii="Times New Roman" w:hAnsi="Times New Roman"/>
        </w:rPr>
        <w:t xml:space="preserve">Dans la résolution, le Parlement européen a relevé que la proposition de la Commission relative à la création d’un organisme d’éthique interinstitutionnel n’est pas satisfaisante, l’organisme tel que proposé étant loin de constituer un organisme indépendant chargé des questions d’éthique, tel qu’envisagé par le Parlement dans sa résolution du 16 septembre 2021 et réaffirmé dans celle du 16 février 2023. </w:t>
      </w:r>
    </w:p>
    <w:p w14:paraId="437833A6" w14:textId="573B1DAD" w:rsidR="00EF6587" w:rsidRPr="00EF6587" w:rsidRDefault="00224213" w:rsidP="00EF6587">
      <w:pPr>
        <w:spacing w:after="120"/>
        <w:rPr>
          <w:rFonts w:ascii="Times New Roman" w:hAnsi="Times New Roman"/>
          <w:szCs w:val="24"/>
        </w:rPr>
      </w:pPr>
      <w:r>
        <w:rPr>
          <w:rFonts w:ascii="Times New Roman" w:hAnsi="Times New Roman"/>
        </w:rPr>
        <w:t>Il a rappelé que l’organisme chargé des questions d’éthique devrait être:</w:t>
      </w:r>
    </w:p>
    <w:p w14:paraId="7562415E" w14:textId="11D4749F" w:rsidR="00EF6587" w:rsidRPr="00EF6587" w:rsidRDefault="00EF6587" w:rsidP="00EF6587">
      <w:pPr>
        <w:spacing w:after="120"/>
        <w:rPr>
          <w:rFonts w:ascii="Times New Roman" w:hAnsi="Times New Roman"/>
          <w:szCs w:val="24"/>
        </w:rPr>
      </w:pPr>
      <w:r>
        <w:rPr>
          <w:rFonts w:ascii="Times New Roman" w:hAnsi="Times New Roman"/>
        </w:rPr>
        <w:t>- en mesure d’enquêter, de sa propre initiative, sur les allégations de violation des règles d’éthique par des députés ou membres du personnel actuels ou anciens, et de mener des enquêtes sur place et sur pièces en utilisant les informations qu’il a recueillies ou qu’il a reçues de tiers, et devrait avoir le pouvoir de demander des documents administratifs, tout en respectant l’immunité des députés et en préservant les garanties procédurales applicables;</w:t>
      </w:r>
    </w:p>
    <w:p w14:paraId="557299B9" w14:textId="77777777" w:rsidR="00EF6587" w:rsidRPr="00EF6587" w:rsidRDefault="00EF6587" w:rsidP="00EF6587">
      <w:pPr>
        <w:spacing w:after="120"/>
        <w:rPr>
          <w:rFonts w:ascii="Times New Roman" w:hAnsi="Times New Roman"/>
          <w:szCs w:val="24"/>
        </w:rPr>
      </w:pPr>
      <w:r>
        <w:rPr>
          <w:rFonts w:ascii="Times New Roman" w:hAnsi="Times New Roman"/>
        </w:rPr>
        <w:t>- habilité à traiter des cas individuels sur demande d’une institution participante ou sur proposition d’un ou de plusieurs membres de l’organisme, y compris de ses experts indépendants;</w:t>
      </w:r>
    </w:p>
    <w:p w14:paraId="288041AC" w14:textId="705A42DC" w:rsidR="00EF6587" w:rsidRPr="00EF6587" w:rsidRDefault="00EF6587" w:rsidP="00EF6587">
      <w:pPr>
        <w:spacing w:after="120"/>
        <w:rPr>
          <w:rFonts w:ascii="Times New Roman" w:hAnsi="Times New Roman"/>
          <w:szCs w:val="24"/>
        </w:rPr>
      </w:pPr>
      <w:r>
        <w:rPr>
          <w:rFonts w:ascii="Times New Roman" w:hAnsi="Times New Roman"/>
        </w:rPr>
        <w:t>- en mesure de formuler des recommandations de sanctions à l’autorité compétente de l’institution participante concernée; et de publier ses recommandations en même temps que la décision prise par l’institution concernée;</w:t>
      </w:r>
    </w:p>
    <w:p w14:paraId="5B6439CD" w14:textId="0318F299" w:rsidR="00EF6587" w:rsidRPr="00EF6587" w:rsidRDefault="00EF6587" w:rsidP="00EF6587">
      <w:pPr>
        <w:spacing w:after="120"/>
        <w:rPr>
          <w:rFonts w:ascii="Times New Roman" w:hAnsi="Times New Roman"/>
          <w:szCs w:val="24"/>
        </w:rPr>
      </w:pPr>
      <w:r>
        <w:rPr>
          <w:rFonts w:ascii="Times New Roman" w:hAnsi="Times New Roman"/>
        </w:rPr>
        <w:t>- habilité à évaluer les déclarations d’intérêts et de patrimoine transmises, le cas échéant, par les institutions participantes.</w:t>
      </w:r>
    </w:p>
    <w:p w14:paraId="7997CDDF" w14:textId="77777777" w:rsidR="00E54562" w:rsidRPr="00EF6587" w:rsidRDefault="00E54562" w:rsidP="00E54562">
      <w:pPr>
        <w:spacing w:after="120"/>
        <w:rPr>
          <w:rFonts w:ascii="Times New Roman" w:hAnsi="Times New Roman"/>
          <w:szCs w:val="24"/>
        </w:rPr>
      </w:pPr>
      <w:r>
        <w:rPr>
          <w:rFonts w:ascii="Times New Roman" w:hAnsi="Times New Roman"/>
        </w:rPr>
        <w:t>En ce qui concerne la composition de l’organisme, le Parlement a déploré, dans sa résolution, que la Commission ait proposé que la participation de cinq experts indépendants se limite à un rôle d’observateurs plutôt que de membres à part entière. Le Parlement préconisait, dans sa proposition de 2021, un organisme composé de neuf experts indépendants dans le domaine de l’éthique, au lieu d’un membre de chaque institution participante.</w:t>
      </w:r>
    </w:p>
    <w:p w14:paraId="39CE892E" w14:textId="5910C7B1" w:rsidR="00EF6587" w:rsidRPr="00EF6587" w:rsidRDefault="000B4B08" w:rsidP="00EF6587">
      <w:pPr>
        <w:spacing w:after="120"/>
        <w:rPr>
          <w:rFonts w:ascii="Times New Roman" w:hAnsi="Times New Roman"/>
          <w:szCs w:val="24"/>
        </w:rPr>
      </w:pPr>
      <w:r>
        <w:rPr>
          <w:rFonts w:ascii="Times New Roman" w:hAnsi="Times New Roman"/>
        </w:rPr>
        <w:t>Enfin, le Parlement européen a relevé, dans sa résolution, que la proposition de la Commission s’applique aux membres des institutions participantes sans concerner le personnel, qui est soumis à des obligations communes au titre du statut du personnel. Il a demandé que le personnel des institutions participantes relève du champ d’application de l’organisme chargé des questions d’éthique.</w:t>
      </w:r>
    </w:p>
    <w:p w14:paraId="780B6643" w14:textId="04D5BFA1" w:rsidR="00963420"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Réponse à ces demandes et aperçu des mesures que la Commission a prises ou envisage de prendre:</w:t>
      </w:r>
    </w:p>
    <w:p w14:paraId="20C92C6E" w14:textId="28366059" w:rsidR="00DD268A" w:rsidRDefault="00DD268A" w:rsidP="00372A52">
      <w:pPr>
        <w:widowControl w:val="0"/>
        <w:spacing w:after="120"/>
        <w:rPr>
          <w:rFonts w:ascii="Times New Roman" w:hAnsi="Times New Roman"/>
        </w:rPr>
      </w:pPr>
      <w:r>
        <w:rPr>
          <w:rFonts w:ascii="Times New Roman" w:hAnsi="Times New Roman"/>
        </w:rPr>
        <w:t xml:space="preserve">Toutes les institutions et tous les organes de l’Union doivent respecter les normes les plus élevées de transparence, d’indépendance et d’intégrité. Dans ses orientations politiques pour </w:t>
      </w:r>
      <w:r>
        <w:rPr>
          <w:rFonts w:ascii="Times New Roman" w:hAnsi="Times New Roman"/>
        </w:rPr>
        <w:lastRenderedPageBreak/>
        <w:t xml:space="preserve">la Commission européenne de juillet 2019, la présidente von der Leyen a exprimé son soutien à la création d’un organisme indépendant chargé des questions d’éthique commun à l’ensemble des institutions de l’Union. </w:t>
      </w:r>
    </w:p>
    <w:p w14:paraId="63BC1B5B" w14:textId="3840BA29" w:rsidR="00DD268A" w:rsidRDefault="00DD268A" w:rsidP="00372A52">
      <w:pPr>
        <w:widowControl w:val="0"/>
        <w:spacing w:after="120"/>
        <w:rPr>
          <w:rFonts w:ascii="Times New Roman" w:hAnsi="Times New Roman"/>
        </w:rPr>
      </w:pPr>
      <w:r>
        <w:rPr>
          <w:rFonts w:ascii="Times New Roman" w:hAnsi="Times New Roman"/>
        </w:rPr>
        <w:t>Le Parlement européen a décidé en 2020 d’adopter un rapport d’initiative sur le sujet. La Commission a apporté des informations techniques tout au long du processus au Parlement. À la suite de l’adoption par le Parlement européen de sa résolution le 16 septembre 2021</w:t>
      </w:r>
      <w:r>
        <w:rPr>
          <w:rFonts w:ascii="Times New Roman" w:hAnsi="Times New Roman"/>
          <w:vertAlign w:val="superscript"/>
        </w:rPr>
        <w:footnoteReference w:id="1"/>
      </w:r>
      <w:r>
        <w:rPr>
          <w:rFonts w:ascii="Times New Roman" w:hAnsi="Times New Roman"/>
        </w:rPr>
        <w:t>, la Commission a adressé une réponse formelle au Parlement le 18 février 2022.</w:t>
      </w:r>
    </w:p>
    <w:p w14:paraId="0B620A27" w14:textId="4E035C80" w:rsidR="00DD268A" w:rsidRDefault="00DD268A" w:rsidP="00372A52">
      <w:pPr>
        <w:widowControl w:val="0"/>
        <w:spacing w:after="120"/>
        <w:rPr>
          <w:rFonts w:ascii="Times New Roman" w:hAnsi="Times New Roman"/>
        </w:rPr>
      </w:pPr>
      <w:r>
        <w:rPr>
          <w:rFonts w:ascii="Times New Roman" w:hAnsi="Times New Roman"/>
        </w:rPr>
        <w:t xml:space="preserve">Par la suite, la présidente von der Leyen a envoyé, en mars 2022, des lettres aux présidents de toutes les autres institutions de l’Union [y compris les deux organes consultatifs mentionnés à l’article 13 du traité sur l’Union européenne (TUE)] concernant un éventuel accord commun visant à créer un organisme européen chargé des questions d’éthique. Après réception des réponses de toutes les institutions en juin 2022, la Commission a organisé une réunion avec les institutions intéressées au niveau technique en septembre 2022. </w:t>
      </w:r>
    </w:p>
    <w:p w14:paraId="4B2C3489" w14:textId="7E237FBD" w:rsidR="00DD268A" w:rsidRDefault="00DD268A" w:rsidP="00372A52">
      <w:pPr>
        <w:widowControl w:val="0"/>
        <w:spacing w:after="120"/>
        <w:rPr>
          <w:rFonts w:ascii="Times New Roman" w:hAnsi="Times New Roman"/>
        </w:rPr>
      </w:pPr>
      <w:r>
        <w:rPr>
          <w:rFonts w:ascii="Times New Roman" w:hAnsi="Times New Roman"/>
        </w:rPr>
        <w:t>Sur la base de ces travaux approfondis et des résultats des contacts avec les autres institutions et organes consultatifs, la Commission a adopté, le 8 juin 2023, une communication</w:t>
      </w:r>
      <w:r>
        <w:rPr>
          <w:rStyle w:val="FootnoteReference"/>
          <w:rFonts w:ascii="Times New Roman" w:hAnsi="Times New Roman"/>
        </w:rPr>
        <w:footnoteReference w:id="2"/>
      </w:r>
      <w:r>
        <w:rPr>
          <w:rFonts w:ascii="Times New Roman" w:hAnsi="Times New Roman"/>
        </w:rPr>
        <w:t xml:space="preserve"> aux autres institutions et organes consultatifs mentionnés à l’article 13 du traité sur l’Union européenne. Cette communication est intitulée «Proposition relative à un organisme éthique interinstitutionnel». Un projet d’accord</w:t>
      </w:r>
      <w:r>
        <w:rPr>
          <w:rStyle w:val="FootnoteReference"/>
          <w:rFonts w:ascii="Times New Roman" w:hAnsi="Times New Roman"/>
        </w:rPr>
        <w:footnoteReference w:id="3"/>
      </w:r>
      <w:r>
        <w:rPr>
          <w:rFonts w:ascii="Times New Roman" w:hAnsi="Times New Roman"/>
        </w:rPr>
        <w:t xml:space="preserve"> entre les institutions et organes consultatifs ainsi qu’une fiche financière</w:t>
      </w:r>
      <w:r>
        <w:rPr>
          <w:rStyle w:val="FootnoteReference"/>
          <w:rFonts w:ascii="Times New Roman" w:hAnsi="Times New Roman"/>
        </w:rPr>
        <w:footnoteReference w:id="4"/>
      </w:r>
      <w:r>
        <w:rPr>
          <w:rFonts w:ascii="Times New Roman" w:hAnsi="Times New Roman"/>
        </w:rPr>
        <w:t xml:space="preserve"> sont annexés à la communication.</w:t>
      </w:r>
    </w:p>
    <w:p w14:paraId="55300B3A" w14:textId="11F23917" w:rsidR="009606F7" w:rsidRDefault="00563014" w:rsidP="00372A52">
      <w:pPr>
        <w:widowControl w:val="0"/>
        <w:spacing w:after="120"/>
        <w:rPr>
          <w:rFonts w:ascii="Times New Roman" w:hAnsi="Times New Roman"/>
        </w:rPr>
      </w:pPr>
      <w:r>
        <w:rPr>
          <w:rFonts w:ascii="Times New Roman" w:hAnsi="Times New Roman"/>
        </w:rPr>
        <w:t>La Commission a invité l’ensemble des institutions et organes consultatifs à une réunion au niveau politique le 7 juillet 2023 afin d’entamer sans délai des négociations interinstitutionnelles en vue de parvenir à un accord entre toutes les institutions et les organes consultatifs. Des discussions sont en cours au niveau technique, et d’autres réunions techniques et politiques sont prévues jusqu’à la fin de l’année. Cela permettra à toutes les institutions et à tous les organes consultatifs d’échanger leurs points de vue en vue de parvenir à un accord.</w:t>
      </w:r>
    </w:p>
    <w:sectPr w:rsidR="009606F7" w:rsidSect="00812321">
      <w:footerReference w:type="even" r:id="rId8"/>
      <w:footerReference w:type="default" r:id="rId9"/>
      <w:footerReference w:type="first" r:id="rId1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EF7B" w14:textId="77777777" w:rsidR="00EE390C" w:rsidRDefault="00EE390C">
      <w:r>
        <w:separator/>
      </w:r>
    </w:p>
  </w:endnote>
  <w:endnote w:type="continuationSeparator" w:id="0">
    <w:p w14:paraId="2180DAB6" w14:textId="77777777" w:rsidR="00EE390C" w:rsidRDefault="00EE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16C9" w14:textId="77777777" w:rsidR="00EE390C" w:rsidRDefault="00EE390C">
      <w:r>
        <w:separator/>
      </w:r>
    </w:p>
  </w:footnote>
  <w:footnote w:type="continuationSeparator" w:id="0">
    <w:p w14:paraId="5D95FAFE" w14:textId="77777777" w:rsidR="00EE390C" w:rsidRDefault="00EE390C">
      <w:r>
        <w:continuationSeparator/>
      </w:r>
    </w:p>
  </w:footnote>
  <w:footnote w:id="1">
    <w:p w14:paraId="79E858B6" w14:textId="77777777" w:rsidR="00DD268A" w:rsidRPr="00372A52" w:rsidRDefault="00DD268A" w:rsidP="00372A52">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Résolution du Parlement européen du 16 septembre 2021 sur le renforcement de la transparence et de l’intégrité des institutions de l’Union par la création d’un organisme européen indépendant chargé des questions d’éthique [2020/2133(INI)], P9_TA(2021)0396</w:t>
      </w:r>
    </w:p>
  </w:footnote>
  <w:footnote w:id="2">
    <w:p w14:paraId="61A0425D" w14:textId="77777777" w:rsidR="00DD268A" w:rsidRPr="00372A52" w:rsidRDefault="00DD268A" w:rsidP="00372A52">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COM(2023)311 final </w:t>
      </w:r>
    </w:p>
    <w:p w14:paraId="5C1EDA8D" w14:textId="77777777" w:rsidR="00DD268A" w:rsidRPr="00372A52" w:rsidRDefault="00A17AD9" w:rsidP="00372A52">
      <w:pPr>
        <w:pStyle w:val="FootnoteText"/>
        <w:spacing w:after="0"/>
        <w:rPr>
          <w:rFonts w:ascii="Times New Roman" w:hAnsi="Times New Roman"/>
        </w:rPr>
      </w:pPr>
      <w:hyperlink r:id="rId1" w:history="1">
        <w:r>
          <w:rPr>
            <w:rStyle w:val="Hyperlink"/>
            <w:rFonts w:ascii="Times New Roman" w:hAnsi="Times New Roman"/>
          </w:rPr>
          <w:t>https://eur-lex.europa.eu/legal-content/FR/TXT/?uri=CELEX%3A52023DC0311&amp;qid=1697208716254</w:t>
        </w:r>
      </w:hyperlink>
    </w:p>
  </w:footnote>
  <w:footnote w:id="3">
    <w:p w14:paraId="26B33B3A" w14:textId="59FD981A" w:rsidR="00DD268A" w:rsidRPr="00372A52" w:rsidRDefault="00DD268A" w:rsidP="00372A52">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COM(2023)311 final, annexe 1 </w:t>
      </w:r>
    </w:p>
    <w:p w14:paraId="44F3D80B" w14:textId="77777777" w:rsidR="00DD268A" w:rsidRPr="00372A52" w:rsidRDefault="00A17AD9" w:rsidP="00372A52">
      <w:pPr>
        <w:pStyle w:val="FootnoteText"/>
        <w:spacing w:after="0"/>
        <w:rPr>
          <w:rFonts w:ascii="Times New Roman" w:hAnsi="Times New Roman"/>
        </w:rPr>
      </w:pPr>
      <w:hyperlink r:id="rId2" w:history="1">
        <w:r>
          <w:rPr>
            <w:rStyle w:val="Hyperlink"/>
            <w:rFonts w:ascii="Times New Roman" w:hAnsi="Times New Roman"/>
          </w:rPr>
          <w:t>https://commission.europa.eu/system/files/2023-06/COM_2023_311_1_EN_annexe_autre_acte_part1_v7.pdf</w:t>
        </w:r>
      </w:hyperlink>
    </w:p>
  </w:footnote>
  <w:footnote w:id="4">
    <w:p w14:paraId="59B3EBC5" w14:textId="70C0F45C" w:rsidR="00DD268A" w:rsidRPr="00372A52" w:rsidRDefault="00DD268A" w:rsidP="00372A52">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COM(2023)311 final, annexe 2 </w:t>
      </w:r>
    </w:p>
    <w:p w14:paraId="5E7C8980" w14:textId="2F5CB0AA" w:rsidR="00DD268A" w:rsidRPr="004B63EC" w:rsidRDefault="00A17AD9" w:rsidP="005B681A">
      <w:pPr>
        <w:pStyle w:val="FootnoteText"/>
        <w:spacing w:after="0"/>
        <w:rPr>
          <w:rFonts w:ascii="Times New Roman" w:hAnsi="Times New Roman"/>
        </w:rPr>
      </w:pPr>
      <w:hyperlink r:id="rId3" w:history="1">
        <w:r>
          <w:rPr>
            <w:rStyle w:val="Hyperlink"/>
            <w:rFonts w:ascii="Times New Roman" w:hAnsi="Times New Roman"/>
          </w:rPr>
          <w:t>https://commission.europa.eu/system/files/2023-06/COM_2023_311_2_EN_annexe_autre_acte_part</w:t>
        </w:r>
        <w:r>
          <w:rPr>
            <w:rStyle w:val="Hyperlink"/>
            <w:rFonts w:ascii="Times New Roman" w:hAnsi="Times New Roman"/>
          </w:rPr>
          <w:t>1_v6.pdf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996626"/>
    <w:multiLevelType w:val="hybridMultilevel"/>
    <w:tmpl w:val="167E1E8A"/>
    <w:lvl w:ilvl="0" w:tplc="1F961EDC">
      <w:start w:val="1"/>
      <w:numFmt w:val="bullet"/>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8"/>
  </w:num>
  <w:num w:numId="2" w16cid:durableId="148182179">
    <w:abstractNumId w:val="1"/>
  </w:num>
  <w:num w:numId="3" w16cid:durableId="505511010">
    <w:abstractNumId w:val="34"/>
  </w:num>
  <w:num w:numId="4" w16cid:durableId="580018736">
    <w:abstractNumId w:val="14"/>
  </w:num>
  <w:num w:numId="5" w16cid:durableId="221647625">
    <w:abstractNumId w:val="30"/>
  </w:num>
  <w:num w:numId="6" w16cid:durableId="298344620">
    <w:abstractNumId w:val="11"/>
  </w:num>
  <w:num w:numId="7" w16cid:durableId="58093387">
    <w:abstractNumId w:val="6"/>
  </w:num>
  <w:num w:numId="8" w16cid:durableId="1122530581">
    <w:abstractNumId w:val="16"/>
  </w:num>
  <w:num w:numId="9" w16cid:durableId="1479684095">
    <w:abstractNumId w:val="33"/>
  </w:num>
  <w:num w:numId="10" w16cid:durableId="340007303">
    <w:abstractNumId w:val="25"/>
  </w:num>
  <w:num w:numId="11" w16cid:durableId="346519941">
    <w:abstractNumId w:val="27"/>
  </w:num>
  <w:num w:numId="12" w16cid:durableId="691036718">
    <w:abstractNumId w:val="13"/>
  </w:num>
  <w:num w:numId="13" w16cid:durableId="1452093781">
    <w:abstractNumId w:val="17"/>
  </w:num>
  <w:num w:numId="14" w16cid:durableId="906961314">
    <w:abstractNumId w:val="31"/>
  </w:num>
  <w:num w:numId="15" w16cid:durableId="1388455259">
    <w:abstractNumId w:val="15"/>
  </w:num>
  <w:num w:numId="16" w16cid:durableId="1677533267">
    <w:abstractNumId w:val="37"/>
  </w:num>
  <w:num w:numId="17" w16cid:durableId="961619330">
    <w:abstractNumId w:val="32"/>
  </w:num>
  <w:num w:numId="18" w16cid:durableId="1095638383">
    <w:abstractNumId w:val="23"/>
  </w:num>
  <w:num w:numId="19" w16cid:durableId="357776219">
    <w:abstractNumId w:val="24"/>
  </w:num>
  <w:num w:numId="20" w16cid:durableId="1481578588">
    <w:abstractNumId w:val="29"/>
  </w:num>
  <w:num w:numId="21" w16cid:durableId="1812137613">
    <w:abstractNumId w:val="3"/>
  </w:num>
  <w:num w:numId="22" w16cid:durableId="370300677">
    <w:abstractNumId w:val="4"/>
  </w:num>
  <w:num w:numId="23" w16cid:durableId="1948660650">
    <w:abstractNumId w:val="5"/>
  </w:num>
  <w:num w:numId="24" w16cid:durableId="122113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5"/>
  </w:num>
  <w:num w:numId="26" w16cid:durableId="1203983393">
    <w:abstractNumId w:val="26"/>
  </w:num>
  <w:num w:numId="27" w16cid:durableId="1149204463">
    <w:abstractNumId w:val="18"/>
  </w:num>
  <w:num w:numId="28" w16cid:durableId="614867515">
    <w:abstractNumId w:val="36"/>
  </w:num>
  <w:num w:numId="29" w16cid:durableId="1513490821">
    <w:abstractNumId w:val="2"/>
  </w:num>
  <w:num w:numId="30" w16cid:durableId="1269506392">
    <w:abstractNumId w:val="22"/>
  </w:num>
  <w:num w:numId="31" w16cid:durableId="160509948">
    <w:abstractNumId w:val="21"/>
  </w:num>
  <w:num w:numId="32" w16cid:durableId="146094414">
    <w:abstractNumId w:val="10"/>
  </w:num>
  <w:num w:numId="33" w16cid:durableId="2145806991">
    <w:abstractNumId w:val="12"/>
  </w:num>
  <w:num w:numId="34" w16cid:durableId="1322079617">
    <w:abstractNumId w:val="20"/>
  </w:num>
  <w:num w:numId="35" w16cid:durableId="1661734410">
    <w:abstractNumId w:val="19"/>
  </w:num>
  <w:num w:numId="36" w16cid:durableId="706954027">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D1E"/>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0F30"/>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B08"/>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213"/>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D28"/>
    <w:rsid w:val="00273F7F"/>
    <w:rsid w:val="00274104"/>
    <w:rsid w:val="002748C5"/>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52"/>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E25"/>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014"/>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81A"/>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C0D"/>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57F"/>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B5C"/>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572"/>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6AE"/>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74"/>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3BD"/>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0E80"/>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0F8"/>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09"/>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6F7"/>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21"/>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AD9"/>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8AF"/>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04"/>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000"/>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5D5E"/>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3B"/>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9DB"/>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A6F"/>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68A"/>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6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0C"/>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587"/>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98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1EA"/>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2E"/>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487"/>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C7D"/>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AAA"/>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link w:val="Briefinglist1Char"/>
    <w:qFormat/>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customStyle="1" w:styleId="Briefinglist1Char">
    <w:name w:val="Briefing list 1 Char"/>
    <w:link w:val="Briefinglist1"/>
    <w:qFormat/>
    <w:rsid w:val="00273D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831">
      <w:bodyDiv w:val="1"/>
      <w:marLeft w:val="0"/>
      <w:marRight w:val="0"/>
      <w:marTop w:val="0"/>
      <w:marBottom w:val="0"/>
      <w:divBdr>
        <w:top w:val="none" w:sz="0" w:space="0" w:color="auto"/>
        <w:left w:val="none" w:sz="0" w:space="0" w:color="auto"/>
        <w:bottom w:val="none" w:sz="0" w:space="0" w:color="auto"/>
        <w:right w:val="none" w:sz="0" w:space="0" w:color="auto"/>
      </w:divBdr>
    </w:div>
    <w:div w:id="279191354">
      <w:bodyDiv w:val="1"/>
      <w:marLeft w:val="0"/>
      <w:marRight w:val="0"/>
      <w:marTop w:val="0"/>
      <w:marBottom w:val="0"/>
      <w:divBdr>
        <w:top w:val="none" w:sz="0" w:space="0" w:color="auto"/>
        <w:left w:val="none" w:sz="0" w:space="0" w:color="auto"/>
        <w:bottom w:val="none" w:sz="0" w:space="0" w:color="auto"/>
        <w:right w:val="none" w:sz="0" w:space="0" w:color="auto"/>
      </w:divBdr>
    </w:div>
    <w:div w:id="910042647">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ystem/files/2023-06/COM_2023_311_2_EN_annexe_autre_acte_part1_v6.pdf" TargetMode="External"/><Relationship Id="rId2" Type="http://schemas.openxmlformats.org/officeDocument/2006/relationships/hyperlink" Target="https://commission.europa.eu/system/files/2023-06/COM_2023_311_1_EN_annexe_autre_acte_part1_v7.pdf" TargetMode="External"/><Relationship Id="rId1" Type="http://schemas.openxmlformats.org/officeDocument/2006/relationships/hyperlink" Target="https://eur-lex.europa.eu/legal-content/FR/TXT/?uri=CELEX%3A52023DC0311&amp;qid=16972087162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2</Pages>
  <Words>791</Words>
  <Characters>4475</Characters>
  <Application>Microsoft Office Word</Application>
  <DocSecurity>0</DocSecurity>
  <PresentationFormat>Microsoft Word 8.0b</PresentationFormat>
  <Lines>68</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5243</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2023-09-14T12:57:00Z</cp:lastPrinted>
  <dcterms:created xsi:type="dcterms:W3CDTF">2023-11-30T13:54:00Z</dcterms:created>
  <dcterms:modified xsi:type="dcterms:W3CDTF">2023-11-30T13:54:00Z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ies>
</file>