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D311" w14:textId="6C921030" w:rsidR="00696F22" w:rsidRPr="00696F22" w:rsidRDefault="00696F22" w:rsidP="00F83D67">
      <w:pPr>
        <w:spacing w:after="600" w:line="240" w:lineRule="auto"/>
        <w:jc w:val="center"/>
        <w:rPr>
          <w:b/>
          <w:bCs/>
          <w:szCs w:val="24"/>
        </w:rPr>
      </w:pPr>
      <w:r>
        <w:rPr>
          <w:b/>
        </w:rPr>
        <w:t>Suite donnée à la résolution non législative du Parlement européen sur l’accès à l’espace Schengen</w:t>
      </w:r>
      <w:bookmarkStart w:id="0" w:name="_Hlk140570937"/>
      <w:bookmarkEnd w:id="0"/>
    </w:p>
    <w:p w14:paraId="206BEDCB" w14:textId="77777777" w:rsidR="008A5AFE" w:rsidRPr="00F03923" w:rsidRDefault="008A5AFE" w:rsidP="008A5AFE">
      <w:pPr>
        <w:pStyle w:val="ListParagraph"/>
        <w:numPr>
          <w:ilvl w:val="0"/>
          <w:numId w:val="38"/>
        </w:numPr>
        <w:spacing w:after="240" w:line="240" w:lineRule="auto"/>
        <w:ind w:left="567" w:hanging="567"/>
        <w:contextualSpacing w:val="0"/>
        <w:rPr>
          <w:szCs w:val="24"/>
        </w:rPr>
      </w:pPr>
      <w:r>
        <w:rPr>
          <w:b/>
        </w:rPr>
        <w:t>Résolution présentée conformément à l’article 132, paragraphe 2, du règlement intérieur du Parlement européen</w:t>
      </w:r>
    </w:p>
    <w:p w14:paraId="56B99B1B" w14:textId="58C9BC5B" w:rsidR="00696F22" w:rsidRPr="00696F22" w:rsidRDefault="00696F22" w:rsidP="008A5AFE">
      <w:pPr>
        <w:pStyle w:val="ListParagraph"/>
        <w:numPr>
          <w:ilvl w:val="0"/>
          <w:numId w:val="38"/>
        </w:numPr>
        <w:spacing w:after="240"/>
        <w:ind w:left="567" w:hanging="567"/>
        <w:contextualSpacing w:val="0"/>
        <w:rPr>
          <w:szCs w:val="24"/>
        </w:rPr>
      </w:pPr>
      <w:r>
        <w:rPr>
          <w:b/>
        </w:rPr>
        <w:t xml:space="preserve">Numéro de référence: </w:t>
      </w:r>
      <w:r>
        <w:t>2023/2668 (RSP) / B9-0309/2023 / P9_TA(2023)0278</w:t>
      </w:r>
    </w:p>
    <w:p w14:paraId="29804ECD" w14:textId="3EB0AF99" w:rsidR="00696F22" w:rsidRPr="00696F22" w:rsidRDefault="00696F22" w:rsidP="008A5AFE">
      <w:pPr>
        <w:pStyle w:val="ListParagraph"/>
        <w:numPr>
          <w:ilvl w:val="0"/>
          <w:numId w:val="38"/>
        </w:numPr>
        <w:spacing w:after="240"/>
        <w:ind w:left="567" w:hanging="567"/>
        <w:contextualSpacing w:val="0"/>
        <w:rPr>
          <w:szCs w:val="24"/>
        </w:rPr>
      </w:pPr>
      <w:r>
        <w:rPr>
          <w:b/>
        </w:rPr>
        <w:t>Date d'adoption de la résolution:</w:t>
      </w:r>
      <w:r>
        <w:t xml:space="preserve"> 12 juillet 2023</w:t>
      </w:r>
    </w:p>
    <w:p w14:paraId="3A5BC8D8" w14:textId="0E597AF5" w:rsidR="00696F22" w:rsidRPr="00696F22" w:rsidRDefault="00696F22" w:rsidP="008A5AFE">
      <w:pPr>
        <w:pStyle w:val="ListParagraph"/>
        <w:numPr>
          <w:ilvl w:val="0"/>
          <w:numId w:val="38"/>
        </w:numPr>
        <w:spacing w:after="240"/>
        <w:ind w:left="567" w:hanging="567"/>
        <w:contextualSpacing w:val="0"/>
        <w:rPr>
          <w:szCs w:val="24"/>
        </w:rPr>
      </w:pPr>
      <w:r>
        <w:rPr>
          <w:b/>
        </w:rPr>
        <w:t xml:space="preserve">Commission parlementaire compétente: </w:t>
      </w:r>
      <w:r>
        <w:t>Sans objet</w:t>
      </w:r>
    </w:p>
    <w:p w14:paraId="0A869C2B" w14:textId="2DFFB2BD" w:rsidR="00B14608" w:rsidRDefault="00696F22" w:rsidP="008A5AFE">
      <w:pPr>
        <w:pStyle w:val="ListParagraph"/>
        <w:widowControl w:val="0"/>
        <w:numPr>
          <w:ilvl w:val="0"/>
          <w:numId w:val="38"/>
        </w:numPr>
        <w:spacing w:after="240"/>
        <w:ind w:left="567" w:hanging="567"/>
        <w:contextualSpacing w:val="0"/>
        <w:rPr>
          <w:b/>
          <w:szCs w:val="24"/>
        </w:rPr>
      </w:pPr>
      <w:r>
        <w:rPr>
          <w:b/>
        </w:rPr>
        <w:t>Analyse/évaluation succincte de la résolution et des demandes qu’elle contient:</w:t>
      </w:r>
    </w:p>
    <w:p w14:paraId="7DF4DAE6" w14:textId="77777777" w:rsidR="004532B9" w:rsidRPr="008A5AFE" w:rsidRDefault="004532B9" w:rsidP="008A5AFE">
      <w:pPr>
        <w:pStyle w:val="Briefingtext"/>
        <w:spacing w:after="120"/>
        <w:rPr>
          <w:rFonts w:ascii="Times New Roman" w:hAnsi="Times New Roman" w:cs="Times New Roman"/>
          <w:sz w:val="24"/>
        </w:rPr>
      </w:pPr>
      <w:r>
        <w:rPr>
          <w:rFonts w:ascii="Times New Roman" w:hAnsi="Times New Roman"/>
          <w:sz w:val="24"/>
        </w:rPr>
        <w:t>En 2005, la Bulgarie et la Roumanie ont achevé avec succès le processus d’évaluation de Schengen conformément à l’article 4, paragraphe 2, de l’acte d’adhésion de 2011. Aucune décision du Conseil relative à l’adhésion de la Bulgarie et de la Roumanie à l’espace Schengen et à la levée des contrôles à leurs frontières intérieures n’a été prise à ce jour.</w:t>
      </w:r>
    </w:p>
    <w:p w14:paraId="357E9574" w14:textId="17360CC7" w:rsidR="004532B9" w:rsidRPr="008A5AFE" w:rsidRDefault="004532B9" w:rsidP="008A5AFE">
      <w:pPr>
        <w:pStyle w:val="Briefingtext"/>
        <w:spacing w:after="120"/>
        <w:rPr>
          <w:rFonts w:ascii="Times New Roman" w:hAnsi="Times New Roman" w:cs="Times New Roman"/>
          <w:sz w:val="24"/>
        </w:rPr>
      </w:pPr>
      <w:r>
        <w:rPr>
          <w:rFonts w:ascii="Times New Roman" w:hAnsi="Times New Roman"/>
          <w:sz w:val="24"/>
        </w:rPr>
        <w:t>En vue de renforcer la confiance mutuelle et reconnaissant que l’acquis de Schengen s’est développé depuis 2011, la Bulgarie et la Roumanie ont publié une déclaration commune déclarant qu’elles étaient disposées à inviter, sur une base volontaire, une équipe placée sous la coordination de la Commission afin de veiller à l’application, entre autres, des derniers développements de l’acquis de Schengen depuis l’évaluation de 2011.</w:t>
      </w:r>
    </w:p>
    <w:p w14:paraId="54384C32" w14:textId="75EAD24D" w:rsidR="004532B9" w:rsidRPr="008A5AFE" w:rsidRDefault="00010ACD" w:rsidP="008A5AFE">
      <w:pPr>
        <w:pStyle w:val="5Normal"/>
        <w:rPr>
          <w:rFonts w:ascii="Times New Roman" w:hAnsi="Times New Roman"/>
          <w:sz w:val="24"/>
        </w:rPr>
      </w:pPr>
      <w:r>
        <w:rPr>
          <w:rFonts w:ascii="Times New Roman" w:hAnsi="Times New Roman"/>
          <w:sz w:val="24"/>
        </w:rPr>
        <w:t>Ces missions d’information volontaires, qui ont eu lieu du 9 au 15 octobre 2022 et du 14 au 18 novembre 2022, ont révélé que la Bulgarie et la Roumanie ont non seulement poursuivi la mise en œuvre du nouvel acquis et des nouveaux outils, mais qu’elles ont également considérablement renforcé l’application globale de l’acquis de Schengen dans toutes ses dimensions.</w:t>
      </w:r>
    </w:p>
    <w:p w14:paraId="616F25E0" w14:textId="6572F866" w:rsidR="004532B9" w:rsidRPr="008A5AFE" w:rsidRDefault="004532B9" w:rsidP="008A5AFE">
      <w:pPr>
        <w:pStyle w:val="Briefingtext"/>
        <w:spacing w:after="120"/>
        <w:rPr>
          <w:rFonts w:ascii="Times New Roman" w:hAnsi="Times New Roman" w:cs="Times New Roman"/>
          <w:sz w:val="24"/>
        </w:rPr>
      </w:pPr>
      <w:r>
        <w:rPr>
          <w:rFonts w:ascii="Times New Roman" w:hAnsi="Times New Roman"/>
          <w:sz w:val="24"/>
        </w:rPr>
        <w:t>La décision d’adhésion figurait à l’ordre du jour du Conseil «Justice et affaires intérieures» (JAI) du 8 décembre 2022. Une telle décision, qui requiert l’unanimité, n’a pas été prise au regret de la Commission.</w:t>
      </w:r>
    </w:p>
    <w:p w14:paraId="6D7C825C" w14:textId="34CCD277" w:rsidR="001E3B79" w:rsidRPr="008A5AFE" w:rsidRDefault="004532B9" w:rsidP="008A5AFE">
      <w:pPr>
        <w:pStyle w:val="Briefingtext"/>
        <w:spacing w:after="120"/>
        <w:rPr>
          <w:rFonts w:ascii="Times New Roman" w:hAnsi="Times New Roman" w:cs="Times New Roman"/>
          <w:sz w:val="24"/>
        </w:rPr>
      </w:pPr>
      <w:r>
        <w:rPr>
          <w:rFonts w:ascii="Times New Roman" w:hAnsi="Times New Roman"/>
          <w:sz w:val="24"/>
        </w:rPr>
        <w:t>La résolution en question sur l’adhésion de la Bulgarie et de la Roumanie à l’espace Schengen est conforme à la position de la Commission sur l’élargissement de Schengen. La résolution est adressée au Conseil, mais pour certains points, la Commission est invitée à réagir:</w:t>
      </w:r>
    </w:p>
    <w:p w14:paraId="5CA1EEF1" w14:textId="77B09B83" w:rsidR="001E3B79" w:rsidRPr="008A5AFE" w:rsidRDefault="001E3B79" w:rsidP="008A5AFE">
      <w:pPr>
        <w:pStyle w:val="Briefingtext"/>
        <w:spacing w:after="120"/>
        <w:rPr>
          <w:rFonts w:ascii="Times New Roman" w:hAnsi="Times New Roman" w:cs="Times New Roman"/>
          <w:sz w:val="24"/>
        </w:rPr>
      </w:pPr>
      <w:r>
        <w:rPr>
          <w:rFonts w:ascii="Times New Roman" w:hAnsi="Times New Roman"/>
          <w:sz w:val="24"/>
        </w:rPr>
        <w:t>•</w:t>
      </w:r>
      <w:r>
        <w:rPr>
          <w:rFonts w:ascii="Times New Roman" w:hAnsi="Times New Roman"/>
          <w:sz w:val="24"/>
        </w:rPr>
        <w:tab/>
        <w:t>discrimination à l’égard des citoyens bulgares et roumains: existe-t-il des violations possibles du traité sur l’Union européenne et quelles procédures sont en place pour défendre le droit à la libre circulation des citoyens roumains et bulgares?</w:t>
      </w:r>
    </w:p>
    <w:p w14:paraId="4B588691" w14:textId="77777777" w:rsidR="001E3B79" w:rsidRPr="008A5AFE" w:rsidRDefault="001E3B79" w:rsidP="008A5AFE">
      <w:pPr>
        <w:pStyle w:val="Briefingtext"/>
        <w:spacing w:after="120"/>
        <w:rPr>
          <w:rFonts w:ascii="Times New Roman" w:hAnsi="Times New Roman" w:cs="Times New Roman"/>
          <w:sz w:val="24"/>
        </w:rPr>
      </w:pPr>
      <w:r>
        <w:rPr>
          <w:rFonts w:ascii="Times New Roman" w:hAnsi="Times New Roman"/>
          <w:sz w:val="24"/>
        </w:rPr>
        <w:t>•</w:t>
      </w:r>
      <w:r>
        <w:rPr>
          <w:rFonts w:ascii="Times New Roman" w:hAnsi="Times New Roman"/>
          <w:sz w:val="24"/>
        </w:rPr>
        <w:tab/>
        <w:t>charge sociétale et économique pour les entreprises et la population des deux pays: existe-t-il des mécanismes possibles de compensation des pertes financières?</w:t>
      </w:r>
    </w:p>
    <w:p w14:paraId="0A856358" w14:textId="5C210563" w:rsidR="001E3B79" w:rsidRPr="008A5AFE" w:rsidRDefault="001E3B79" w:rsidP="008A5AFE">
      <w:pPr>
        <w:pStyle w:val="Briefingtext"/>
        <w:spacing w:after="120"/>
        <w:rPr>
          <w:rFonts w:ascii="Times New Roman" w:hAnsi="Times New Roman" w:cs="Times New Roman"/>
          <w:sz w:val="24"/>
        </w:rPr>
      </w:pPr>
      <w:r>
        <w:rPr>
          <w:rFonts w:ascii="Times New Roman" w:hAnsi="Times New Roman"/>
          <w:sz w:val="24"/>
        </w:rPr>
        <w:t>•</w:t>
      </w:r>
      <w:r>
        <w:rPr>
          <w:rFonts w:ascii="Times New Roman" w:hAnsi="Times New Roman"/>
          <w:sz w:val="24"/>
        </w:rPr>
        <w:tab/>
        <w:t>incidences sur l’environnement et risques pour la santé, en raison de l’augmentation de la pollution causée par les milliers de véhicules qui font la queue chaque jour pour franchir les frontières: quelles sont les pertes financières estimées, les gains manqués et les dommages environnementaux?</w:t>
      </w:r>
    </w:p>
    <w:p w14:paraId="77C656D2" w14:textId="3FA00AB9" w:rsidR="00696F22" w:rsidRDefault="00B14608" w:rsidP="008A5AFE">
      <w:pPr>
        <w:pStyle w:val="ListParagraph"/>
        <w:widowControl w:val="0"/>
        <w:numPr>
          <w:ilvl w:val="0"/>
          <w:numId w:val="38"/>
        </w:numPr>
        <w:spacing w:after="240"/>
        <w:ind w:left="567" w:hanging="567"/>
        <w:rPr>
          <w:b/>
          <w:szCs w:val="24"/>
        </w:rPr>
      </w:pPr>
      <w:r>
        <w:rPr>
          <w:b/>
        </w:rPr>
        <w:t>Réponse à ces demandes et aperçu des mesures que la Commission a prises ou envisage de prendre:</w:t>
      </w:r>
    </w:p>
    <w:p w14:paraId="24FCF8B0" w14:textId="1436310A" w:rsidR="00A6669A" w:rsidRDefault="00BF5E57" w:rsidP="008A5AFE">
      <w:pPr>
        <w:widowControl w:val="0"/>
        <w:spacing w:after="120"/>
        <w:jc w:val="both"/>
        <w:rPr>
          <w:szCs w:val="24"/>
          <w:shd w:val="clear" w:color="auto" w:fill="FFFFFF"/>
        </w:rPr>
      </w:pPr>
      <w:r>
        <w:rPr>
          <w:shd w:val="clear" w:color="auto" w:fill="FFFFFF"/>
        </w:rPr>
        <w:t xml:space="preserve">Tout citoyen de l’Union a le droit fondamental de circuler et de séjourner librement sur le </w:t>
      </w:r>
      <w:r>
        <w:rPr>
          <w:shd w:val="clear" w:color="auto" w:fill="FFFFFF"/>
        </w:rPr>
        <w:lastRenderedPageBreak/>
        <w:t>territoire des États membres, sur la base de l’article 21, paragraphe 1, du traité sur le fonctionnement de l’Union européenne (TFUE). La directive 2004/38/CE</w:t>
      </w:r>
      <w:r w:rsidR="009A4C2A">
        <w:rPr>
          <w:rStyle w:val="FootnoteReference"/>
          <w:szCs w:val="24"/>
          <w:shd w:val="clear" w:color="auto" w:fill="FFFFFF"/>
          <w:lang w:val="en-IE"/>
        </w:rPr>
        <w:footnoteReference w:id="1"/>
      </w:r>
      <w:r>
        <w:rPr>
          <w:shd w:val="clear" w:color="auto" w:fill="FFFFFF"/>
        </w:rPr>
        <w:t xml:space="preserve"> sur la libre circulation fixe les modalités d’exercice de ce droit. Les citoyens roumains et bulgares bénéficient du droit à la libre circulation depuis l’adhésion de ces deux États membres à l’Union européenne</w:t>
      </w:r>
      <w:r w:rsidR="001204F0">
        <w:rPr>
          <w:rStyle w:val="FootnoteReference"/>
          <w:szCs w:val="24"/>
          <w:shd w:val="clear" w:color="auto" w:fill="FFFFFF"/>
          <w:lang w:val="en-IE"/>
        </w:rPr>
        <w:footnoteReference w:id="2"/>
      </w:r>
      <w:r>
        <w:rPr>
          <w:shd w:val="clear" w:color="auto" w:fill="FFFFFF"/>
        </w:rPr>
        <w:t>. Le droit à la libre circulation peut être exercé sur l’ensemble du territoire de l’Union européenne, indépendamment de la question de savoir si un État membre applique ou non l’acquis de Schengen dans son intégralité. Le fait que la Roumanie et la Bulgarie n’appliquent pas encore pleinement l’acquis de Schengen ne restreint donc pas l’exercice du droit à la libre circulation des citoyens de l’Union.</w:t>
      </w:r>
    </w:p>
    <w:p w14:paraId="67F83C63" w14:textId="7E0407D3" w:rsidR="00800BDB" w:rsidRPr="000206F8" w:rsidRDefault="00900408" w:rsidP="008A5AFE">
      <w:pPr>
        <w:widowControl w:val="0"/>
        <w:spacing w:after="120"/>
        <w:jc w:val="both"/>
        <w:rPr>
          <w:szCs w:val="24"/>
          <w:shd w:val="clear" w:color="auto" w:fill="FFFFFF"/>
        </w:rPr>
      </w:pPr>
      <w:r>
        <w:t>La Commission regrette vivement que les contrôles aux frontières intérieures avec la Bulgarie et la Roumanie n’aient pas encore été levés, et note que ces contrôles concernent non seulement les citoyens bulgares et roumains, mais aussi toutes personnes franchissant ces frontières, quelle que soit leur nationalité. En ce sens, l’absence de décision levant les contrôles aux frontières intérieures de la Bulgarie et de la Roumanie nuit à tous les citoyens de l’Union, ainsi qu’aux ressortissants de pays tiers séjournant ou résidant légalement sur le territoire de l’Union et autorisés à voyager à l’intérieur de l’Union, qui souhaitent franchir ces frontières (</w:t>
      </w:r>
      <w:r>
        <w:rPr>
          <w:b/>
        </w:rPr>
        <w:t>paragraphe 3</w:t>
      </w:r>
      <w:r>
        <w:t>).</w:t>
      </w:r>
    </w:p>
    <w:p w14:paraId="1219E558" w14:textId="10CFDE3B" w:rsidR="00E61B6E" w:rsidRDefault="00741D2F" w:rsidP="008A5AFE">
      <w:pPr>
        <w:widowControl w:val="0"/>
        <w:spacing w:after="120"/>
        <w:jc w:val="both"/>
        <w:rPr>
          <w:szCs w:val="24"/>
          <w:shd w:val="clear" w:color="auto" w:fill="FFFFFF"/>
        </w:rPr>
      </w:pPr>
      <w:r>
        <w:rPr>
          <w:shd w:val="clear" w:color="auto" w:fill="FFFFFF"/>
        </w:rPr>
        <w:t>La Commission estime que la Roumanie et la Bulgarie sont toutes deux prêtes à adhérer à l’espace Schengen et qu’elles sont allées au-delà des exigences nécessaires en acceptant une nouvelle série de contrôles lors des missions d’information volontaires qui ont eu lieu entre le 9 et le 15 octobre et les 14 et 18 novembre 2022. La Commission a fait état du résultat positif des missions d’information dans sa communication du 16 novembre 2022</w:t>
      </w:r>
      <w:r w:rsidRPr="001040F7">
        <w:rPr>
          <w:shd w:val="clear" w:color="auto" w:fill="FFFFFF"/>
          <w:vertAlign w:val="superscript"/>
          <w:lang w:val="en-IE"/>
        </w:rPr>
        <w:footnoteReference w:id="3"/>
      </w:r>
      <w:r>
        <w:rPr>
          <w:shd w:val="clear" w:color="auto" w:fill="FFFFFF"/>
        </w:rPr>
        <w:t>, qui a confirmé que les deux États membres continuent de respecter les normes de Schengen et ont considérablement renforcé l’application globale de l’acquis de Schengen dans toutes ses dimensions de manière exhaustive.</w:t>
      </w:r>
    </w:p>
    <w:p w14:paraId="3ABF112D" w14:textId="06381C3E" w:rsidR="009F3976" w:rsidRDefault="00E61B6E" w:rsidP="008A5AFE">
      <w:pPr>
        <w:widowControl w:val="0"/>
        <w:spacing w:after="120"/>
        <w:jc w:val="both"/>
        <w:rPr>
          <w:szCs w:val="24"/>
          <w:shd w:val="clear" w:color="auto" w:fill="FFFFFF"/>
        </w:rPr>
      </w:pPr>
      <w:r>
        <w:rPr>
          <w:shd w:val="clear" w:color="auto" w:fill="FFFFFF"/>
        </w:rPr>
        <w:t>Néanmoins, l’article 4, paragraphe 2, de l’acte d’adhésion n’implique aucun automatisme, en ce sens que l’évaluation par la Commission du respect des conditions nécessaires à l’application intégrale de l’acquis de Schengen et l’avis positif du Parlement européen ne conduisent pas automatiquement à un vote positif du Conseil. La procédure d’adhésion ne fixe aucun délai pour que le Conseil prenne une décision positive sur l’admission de nouveaux membres à l’espace Schengen.</w:t>
      </w:r>
    </w:p>
    <w:p w14:paraId="05612F58" w14:textId="1C8422C2" w:rsidR="00AA4C3C" w:rsidRDefault="00F260E7" w:rsidP="008A5AFE">
      <w:pPr>
        <w:widowControl w:val="0"/>
        <w:spacing w:after="120"/>
        <w:jc w:val="both"/>
        <w:rPr>
          <w:szCs w:val="24"/>
        </w:rPr>
      </w:pPr>
      <w:r>
        <w:t>La Commission travaille en étroite collaboration avec la présidence espagnole pour préparer une décision à prendre par le Conseil afin de lever les contrôles aux frontières intérieures cette année encore. Il est grand temps que l’Union honore son engagement d’accorder à ces deux États membres l’adhésion à part entière à l’espace Schengen et de renforcer encore ainsi l’unité européenne (</w:t>
      </w:r>
      <w:r>
        <w:rPr>
          <w:b/>
          <w:bCs/>
        </w:rPr>
        <w:t>paragraphe 8</w:t>
      </w:r>
      <w:r>
        <w:t>).</w:t>
      </w:r>
    </w:p>
    <w:p w14:paraId="57905EBA" w14:textId="45EE74C3" w:rsidR="00A6669A" w:rsidRPr="00AA4C3C" w:rsidRDefault="00585A96" w:rsidP="008A5AFE">
      <w:pPr>
        <w:widowControl w:val="0"/>
        <w:spacing w:after="120"/>
        <w:jc w:val="both"/>
        <w:rPr>
          <w:szCs w:val="24"/>
        </w:rPr>
      </w:pPr>
      <w:r>
        <w:t>L’absence de décision sur l’application intégrale de l’acquis de Schengen ne remet pas en cause le droit à la libre circulation des citoyens de l’Union, y compris les ressortissants roumains et bulgares, au titre de l’article 21 du TFUE et de la directive 2004/38/CE sur la libre circulation.</w:t>
      </w:r>
    </w:p>
    <w:p w14:paraId="50498FC9" w14:textId="4115F07F" w:rsidR="00A6669A" w:rsidRPr="00A6669A" w:rsidRDefault="00A6669A" w:rsidP="008A5AFE">
      <w:pPr>
        <w:spacing w:after="120" w:line="240" w:lineRule="auto"/>
        <w:jc w:val="both"/>
        <w:rPr>
          <w:szCs w:val="24"/>
        </w:rPr>
      </w:pPr>
      <w:r>
        <w:lastRenderedPageBreak/>
        <w:t>L’article 21 du TFUE est applicable depuis l’adhésion de la Bulgarie et de la Roumanie à l’UE, de sorte que les citoyens roumains et bulgares peuvent déjà désormais circuler et séjourner librement dans les autres États membres, sous réserve des conditions générales énoncées dans la directive sur la libre circulation (</w:t>
      </w:r>
      <w:r>
        <w:rPr>
          <w:b/>
          <w:bCs/>
        </w:rPr>
        <w:t>paragraphe 11</w:t>
      </w:r>
      <w:r>
        <w:t>).</w:t>
      </w:r>
    </w:p>
    <w:sectPr w:rsidR="00A6669A" w:rsidRPr="00A6669A" w:rsidSect="00C85D7E">
      <w:headerReference w:type="even" r:id="rId8"/>
      <w:headerReference w:type="default" r:id="rId9"/>
      <w:footerReference w:type="even" r:id="rId10"/>
      <w:footerReference w:type="default" r:id="rId11"/>
      <w:headerReference w:type="first" r:id="rId12"/>
      <w:footerReference w:type="first" r:id="rId13"/>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9521" w14:textId="77777777" w:rsidR="007B5B2E" w:rsidRDefault="007B5B2E">
      <w:pPr>
        <w:spacing w:line="240" w:lineRule="auto"/>
      </w:pPr>
      <w:r>
        <w:separator/>
      </w:r>
    </w:p>
  </w:endnote>
  <w:endnote w:type="continuationSeparator" w:id="0">
    <w:p w14:paraId="6F549C5E" w14:textId="77777777" w:rsidR="007B5B2E" w:rsidRDefault="007B5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F2FC4A9" w14:textId="7D512B48" w:rsidR="00EC7926" w:rsidRDefault="00EC7926">
        <w:pPr>
          <w:pStyle w:val="Footer"/>
          <w:jc w:val="center"/>
        </w:pPr>
        <w:r>
          <w:fldChar w:fldCharType="begin"/>
        </w:r>
        <w:r>
          <w:instrText xml:space="preserve"> PAGE   \* MERGEFORMAT </w:instrText>
        </w:r>
        <w:r>
          <w:fldChar w:fldCharType="separate"/>
        </w:r>
        <w:r w:rsidR="00E27A30">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16FA" w14:textId="513477FC" w:rsidR="00EC7926" w:rsidRPr="008A5AFE" w:rsidRDefault="00EC7926" w:rsidP="008A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B47E" w14:textId="77777777" w:rsidR="007B5B2E" w:rsidRDefault="007B5B2E">
      <w:pPr>
        <w:spacing w:line="240" w:lineRule="auto"/>
      </w:pPr>
      <w:r>
        <w:separator/>
      </w:r>
    </w:p>
  </w:footnote>
  <w:footnote w:type="continuationSeparator" w:id="0">
    <w:p w14:paraId="3C628F4B" w14:textId="77777777" w:rsidR="007B5B2E" w:rsidRDefault="007B5B2E">
      <w:pPr>
        <w:spacing w:line="240" w:lineRule="auto"/>
      </w:pPr>
      <w:r>
        <w:continuationSeparator/>
      </w:r>
    </w:p>
  </w:footnote>
  <w:footnote w:id="1">
    <w:p w14:paraId="05799B34" w14:textId="62BBBB83" w:rsidR="009A4C2A" w:rsidRPr="003A0A09" w:rsidRDefault="009A4C2A" w:rsidP="003A0A09">
      <w:pPr>
        <w:pStyle w:val="FootnoteText"/>
        <w:spacing w:after="0"/>
      </w:pPr>
      <w:r>
        <w:rPr>
          <w:rStyle w:val="FootnoteReference"/>
        </w:rPr>
        <w:footnoteRef/>
      </w:r>
      <w:r>
        <w:tab/>
        <w:t>Directive 2004/38/CE du Parlement européen et du Conseil du 29 avril 2004 relative au droit des citoyens de l’Union et des membres de leurs familles de circuler et de séjourner librement sur le territoire des États membres, modifiant le règlement (CEE) nº 1612/68 et abrogeant les directives 64/221/CEE, 68/360/CEE, 72/194/CEE, 73/148/CEE, 75/34/CEE, 75/35/CEE, 90/364/CEE, 90/365/CEE et 93/96/CEE, JO L 158 du 30.4.2004.</w:t>
      </w:r>
    </w:p>
  </w:footnote>
  <w:footnote w:id="2">
    <w:p w14:paraId="4BAD33A3" w14:textId="6D10BF14" w:rsidR="001204F0" w:rsidRPr="003A0A09" w:rsidRDefault="001204F0" w:rsidP="003A0A09">
      <w:pPr>
        <w:pStyle w:val="FootnoteText"/>
        <w:spacing w:after="0"/>
      </w:pPr>
      <w:r>
        <w:rPr>
          <w:rStyle w:val="FootnoteReference"/>
        </w:rPr>
        <w:footnoteRef/>
      </w:r>
      <w:r>
        <w:tab/>
        <w:t>Les États membres pouvaient toutefois mettre en place des dispositions transitoires en ce qui concerne la libre circulation des travailleurs en provenance de Bulgarie et de Roumanie jusqu’à la fin de 2013.</w:t>
      </w:r>
    </w:p>
  </w:footnote>
  <w:footnote w:id="3">
    <w:p w14:paraId="1BD2FE8A" w14:textId="367F453F" w:rsidR="00DD5636" w:rsidRPr="003A0A09" w:rsidRDefault="00741D2F" w:rsidP="003A0A09">
      <w:pPr>
        <w:ind w:left="357" w:hanging="357"/>
        <w:rPr>
          <w:sz w:val="20"/>
        </w:rPr>
      </w:pPr>
      <w:r>
        <w:rPr>
          <w:rStyle w:val="FootnoteReference"/>
          <w:sz w:val="20"/>
        </w:rPr>
        <w:footnoteRef/>
      </w:r>
      <w:r>
        <w:tab/>
      </w:r>
      <w:r w:rsidRPr="00986A34">
        <w:rPr>
          <w:sz w:val="20"/>
        </w:rPr>
        <w:t>COM/2022/636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14FA9"/>
    <w:multiLevelType w:val="hybridMultilevel"/>
    <w:tmpl w:val="93803462"/>
    <w:lvl w:ilvl="0" w:tplc="EF4A8722">
      <w:start w:val="1"/>
      <w:numFmt w:val="decimal"/>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133428">
    <w:abstractNumId w:val="3"/>
  </w:num>
  <w:num w:numId="2" w16cid:durableId="831260155">
    <w:abstractNumId w:val="6"/>
  </w:num>
  <w:num w:numId="3" w16cid:durableId="1521164892">
    <w:abstractNumId w:val="12"/>
  </w:num>
  <w:num w:numId="4" w16cid:durableId="1480463418">
    <w:abstractNumId w:val="32"/>
  </w:num>
  <w:num w:numId="5" w16cid:durableId="1845198129">
    <w:abstractNumId w:val="27"/>
  </w:num>
  <w:num w:numId="6" w16cid:durableId="2133133543">
    <w:abstractNumId w:val="11"/>
  </w:num>
  <w:num w:numId="7" w16cid:durableId="1754431150">
    <w:abstractNumId w:val="30"/>
  </w:num>
  <w:num w:numId="8" w16cid:durableId="142279785">
    <w:abstractNumId w:val="23"/>
  </w:num>
  <w:num w:numId="9" w16cid:durableId="2142921826">
    <w:abstractNumId w:val="10"/>
  </w:num>
  <w:num w:numId="10" w16cid:durableId="1931811865">
    <w:abstractNumId w:val="4"/>
  </w:num>
  <w:num w:numId="11" w16cid:durableId="207499719">
    <w:abstractNumId w:val="31"/>
  </w:num>
  <w:num w:numId="12" w16cid:durableId="965701226">
    <w:abstractNumId w:val="5"/>
  </w:num>
  <w:num w:numId="13" w16cid:durableId="792334561">
    <w:abstractNumId w:val="20"/>
  </w:num>
  <w:num w:numId="14" w16cid:durableId="87046418">
    <w:abstractNumId w:val="28"/>
  </w:num>
  <w:num w:numId="15" w16cid:durableId="1359113550">
    <w:abstractNumId w:val="14"/>
  </w:num>
  <w:num w:numId="16" w16cid:durableId="1062555862">
    <w:abstractNumId w:val="1"/>
  </w:num>
  <w:num w:numId="17" w16cid:durableId="747045179">
    <w:abstractNumId w:val="21"/>
  </w:num>
  <w:num w:numId="18" w16cid:durableId="560138794">
    <w:abstractNumId w:val="19"/>
  </w:num>
  <w:num w:numId="19" w16cid:durableId="217326680">
    <w:abstractNumId w:val="33"/>
  </w:num>
  <w:num w:numId="20" w16cid:durableId="482820136">
    <w:abstractNumId w:val="2"/>
  </w:num>
  <w:num w:numId="21" w16cid:durableId="652418506">
    <w:abstractNumId w:val="34"/>
  </w:num>
  <w:num w:numId="22" w16cid:durableId="2070420722">
    <w:abstractNumId w:val="7"/>
  </w:num>
  <w:num w:numId="23" w16cid:durableId="1107890314">
    <w:abstractNumId w:val="0"/>
  </w:num>
  <w:num w:numId="24" w16cid:durableId="392199689">
    <w:abstractNumId w:val="16"/>
  </w:num>
  <w:num w:numId="25" w16cid:durableId="808206231">
    <w:abstractNumId w:val="8"/>
  </w:num>
  <w:num w:numId="26" w16cid:durableId="23404449">
    <w:abstractNumId w:val="17"/>
  </w:num>
  <w:num w:numId="27" w16cid:durableId="1471553167">
    <w:abstractNumId w:val="26"/>
  </w:num>
  <w:num w:numId="28" w16cid:durableId="579174098">
    <w:abstractNumId w:val="37"/>
  </w:num>
  <w:num w:numId="29" w16cid:durableId="2033459358">
    <w:abstractNumId w:val="29"/>
  </w:num>
  <w:num w:numId="30" w16cid:durableId="1501653963">
    <w:abstractNumId w:val="25"/>
  </w:num>
  <w:num w:numId="31" w16cid:durableId="1784418411">
    <w:abstractNumId w:val="36"/>
  </w:num>
  <w:num w:numId="32" w16cid:durableId="2123527597">
    <w:abstractNumId w:val="18"/>
  </w:num>
  <w:num w:numId="33" w16cid:durableId="1193374422">
    <w:abstractNumId w:val="13"/>
  </w:num>
  <w:num w:numId="34" w16cid:durableId="479344291">
    <w:abstractNumId w:val="15"/>
  </w:num>
  <w:num w:numId="35" w16cid:durableId="762727299">
    <w:abstractNumId w:val="35"/>
  </w:num>
  <w:num w:numId="36" w16cid:durableId="801582622">
    <w:abstractNumId w:val="24"/>
  </w:num>
  <w:num w:numId="37" w16cid:durableId="264047255">
    <w:abstractNumId w:val="9"/>
  </w:num>
  <w:num w:numId="38" w16cid:durableId="10544256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nl-NL" w:vendorID="64" w:dllVersion="6" w:nlCheck="1" w:checkStyle="0"/>
  <w:activeWritingStyle w:appName="MSWord" w:lang="fr-FR" w:vendorID="64" w:dllVersion="6"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35ED8"/>
    <w:rsid w:val="00000E45"/>
    <w:rsid w:val="00001C75"/>
    <w:rsid w:val="00002127"/>
    <w:rsid w:val="00002E5D"/>
    <w:rsid w:val="00003414"/>
    <w:rsid w:val="000067A5"/>
    <w:rsid w:val="000067BE"/>
    <w:rsid w:val="0000702D"/>
    <w:rsid w:val="000076B1"/>
    <w:rsid w:val="00010ACD"/>
    <w:rsid w:val="00011310"/>
    <w:rsid w:val="00011837"/>
    <w:rsid w:val="00014F9E"/>
    <w:rsid w:val="00015F97"/>
    <w:rsid w:val="00016503"/>
    <w:rsid w:val="00016D89"/>
    <w:rsid w:val="000179A8"/>
    <w:rsid w:val="00017EEB"/>
    <w:rsid w:val="00017F58"/>
    <w:rsid w:val="00020302"/>
    <w:rsid w:val="000206F8"/>
    <w:rsid w:val="000212EF"/>
    <w:rsid w:val="000216B0"/>
    <w:rsid w:val="00021B5A"/>
    <w:rsid w:val="00023D02"/>
    <w:rsid w:val="00023E92"/>
    <w:rsid w:val="00025D11"/>
    <w:rsid w:val="0002612B"/>
    <w:rsid w:val="00026E22"/>
    <w:rsid w:val="00026EFD"/>
    <w:rsid w:val="00026F42"/>
    <w:rsid w:val="000272E3"/>
    <w:rsid w:val="00032279"/>
    <w:rsid w:val="00034338"/>
    <w:rsid w:val="0003642E"/>
    <w:rsid w:val="000371E3"/>
    <w:rsid w:val="000404B8"/>
    <w:rsid w:val="00041B37"/>
    <w:rsid w:val="00045BF0"/>
    <w:rsid w:val="00046224"/>
    <w:rsid w:val="00052442"/>
    <w:rsid w:val="00052506"/>
    <w:rsid w:val="00053607"/>
    <w:rsid w:val="0005481B"/>
    <w:rsid w:val="00055079"/>
    <w:rsid w:val="00055096"/>
    <w:rsid w:val="00055589"/>
    <w:rsid w:val="000557D5"/>
    <w:rsid w:val="000577CD"/>
    <w:rsid w:val="00061954"/>
    <w:rsid w:val="0006264D"/>
    <w:rsid w:val="000626EC"/>
    <w:rsid w:val="00065320"/>
    <w:rsid w:val="00065724"/>
    <w:rsid w:val="00067828"/>
    <w:rsid w:val="000712EA"/>
    <w:rsid w:val="000718ED"/>
    <w:rsid w:val="0007573A"/>
    <w:rsid w:val="00076D8B"/>
    <w:rsid w:val="000810C3"/>
    <w:rsid w:val="00081F5A"/>
    <w:rsid w:val="000832AF"/>
    <w:rsid w:val="000835DC"/>
    <w:rsid w:val="000840F3"/>
    <w:rsid w:val="00084136"/>
    <w:rsid w:val="00087A63"/>
    <w:rsid w:val="00087AB4"/>
    <w:rsid w:val="0009387E"/>
    <w:rsid w:val="00093F2C"/>
    <w:rsid w:val="000953C9"/>
    <w:rsid w:val="000957C1"/>
    <w:rsid w:val="00096F3B"/>
    <w:rsid w:val="000A0207"/>
    <w:rsid w:val="000A2685"/>
    <w:rsid w:val="000A3724"/>
    <w:rsid w:val="000A4A12"/>
    <w:rsid w:val="000A5B46"/>
    <w:rsid w:val="000A636A"/>
    <w:rsid w:val="000B1035"/>
    <w:rsid w:val="000B1691"/>
    <w:rsid w:val="000B3275"/>
    <w:rsid w:val="000B4205"/>
    <w:rsid w:val="000C2FF5"/>
    <w:rsid w:val="000C5636"/>
    <w:rsid w:val="000C60D6"/>
    <w:rsid w:val="000C6946"/>
    <w:rsid w:val="000C6E27"/>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3935"/>
    <w:rsid w:val="001040F7"/>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4F0"/>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22AD"/>
    <w:rsid w:val="00156619"/>
    <w:rsid w:val="00157687"/>
    <w:rsid w:val="0016035E"/>
    <w:rsid w:val="001612DF"/>
    <w:rsid w:val="00164E15"/>
    <w:rsid w:val="001653DC"/>
    <w:rsid w:val="00165F24"/>
    <w:rsid w:val="0017144D"/>
    <w:rsid w:val="001739C1"/>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325B"/>
    <w:rsid w:val="00194104"/>
    <w:rsid w:val="001952A7"/>
    <w:rsid w:val="001952CB"/>
    <w:rsid w:val="001953FB"/>
    <w:rsid w:val="00195516"/>
    <w:rsid w:val="00195BB4"/>
    <w:rsid w:val="0019716A"/>
    <w:rsid w:val="00197C1D"/>
    <w:rsid w:val="001A295A"/>
    <w:rsid w:val="001A2C75"/>
    <w:rsid w:val="001A3A27"/>
    <w:rsid w:val="001A5F28"/>
    <w:rsid w:val="001A6761"/>
    <w:rsid w:val="001A7A13"/>
    <w:rsid w:val="001B1799"/>
    <w:rsid w:val="001B3239"/>
    <w:rsid w:val="001B3562"/>
    <w:rsid w:val="001B3CFA"/>
    <w:rsid w:val="001B477D"/>
    <w:rsid w:val="001B4F99"/>
    <w:rsid w:val="001B50B4"/>
    <w:rsid w:val="001B6C58"/>
    <w:rsid w:val="001B6EB1"/>
    <w:rsid w:val="001C0E24"/>
    <w:rsid w:val="001C7AA8"/>
    <w:rsid w:val="001D04C7"/>
    <w:rsid w:val="001D26B8"/>
    <w:rsid w:val="001D2B20"/>
    <w:rsid w:val="001D6416"/>
    <w:rsid w:val="001D65E0"/>
    <w:rsid w:val="001E1E30"/>
    <w:rsid w:val="001E216D"/>
    <w:rsid w:val="001E3B79"/>
    <w:rsid w:val="001E430C"/>
    <w:rsid w:val="001E53FF"/>
    <w:rsid w:val="001E59B8"/>
    <w:rsid w:val="001E60C0"/>
    <w:rsid w:val="001E64A0"/>
    <w:rsid w:val="001F0697"/>
    <w:rsid w:val="001F0BBE"/>
    <w:rsid w:val="001F1498"/>
    <w:rsid w:val="001F2CC8"/>
    <w:rsid w:val="001F3690"/>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78FA"/>
    <w:rsid w:val="0021178C"/>
    <w:rsid w:val="00216AEE"/>
    <w:rsid w:val="00220B4E"/>
    <w:rsid w:val="002219A6"/>
    <w:rsid w:val="00221C5C"/>
    <w:rsid w:val="00223D38"/>
    <w:rsid w:val="00225916"/>
    <w:rsid w:val="002318F2"/>
    <w:rsid w:val="00232488"/>
    <w:rsid w:val="002347A0"/>
    <w:rsid w:val="0023583E"/>
    <w:rsid w:val="00235B75"/>
    <w:rsid w:val="002360D9"/>
    <w:rsid w:val="0023647E"/>
    <w:rsid w:val="00240048"/>
    <w:rsid w:val="00241DEB"/>
    <w:rsid w:val="0024208F"/>
    <w:rsid w:val="00245DBC"/>
    <w:rsid w:val="0024709A"/>
    <w:rsid w:val="00247145"/>
    <w:rsid w:val="00247D08"/>
    <w:rsid w:val="00247E3D"/>
    <w:rsid w:val="00250F89"/>
    <w:rsid w:val="002523DA"/>
    <w:rsid w:val="002566EF"/>
    <w:rsid w:val="002576E0"/>
    <w:rsid w:val="00257975"/>
    <w:rsid w:val="00262F21"/>
    <w:rsid w:val="002631A7"/>
    <w:rsid w:val="00263D68"/>
    <w:rsid w:val="0026424D"/>
    <w:rsid w:val="00264BF5"/>
    <w:rsid w:val="002654F8"/>
    <w:rsid w:val="002706B7"/>
    <w:rsid w:val="002711BA"/>
    <w:rsid w:val="00271E2E"/>
    <w:rsid w:val="00272613"/>
    <w:rsid w:val="00276F5B"/>
    <w:rsid w:val="00285581"/>
    <w:rsid w:val="00286134"/>
    <w:rsid w:val="0029072A"/>
    <w:rsid w:val="00291A9B"/>
    <w:rsid w:val="00297A6F"/>
    <w:rsid w:val="002A02CF"/>
    <w:rsid w:val="002A095B"/>
    <w:rsid w:val="002A1869"/>
    <w:rsid w:val="002A2646"/>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00F6"/>
    <w:rsid w:val="002D1F6A"/>
    <w:rsid w:val="002D2B8E"/>
    <w:rsid w:val="002D5EF2"/>
    <w:rsid w:val="002E1418"/>
    <w:rsid w:val="002E190A"/>
    <w:rsid w:val="002E56A7"/>
    <w:rsid w:val="002E6296"/>
    <w:rsid w:val="002E777F"/>
    <w:rsid w:val="002E7F0A"/>
    <w:rsid w:val="002F2144"/>
    <w:rsid w:val="002F35B1"/>
    <w:rsid w:val="002F3C4F"/>
    <w:rsid w:val="002F7208"/>
    <w:rsid w:val="002F7976"/>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31238"/>
    <w:rsid w:val="003350A3"/>
    <w:rsid w:val="00335951"/>
    <w:rsid w:val="003362DC"/>
    <w:rsid w:val="00336317"/>
    <w:rsid w:val="003379C7"/>
    <w:rsid w:val="00342308"/>
    <w:rsid w:val="003424B9"/>
    <w:rsid w:val="00343894"/>
    <w:rsid w:val="00346439"/>
    <w:rsid w:val="0035007C"/>
    <w:rsid w:val="0035149E"/>
    <w:rsid w:val="00351503"/>
    <w:rsid w:val="00353C2E"/>
    <w:rsid w:val="00356506"/>
    <w:rsid w:val="003566B5"/>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6BF1"/>
    <w:rsid w:val="00390076"/>
    <w:rsid w:val="00390429"/>
    <w:rsid w:val="00391983"/>
    <w:rsid w:val="00391BEE"/>
    <w:rsid w:val="00393E7F"/>
    <w:rsid w:val="00394375"/>
    <w:rsid w:val="00394BAD"/>
    <w:rsid w:val="00395751"/>
    <w:rsid w:val="003A033C"/>
    <w:rsid w:val="003A0A09"/>
    <w:rsid w:val="003A1199"/>
    <w:rsid w:val="003A1A82"/>
    <w:rsid w:val="003A27E3"/>
    <w:rsid w:val="003A3D18"/>
    <w:rsid w:val="003A59B1"/>
    <w:rsid w:val="003A616A"/>
    <w:rsid w:val="003A63E7"/>
    <w:rsid w:val="003B184A"/>
    <w:rsid w:val="003B552D"/>
    <w:rsid w:val="003B55E4"/>
    <w:rsid w:val="003B6145"/>
    <w:rsid w:val="003C1995"/>
    <w:rsid w:val="003C1AB1"/>
    <w:rsid w:val="003C25A2"/>
    <w:rsid w:val="003C5DEE"/>
    <w:rsid w:val="003C6DA8"/>
    <w:rsid w:val="003C7591"/>
    <w:rsid w:val="003C77EC"/>
    <w:rsid w:val="003C7CCB"/>
    <w:rsid w:val="003C7D43"/>
    <w:rsid w:val="003D0488"/>
    <w:rsid w:val="003D23AD"/>
    <w:rsid w:val="003D2583"/>
    <w:rsid w:val="003D28EA"/>
    <w:rsid w:val="003D3CB3"/>
    <w:rsid w:val="003D3D6D"/>
    <w:rsid w:val="003D51FF"/>
    <w:rsid w:val="003D5B3C"/>
    <w:rsid w:val="003D6D9C"/>
    <w:rsid w:val="003D7D20"/>
    <w:rsid w:val="003E4886"/>
    <w:rsid w:val="003E4A3C"/>
    <w:rsid w:val="003E6FD7"/>
    <w:rsid w:val="003F01E8"/>
    <w:rsid w:val="003F0700"/>
    <w:rsid w:val="003F0CCF"/>
    <w:rsid w:val="003F14D9"/>
    <w:rsid w:val="003F4225"/>
    <w:rsid w:val="00401406"/>
    <w:rsid w:val="00401AE3"/>
    <w:rsid w:val="00402105"/>
    <w:rsid w:val="004022C6"/>
    <w:rsid w:val="004034C6"/>
    <w:rsid w:val="0040545B"/>
    <w:rsid w:val="00406310"/>
    <w:rsid w:val="00406359"/>
    <w:rsid w:val="004064AC"/>
    <w:rsid w:val="004068EE"/>
    <w:rsid w:val="00407049"/>
    <w:rsid w:val="0041261E"/>
    <w:rsid w:val="00416E3A"/>
    <w:rsid w:val="00417518"/>
    <w:rsid w:val="004201F6"/>
    <w:rsid w:val="004209B8"/>
    <w:rsid w:val="00422B13"/>
    <w:rsid w:val="004238D3"/>
    <w:rsid w:val="004247BB"/>
    <w:rsid w:val="00425B42"/>
    <w:rsid w:val="00425F0A"/>
    <w:rsid w:val="004304B6"/>
    <w:rsid w:val="00430AE0"/>
    <w:rsid w:val="00431DFE"/>
    <w:rsid w:val="00434436"/>
    <w:rsid w:val="00434678"/>
    <w:rsid w:val="004353F6"/>
    <w:rsid w:val="0043565D"/>
    <w:rsid w:val="00435B3B"/>
    <w:rsid w:val="00437D6C"/>
    <w:rsid w:val="00440609"/>
    <w:rsid w:val="00442283"/>
    <w:rsid w:val="00443292"/>
    <w:rsid w:val="004440DE"/>
    <w:rsid w:val="004513B3"/>
    <w:rsid w:val="004518F8"/>
    <w:rsid w:val="00452FE1"/>
    <w:rsid w:val="004532B9"/>
    <w:rsid w:val="004533DF"/>
    <w:rsid w:val="004551A1"/>
    <w:rsid w:val="00455DE2"/>
    <w:rsid w:val="004564C9"/>
    <w:rsid w:val="00460DF1"/>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D29"/>
    <w:rsid w:val="004F257D"/>
    <w:rsid w:val="004F29D8"/>
    <w:rsid w:val="004F6866"/>
    <w:rsid w:val="004F68BF"/>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7444"/>
    <w:rsid w:val="00527E4F"/>
    <w:rsid w:val="00532406"/>
    <w:rsid w:val="005334A9"/>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3B6C"/>
    <w:rsid w:val="00554DBA"/>
    <w:rsid w:val="00556757"/>
    <w:rsid w:val="00557659"/>
    <w:rsid w:val="005602F2"/>
    <w:rsid w:val="005610DA"/>
    <w:rsid w:val="005613C7"/>
    <w:rsid w:val="00561876"/>
    <w:rsid w:val="00566ED7"/>
    <w:rsid w:val="005675C4"/>
    <w:rsid w:val="005713F5"/>
    <w:rsid w:val="005714C1"/>
    <w:rsid w:val="005746E1"/>
    <w:rsid w:val="00576FC4"/>
    <w:rsid w:val="00580A32"/>
    <w:rsid w:val="005839BD"/>
    <w:rsid w:val="00585A96"/>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D5F"/>
    <w:rsid w:val="005B1FC7"/>
    <w:rsid w:val="005B67C4"/>
    <w:rsid w:val="005B7165"/>
    <w:rsid w:val="005C1583"/>
    <w:rsid w:val="005C54F0"/>
    <w:rsid w:val="005C6A02"/>
    <w:rsid w:val="005C6D63"/>
    <w:rsid w:val="005D1F63"/>
    <w:rsid w:val="005D6D94"/>
    <w:rsid w:val="005D6FE4"/>
    <w:rsid w:val="005E0D93"/>
    <w:rsid w:val="005E1960"/>
    <w:rsid w:val="005E1D91"/>
    <w:rsid w:val="005E2C34"/>
    <w:rsid w:val="005E3152"/>
    <w:rsid w:val="005E4581"/>
    <w:rsid w:val="005E534D"/>
    <w:rsid w:val="005E6EAF"/>
    <w:rsid w:val="005F0582"/>
    <w:rsid w:val="005F0778"/>
    <w:rsid w:val="005F088C"/>
    <w:rsid w:val="005F1E1E"/>
    <w:rsid w:val="005F2465"/>
    <w:rsid w:val="005F2744"/>
    <w:rsid w:val="005F2E7D"/>
    <w:rsid w:val="005F3A08"/>
    <w:rsid w:val="005F4127"/>
    <w:rsid w:val="005F4822"/>
    <w:rsid w:val="005F644B"/>
    <w:rsid w:val="005F7643"/>
    <w:rsid w:val="005F79FB"/>
    <w:rsid w:val="00600B5B"/>
    <w:rsid w:val="00602F7B"/>
    <w:rsid w:val="00602FFD"/>
    <w:rsid w:val="00603199"/>
    <w:rsid w:val="006035C1"/>
    <w:rsid w:val="00605751"/>
    <w:rsid w:val="00605E2B"/>
    <w:rsid w:val="00606568"/>
    <w:rsid w:val="00612398"/>
    <w:rsid w:val="006130F5"/>
    <w:rsid w:val="006134A0"/>
    <w:rsid w:val="0061417E"/>
    <w:rsid w:val="0061419A"/>
    <w:rsid w:val="00614FB9"/>
    <w:rsid w:val="006150FB"/>
    <w:rsid w:val="006152A1"/>
    <w:rsid w:val="00615F94"/>
    <w:rsid w:val="00616618"/>
    <w:rsid w:val="00616C77"/>
    <w:rsid w:val="0062075A"/>
    <w:rsid w:val="00621D5D"/>
    <w:rsid w:val="00623433"/>
    <w:rsid w:val="00623585"/>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F34"/>
    <w:rsid w:val="00656CFA"/>
    <w:rsid w:val="00660761"/>
    <w:rsid w:val="006610E2"/>
    <w:rsid w:val="00661505"/>
    <w:rsid w:val="006635DB"/>
    <w:rsid w:val="006640E8"/>
    <w:rsid w:val="00666738"/>
    <w:rsid w:val="006669AF"/>
    <w:rsid w:val="006678E0"/>
    <w:rsid w:val="006714F3"/>
    <w:rsid w:val="0067260F"/>
    <w:rsid w:val="006765A0"/>
    <w:rsid w:val="006809A7"/>
    <w:rsid w:val="00682D50"/>
    <w:rsid w:val="0068396B"/>
    <w:rsid w:val="00683FF3"/>
    <w:rsid w:val="006869DB"/>
    <w:rsid w:val="00686F21"/>
    <w:rsid w:val="00687B56"/>
    <w:rsid w:val="00690A17"/>
    <w:rsid w:val="00692AD7"/>
    <w:rsid w:val="006957A3"/>
    <w:rsid w:val="00696C8A"/>
    <w:rsid w:val="00696F22"/>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70D0"/>
    <w:rsid w:val="006C7CE1"/>
    <w:rsid w:val="006D03D1"/>
    <w:rsid w:val="006D0602"/>
    <w:rsid w:val="006D129F"/>
    <w:rsid w:val="006D18A6"/>
    <w:rsid w:val="006D1FB5"/>
    <w:rsid w:val="006D4C90"/>
    <w:rsid w:val="006D5098"/>
    <w:rsid w:val="006D54F2"/>
    <w:rsid w:val="006D5903"/>
    <w:rsid w:val="006D59DC"/>
    <w:rsid w:val="006D5E46"/>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4BDB"/>
    <w:rsid w:val="00714C30"/>
    <w:rsid w:val="007156EA"/>
    <w:rsid w:val="00715A28"/>
    <w:rsid w:val="00715B0B"/>
    <w:rsid w:val="00715D4E"/>
    <w:rsid w:val="0071683A"/>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4C63"/>
    <w:rsid w:val="00735ED1"/>
    <w:rsid w:val="00740147"/>
    <w:rsid w:val="0074022E"/>
    <w:rsid w:val="007403F5"/>
    <w:rsid w:val="00740ECE"/>
    <w:rsid w:val="0074184E"/>
    <w:rsid w:val="00741B72"/>
    <w:rsid w:val="00741D2F"/>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41FC"/>
    <w:rsid w:val="007655B9"/>
    <w:rsid w:val="00765A4A"/>
    <w:rsid w:val="00766A15"/>
    <w:rsid w:val="0076779A"/>
    <w:rsid w:val="0076785A"/>
    <w:rsid w:val="0077275E"/>
    <w:rsid w:val="007732D6"/>
    <w:rsid w:val="0077371F"/>
    <w:rsid w:val="00773A94"/>
    <w:rsid w:val="00773EF1"/>
    <w:rsid w:val="0077475E"/>
    <w:rsid w:val="007751DA"/>
    <w:rsid w:val="007752D7"/>
    <w:rsid w:val="00777847"/>
    <w:rsid w:val="007805B3"/>
    <w:rsid w:val="00782FF5"/>
    <w:rsid w:val="007833DC"/>
    <w:rsid w:val="00783CA0"/>
    <w:rsid w:val="00784878"/>
    <w:rsid w:val="007859CD"/>
    <w:rsid w:val="00785A0C"/>
    <w:rsid w:val="00790968"/>
    <w:rsid w:val="00791DF1"/>
    <w:rsid w:val="00793690"/>
    <w:rsid w:val="00794C8E"/>
    <w:rsid w:val="00795091"/>
    <w:rsid w:val="00795172"/>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23AB"/>
    <w:rsid w:val="007D26A4"/>
    <w:rsid w:val="007D33AD"/>
    <w:rsid w:val="007D5A06"/>
    <w:rsid w:val="007D5FC6"/>
    <w:rsid w:val="007D6810"/>
    <w:rsid w:val="007D7538"/>
    <w:rsid w:val="007E1FFC"/>
    <w:rsid w:val="007E36DC"/>
    <w:rsid w:val="007E3EEE"/>
    <w:rsid w:val="007E4CC3"/>
    <w:rsid w:val="007E53A6"/>
    <w:rsid w:val="007E5C0E"/>
    <w:rsid w:val="007E649E"/>
    <w:rsid w:val="007F0743"/>
    <w:rsid w:val="007F1968"/>
    <w:rsid w:val="007F26D1"/>
    <w:rsid w:val="007F2B7A"/>
    <w:rsid w:val="007F2FA0"/>
    <w:rsid w:val="007F4F7D"/>
    <w:rsid w:val="007F60D7"/>
    <w:rsid w:val="00800BDB"/>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63B6"/>
    <w:rsid w:val="00827607"/>
    <w:rsid w:val="008277F4"/>
    <w:rsid w:val="0083088E"/>
    <w:rsid w:val="00830991"/>
    <w:rsid w:val="00830AA5"/>
    <w:rsid w:val="00830BAE"/>
    <w:rsid w:val="00831B13"/>
    <w:rsid w:val="0083309D"/>
    <w:rsid w:val="00833204"/>
    <w:rsid w:val="00833E91"/>
    <w:rsid w:val="00837721"/>
    <w:rsid w:val="00837EFB"/>
    <w:rsid w:val="008415A8"/>
    <w:rsid w:val="0084295B"/>
    <w:rsid w:val="0084581D"/>
    <w:rsid w:val="00847366"/>
    <w:rsid w:val="00850630"/>
    <w:rsid w:val="0085309F"/>
    <w:rsid w:val="00853203"/>
    <w:rsid w:val="0085402F"/>
    <w:rsid w:val="008558CE"/>
    <w:rsid w:val="0086008F"/>
    <w:rsid w:val="00862E1A"/>
    <w:rsid w:val="008630A9"/>
    <w:rsid w:val="00864F99"/>
    <w:rsid w:val="00865298"/>
    <w:rsid w:val="00866A18"/>
    <w:rsid w:val="00866CE9"/>
    <w:rsid w:val="00867891"/>
    <w:rsid w:val="00870A6E"/>
    <w:rsid w:val="00871701"/>
    <w:rsid w:val="008727CC"/>
    <w:rsid w:val="0087448C"/>
    <w:rsid w:val="00874E4D"/>
    <w:rsid w:val="008762C3"/>
    <w:rsid w:val="00876325"/>
    <w:rsid w:val="008769CE"/>
    <w:rsid w:val="00880D8C"/>
    <w:rsid w:val="00882739"/>
    <w:rsid w:val="008868D6"/>
    <w:rsid w:val="008874A1"/>
    <w:rsid w:val="00887DDD"/>
    <w:rsid w:val="00890A20"/>
    <w:rsid w:val="00892AD6"/>
    <w:rsid w:val="00892F03"/>
    <w:rsid w:val="0089317B"/>
    <w:rsid w:val="0089417D"/>
    <w:rsid w:val="00894189"/>
    <w:rsid w:val="008948C2"/>
    <w:rsid w:val="00894EAE"/>
    <w:rsid w:val="00895599"/>
    <w:rsid w:val="00895633"/>
    <w:rsid w:val="008A065C"/>
    <w:rsid w:val="008A1A0C"/>
    <w:rsid w:val="008A216A"/>
    <w:rsid w:val="008A2176"/>
    <w:rsid w:val="008A3824"/>
    <w:rsid w:val="008A451D"/>
    <w:rsid w:val="008A464F"/>
    <w:rsid w:val="008A4DE6"/>
    <w:rsid w:val="008A5969"/>
    <w:rsid w:val="008A5AFE"/>
    <w:rsid w:val="008A60A1"/>
    <w:rsid w:val="008A6703"/>
    <w:rsid w:val="008A7747"/>
    <w:rsid w:val="008A7A84"/>
    <w:rsid w:val="008B08A4"/>
    <w:rsid w:val="008B4DB5"/>
    <w:rsid w:val="008B5D70"/>
    <w:rsid w:val="008B614F"/>
    <w:rsid w:val="008B7AD8"/>
    <w:rsid w:val="008C0DC5"/>
    <w:rsid w:val="008C1FDD"/>
    <w:rsid w:val="008C2C5F"/>
    <w:rsid w:val="008C4AA4"/>
    <w:rsid w:val="008C6676"/>
    <w:rsid w:val="008C6CE9"/>
    <w:rsid w:val="008C71BA"/>
    <w:rsid w:val="008D2E03"/>
    <w:rsid w:val="008D35E8"/>
    <w:rsid w:val="008E14C6"/>
    <w:rsid w:val="008E1CEF"/>
    <w:rsid w:val="008E29E4"/>
    <w:rsid w:val="008E4B5B"/>
    <w:rsid w:val="008E75F7"/>
    <w:rsid w:val="008F2389"/>
    <w:rsid w:val="008F503E"/>
    <w:rsid w:val="008F73DD"/>
    <w:rsid w:val="00900408"/>
    <w:rsid w:val="0090155F"/>
    <w:rsid w:val="00901CA8"/>
    <w:rsid w:val="0090401E"/>
    <w:rsid w:val="00904C46"/>
    <w:rsid w:val="00906C9D"/>
    <w:rsid w:val="0090729B"/>
    <w:rsid w:val="0091130F"/>
    <w:rsid w:val="0091219B"/>
    <w:rsid w:val="009124EA"/>
    <w:rsid w:val="00912B0A"/>
    <w:rsid w:val="00914472"/>
    <w:rsid w:val="00914855"/>
    <w:rsid w:val="009149D3"/>
    <w:rsid w:val="00914C06"/>
    <w:rsid w:val="0091647F"/>
    <w:rsid w:val="00920B5E"/>
    <w:rsid w:val="00922992"/>
    <w:rsid w:val="00922A4E"/>
    <w:rsid w:val="00922C1C"/>
    <w:rsid w:val="00923C83"/>
    <w:rsid w:val="009245D8"/>
    <w:rsid w:val="00925AEE"/>
    <w:rsid w:val="0092754A"/>
    <w:rsid w:val="00930517"/>
    <w:rsid w:val="0093057B"/>
    <w:rsid w:val="009319CF"/>
    <w:rsid w:val="00932F5F"/>
    <w:rsid w:val="0093322E"/>
    <w:rsid w:val="00933312"/>
    <w:rsid w:val="00934650"/>
    <w:rsid w:val="009348C1"/>
    <w:rsid w:val="00934D7B"/>
    <w:rsid w:val="00935ED8"/>
    <w:rsid w:val="00940133"/>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C"/>
    <w:rsid w:val="009674BE"/>
    <w:rsid w:val="00967576"/>
    <w:rsid w:val="00970182"/>
    <w:rsid w:val="009703A1"/>
    <w:rsid w:val="009716F8"/>
    <w:rsid w:val="0097463E"/>
    <w:rsid w:val="00974D5C"/>
    <w:rsid w:val="00975B7E"/>
    <w:rsid w:val="0097720A"/>
    <w:rsid w:val="0097799B"/>
    <w:rsid w:val="0098014E"/>
    <w:rsid w:val="00982190"/>
    <w:rsid w:val="00986A34"/>
    <w:rsid w:val="00990A8B"/>
    <w:rsid w:val="00990B4B"/>
    <w:rsid w:val="0099139C"/>
    <w:rsid w:val="0099148A"/>
    <w:rsid w:val="00992253"/>
    <w:rsid w:val="00995361"/>
    <w:rsid w:val="00995AE6"/>
    <w:rsid w:val="00995B05"/>
    <w:rsid w:val="0099667E"/>
    <w:rsid w:val="00996CA0"/>
    <w:rsid w:val="00997D2F"/>
    <w:rsid w:val="009A27A0"/>
    <w:rsid w:val="009A292B"/>
    <w:rsid w:val="009A3050"/>
    <w:rsid w:val="009A334F"/>
    <w:rsid w:val="009A38C9"/>
    <w:rsid w:val="009A45E5"/>
    <w:rsid w:val="009A4C2A"/>
    <w:rsid w:val="009A7C5B"/>
    <w:rsid w:val="009B13AE"/>
    <w:rsid w:val="009B1FF1"/>
    <w:rsid w:val="009B4DAF"/>
    <w:rsid w:val="009B5328"/>
    <w:rsid w:val="009B6E74"/>
    <w:rsid w:val="009C102D"/>
    <w:rsid w:val="009C227B"/>
    <w:rsid w:val="009C581F"/>
    <w:rsid w:val="009C7C13"/>
    <w:rsid w:val="009D19F7"/>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401"/>
    <w:rsid w:val="009F36CF"/>
    <w:rsid w:val="009F3976"/>
    <w:rsid w:val="009F52C3"/>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46D5"/>
    <w:rsid w:val="00A24987"/>
    <w:rsid w:val="00A25564"/>
    <w:rsid w:val="00A26785"/>
    <w:rsid w:val="00A31044"/>
    <w:rsid w:val="00A313AD"/>
    <w:rsid w:val="00A320B1"/>
    <w:rsid w:val="00A427C7"/>
    <w:rsid w:val="00A44C06"/>
    <w:rsid w:val="00A45962"/>
    <w:rsid w:val="00A46C12"/>
    <w:rsid w:val="00A522DE"/>
    <w:rsid w:val="00A5267A"/>
    <w:rsid w:val="00A52C83"/>
    <w:rsid w:val="00A5389A"/>
    <w:rsid w:val="00A54E6E"/>
    <w:rsid w:val="00A555B6"/>
    <w:rsid w:val="00A55611"/>
    <w:rsid w:val="00A55731"/>
    <w:rsid w:val="00A56D81"/>
    <w:rsid w:val="00A60513"/>
    <w:rsid w:val="00A60655"/>
    <w:rsid w:val="00A61FB1"/>
    <w:rsid w:val="00A638A4"/>
    <w:rsid w:val="00A64E90"/>
    <w:rsid w:val="00A6605B"/>
    <w:rsid w:val="00A6669A"/>
    <w:rsid w:val="00A67C72"/>
    <w:rsid w:val="00A67E25"/>
    <w:rsid w:val="00A70CE1"/>
    <w:rsid w:val="00A7216C"/>
    <w:rsid w:val="00A76C9B"/>
    <w:rsid w:val="00A77021"/>
    <w:rsid w:val="00A8048D"/>
    <w:rsid w:val="00A842B1"/>
    <w:rsid w:val="00A86C93"/>
    <w:rsid w:val="00A904DB"/>
    <w:rsid w:val="00A90F77"/>
    <w:rsid w:val="00A93D35"/>
    <w:rsid w:val="00AA4C3C"/>
    <w:rsid w:val="00AA5BB7"/>
    <w:rsid w:val="00AB015D"/>
    <w:rsid w:val="00AB081F"/>
    <w:rsid w:val="00AB0B43"/>
    <w:rsid w:val="00AB0D4C"/>
    <w:rsid w:val="00AB2A2B"/>
    <w:rsid w:val="00AB3592"/>
    <w:rsid w:val="00AB4AC9"/>
    <w:rsid w:val="00AB5DD7"/>
    <w:rsid w:val="00AB67E8"/>
    <w:rsid w:val="00AC06F0"/>
    <w:rsid w:val="00AC338E"/>
    <w:rsid w:val="00AC35EA"/>
    <w:rsid w:val="00AC4629"/>
    <w:rsid w:val="00AC4DEB"/>
    <w:rsid w:val="00AC5B49"/>
    <w:rsid w:val="00AC67B4"/>
    <w:rsid w:val="00AC7032"/>
    <w:rsid w:val="00AC76AF"/>
    <w:rsid w:val="00AD1298"/>
    <w:rsid w:val="00AD2A8B"/>
    <w:rsid w:val="00AD312B"/>
    <w:rsid w:val="00AD4875"/>
    <w:rsid w:val="00AD65E1"/>
    <w:rsid w:val="00AD692C"/>
    <w:rsid w:val="00AE0367"/>
    <w:rsid w:val="00AE0541"/>
    <w:rsid w:val="00AE0A2E"/>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7A74"/>
    <w:rsid w:val="00B01764"/>
    <w:rsid w:val="00B01C12"/>
    <w:rsid w:val="00B02D79"/>
    <w:rsid w:val="00B02E0C"/>
    <w:rsid w:val="00B060D8"/>
    <w:rsid w:val="00B075A0"/>
    <w:rsid w:val="00B0775A"/>
    <w:rsid w:val="00B10F21"/>
    <w:rsid w:val="00B1361C"/>
    <w:rsid w:val="00B13AB8"/>
    <w:rsid w:val="00B144EF"/>
    <w:rsid w:val="00B14608"/>
    <w:rsid w:val="00B15786"/>
    <w:rsid w:val="00B15CA1"/>
    <w:rsid w:val="00B15F5B"/>
    <w:rsid w:val="00B16E4D"/>
    <w:rsid w:val="00B2121A"/>
    <w:rsid w:val="00B2212A"/>
    <w:rsid w:val="00B22470"/>
    <w:rsid w:val="00B25073"/>
    <w:rsid w:val="00B2607A"/>
    <w:rsid w:val="00B2670F"/>
    <w:rsid w:val="00B27DB2"/>
    <w:rsid w:val="00B36884"/>
    <w:rsid w:val="00B4008D"/>
    <w:rsid w:val="00B4166B"/>
    <w:rsid w:val="00B42C84"/>
    <w:rsid w:val="00B43EA5"/>
    <w:rsid w:val="00B44FE0"/>
    <w:rsid w:val="00B45DDF"/>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270E"/>
    <w:rsid w:val="00B82CF0"/>
    <w:rsid w:val="00B82F50"/>
    <w:rsid w:val="00B83DCA"/>
    <w:rsid w:val="00B847E1"/>
    <w:rsid w:val="00B85D72"/>
    <w:rsid w:val="00B914EC"/>
    <w:rsid w:val="00B92B36"/>
    <w:rsid w:val="00B92E5B"/>
    <w:rsid w:val="00B9440E"/>
    <w:rsid w:val="00B958B4"/>
    <w:rsid w:val="00B95ABC"/>
    <w:rsid w:val="00B96997"/>
    <w:rsid w:val="00B96CA6"/>
    <w:rsid w:val="00BA0905"/>
    <w:rsid w:val="00BA0CDB"/>
    <w:rsid w:val="00BA2834"/>
    <w:rsid w:val="00BA5125"/>
    <w:rsid w:val="00BA5218"/>
    <w:rsid w:val="00BA55A7"/>
    <w:rsid w:val="00BB002A"/>
    <w:rsid w:val="00BB01FA"/>
    <w:rsid w:val="00BB035D"/>
    <w:rsid w:val="00BB067D"/>
    <w:rsid w:val="00BB1F55"/>
    <w:rsid w:val="00BB2850"/>
    <w:rsid w:val="00BB2B42"/>
    <w:rsid w:val="00BB387D"/>
    <w:rsid w:val="00BB3C09"/>
    <w:rsid w:val="00BB696E"/>
    <w:rsid w:val="00BB71EB"/>
    <w:rsid w:val="00BC11B0"/>
    <w:rsid w:val="00BC1C4D"/>
    <w:rsid w:val="00BC33E9"/>
    <w:rsid w:val="00BC4E22"/>
    <w:rsid w:val="00BC6D12"/>
    <w:rsid w:val="00BC7266"/>
    <w:rsid w:val="00BD0ADA"/>
    <w:rsid w:val="00BD134F"/>
    <w:rsid w:val="00BD1AC6"/>
    <w:rsid w:val="00BD1D8A"/>
    <w:rsid w:val="00BD2E67"/>
    <w:rsid w:val="00BD33C0"/>
    <w:rsid w:val="00BD3C0E"/>
    <w:rsid w:val="00BD3EEB"/>
    <w:rsid w:val="00BD3F32"/>
    <w:rsid w:val="00BD47A1"/>
    <w:rsid w:val="00BD532C"/>
    <w:rsid w:val="00BD7DC7"/>
    <w:rsid w:val="00BE0CB3"/>
    <w:rsid w:val="00BE0F1E"/>
    <w:rsid w:val="00BE46A9"/>
    <w:rsid w:val="00BE5255"/>
    <w:rsid w:val="00BE53A3"/>
    <w:rsid w:val="00BE576E"/>
    <w:rsid w:val="00BE59E1"/>
    <w:rsid w:val="00BF1137"/>
    <w:rsid w:val="00BF200D"/>
    <w:rsid w:val="00BF2364"/>
    <w:rsid w:val="00BF25D3"/>
    <w:rsid w:val="00BF39F0"/>
    <w:rsid w:val="00BF431A"/>
    <w:rsid w:val="00BF4648"/>
    <w:rsid w:val="00BF51E4"/>
    <w:rsid w:val="00BF5E57"/>
    <w:rsid w:val="00C00553"/>
    <w:rsid w:val="00C01311"/>
    <w:rsid w:val="00C07B70"/>
    <w:rsid w:val="00C10B8E"/>
    <w:rsid w:val="00C1341F"/>
    <w:rsid w:val="00C158E8"/>
    <w:rsid w:val="00C15919"/>
    <w:rsid w:val="00C16175"/>
    <w:rsid w:val="00C16863"/>
    <w:rsid w:val="00C20365"/>
    <w:rsid w:val="00C2099F"/>
    <w:rsid w:val="00C20C27"/>
    <w:rsid w:val="00C22810"/>
    <w:rsid w:val="00C22D03"/>
    <w:rsid w:val="00C25C2C"/>
    <w:rsid w:val="00C269B7"/>
    <w:rsid w:val="00C3118E"/>
    <w:rsid w:val="00C35A1E"/>
    <w:rsid w:val="00C36A94"/>
    <w:rsid w:val="00C37478"/>
    <w:rsid w:val="00C4000A"/>
    <w:rsid w:val="00C40971"/>
    <w:rsid w:val="00C4327A"/>
    <w:rsid w:val="00C44573"/>
    <w:rsid w:val="00C44E52"/>
    <w:rsid w:val="00C45897"/>
    <w:rsid w:val="00C4755F"/>
    <w:rsid w:val="00C479EC"/>
    <w:rsid w:val="00C47CF4"/>
    <w:rsid w:val="00C507BE"/>
    <w:rsid w:val="00C50E9A"/>
    <w:rsid w:val="00C528CC"/>
    <w:rsid w:val="00C52B92"/>
    <w:rsid w:val="00C55340"/>
    <w:rsid w:val="00C572FF"/>
    <w:rsid w:val="00C60DCB"/>
    <w:rsid w:val="00C61C47"/>
    <w:rsid w:val="00C6361A"/>
    <w:rsid w:val="00C64277"/>
    <w:rsid w:val="00C664BD"/>
    <w:rsid w:val="00C66D57"/>
    <w:rsid w:val="00C71928"/>
    <w:rsid w:val="00C71B1A"/>
    <w:rsid w:val="00C71C35"/>
    <w:rsid w:val="00C71F57"/>
    <w:rsid w:val="00C73D57"/>
    <w:rsid w:val="00C75120"/>
    <w:rsid w:val="00C76640"/>
    <w:rsid w:val="00C76E10"/>
    <w:rsid w:val="00C8228B"/>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7167"/>
    <w:rsid w:val="00CB0BA7"/>
    <w:rsid w:val="00CB0DF1"/>
    <w:rsid w:val="00CB1814"/>
    <w:rsid w:val="00CB273A"/>
    <w:rsid w:val="00CB58EE"/>
    <w:rsid w:val="00CB5CB8"/>
    <w:rsid w:val="00CB6A82"/>
    <w:rsid w:val="00CB6BD6"/>
    <w:rsid w:val="00CB7537"/>
    <w:rsid w:val="00CC18F6"/>
    <w:rsid w:val="00CC1ED9"/>
    <w:rsid w:val="00CC3095"/>
    <w:rsid w:val="00CC33E8"/>
    <w:rsid w:val="00CC345E"/>
    <w:rsid w:val="00CC396E"/>
    <w:rsid w:val="00CC5CD5"/>
    <w:rsid w:val="00CC780D"/>
    <w:rsid w:val="00CC78D0"/>
    <w:rsid w:val="00CD0282"/>
    <w:rsid w:val="00CD07CB"/>
    <w:rsid w:val="00CD11D4"/>
    <w:rsid w:val="00CD1B67"/>
    <w:rsid w:val="00CD1BF8"/>
    <w:rsid w:val="00CD224B"/>
    <w:rsid w:val="00CD62A2"/>
    <w:rsid w:val="00CD68C4"/>
    <w:rsid w:val="00CD6E84"/>
    <w:rsid w:val="00CE3BEF"/>
    <w:rsid w:val="00CE4BF9"/>
    <w:rsid w:val="00CE6628"/>
    <w:rsid w:val="00CE7C59"/>
    <w:rsid w:val="00CF05A8"/>
    <w:rsid w:val="00CF0AB3"/>
    <w:rsid w:val="00CF1394"/>
    <w:rsid w:val="00CF4E4F"/>
    <w:rsid w:val="00CF745C"/>
    <w:rsid w:val="00D016C1"/>
    <w:rsid w:val="00D027A8"/>
    <w:rsid w:val="00D03CE8"/>
    <w:rsid w:val="00D05BDA"/>
    <w:rsid w:val="00D107F5"/>
    <w:rsid w:val="00D13DCD"/>
    <w:rsid w:val="00D143EF"/>
    <w:rsid w:val="00D14C62"/>
    <w:rsid w:val="00D1691C"/>
    <w:rsid w:val="00D171CC"/>
    <w:rsid w:val="00D17888"/>
    <w:rsid w:val="00D17961"/>
    <w:rsid w:val="00D2136E"/>
    <w:rsid w:val="00D22119"/>
    <w:rsid w:val="00D2764B"/>
    <w:rsid w:val="00D27F29"/>
    <w:rsid w:val="00D30F76"/>
    <w:rsid w:val="00D3155B"/>
    <w:rsid w:val="00D35CF1"/>
    <w:rsid w:val="00D36D6C"/>
    <w:rsid w:val="00D4062E"/>
    <w:rsid w:val="00D412CD"/>
    <w:rsid w:val="00D41357"/>
    <w:rsid w:val="00D42DEF"/>
    <w:rsid w:val="00D44AA8"/>
    <w:rsid w:val="00D452EC"/>
    <w:rsid w:val="00D474D7"/>
    <w:rsid w:val="00D47FCA"/>
    <w:rsid w:val="00D5056B"/>
    <w:rsid w:val="00D514EF"/>
    <w:rsid w:val="00D53BB8"/>
    <w:rsid w:val="00D54CB9"/>
    <w:rsid w:val="00D5564F"/>
    <w:rsid w:val="00D559A7"/>
    <w:rsid w:val="00D56A8E"/>
    <w:rsid w:val="00D60921"/>
    <w:rsid w:val="00D64256"/>
    <w:rsid w:val="00D64E92"/>
    <w:rsid w:val="00D66140"/>
    <w:rsid w:val="00D67094"/>
    <w:rsid w:val="00D710FC"/>
    <w:rsid w:val="00D71146"/>
    <w:rsid w:val="00D725EE"/>
    <w:rsid w:val="00D74FE0"/>
    <w:rsid w:val="00D752D0"/>
    <w:rsid w:val="00D774A4"/>
    <w:rsid w:val="00D824A0"/>
    <w:rsid w:val="00D8452A"/>
    <w:rsid w:val="00D85A01"/>
    <w:rsid w:val="00D908F6"/>
    <w:rsid w:val="00D948B0"/>
    <w:rsid w:val="00D95581"/>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5A4E"/>
    <w:rsid w:val="00DC5EBD"/>
    <w:rsid w:val="00DC5FA1"/>
    <w:rsid w:val="00DC709B"/>
    <w:rsid w:val="00DC7CCF"/>
    <w:rsid w:val="00DD1725"/>
    <w:rsid w:val="00DD191F"/>
    <w:rsid w:val="00DD1B39"/>
    <w:rsid w:val="00DD2B7C"/>
    <w:rsid w:val="00DD3D8B"/>
    <w:rsid w:val="00DD49D0"/>
    <w:rsid w:val="00DD55F8"/>
    <w:rsid w:val="00DD5636"/>
    <w:rsid w:val="00DD5AFE"/>
    <w:rsid w:val="00DE1563"/>
    <w:rsid w:val="00DE696D"/>
    <w:rsid w:val="00DE762C"/>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266D"/>
    <w:rsid w:val="00E1396C"/>
    <w:rsid w:val="00E15286"/>
    <w:rsid w:val="00E15F76"/>
    <w:rsid w:val="00E17411"/>
    <w:rsid w:val="00E21025"/>
    <w:rsid w:val="00E260B7"/>
    <w:rsid w:val="00E26A29"/>
    <w:rsid w:val="00E27A30"/>
    <w:rsid w:val="00E3344C"/>
    <w:rsid w:val="00E339A1"/>
    <w:rsid w:val="00E34040"/>
    <w:rsid w:val="00E3635F"/>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1B6E"/>
    <w:rsid w:val="00E65FB5"/>
    <w:rsid w:val="00E6673F"/>
    <w:rsid w:val="00E66A76"/>
    <w:rsid w:val="00E66DAB"/>
    <w:rsid w:val="00E67BAA"/>
    <w:rsid w:val="00E72767"/>
    <w:rsid w:val="00E73D34"/>
    <w:rsid w:val="00E74D19"/>
    <w:rsid w:val="00E75009"/>
    <w:rsid w:val="00E751AF"/>
    <w:rsid w:val="00E752BB"/>
    <w:rsid w:val="00E75C24"/>
    <w:rsid w:val="00E83411"/>
    <w:rsid w:val="00E86601"/>
    <w:rsid w:val="00E87F48"/>
    <w:rsid w:val="00E87FDC"/>
    <w:rsid w:val="00E906A2"/>
    <w:rsid w:val="00E92759"/>
    <w:rsid w:val="00E93D63"/>
    <w:rsid w:val="00E93FD7"/>
    <w:rsid w:val="00EA022C"/>
    <w:rsid w:val="00EA38F2"/>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E31CA"/>
    <w:rsid w:val="00EE3656"/>
    <w:rsid w:val="00EE3814"/>
    <w:rsid w:val="00EE3B00"/>
    <w:rsid w:val="00EE4ECA"/>
    <w:rsid w:val="00EE5867"/>
    <w:rsid w:val="00EE5D74"/>
    <w:rsid w:val="00EE5F58"/>
    <w:rsid w:val="00EE64E6"/>
    <w:rsid w:val="00EE6CBB"/>
    <w:rsid w:val="00EE6D01"/>
    <w:rsid w:val="00EF3556"/>
    <w:rsid w:val="00EF63C8"/>
    <w:rsid w:val="00F01442"/>
    <w:rsid w:val="00F01881"/>
    <w:rsid w:val="00F018BC"/>
    <w:rsid w:val="00F01E32"/>
    <w:rsid w:val="00F03074"/>
    <w:rsid w:val="00F11F70"/>
    <w:rsid w:val="00F1270E"/>
    <w:rsid w:val="00F1364A"/>
    <w:rsid w:val="00F14F20"/>
    <w:rsid w:val="00F15B4C"/>
    <w:rsid w:val="00F21156"/>
    <w:rsid w:val="00F249BF"/>
    <w:rsid w:val="00F25852"/>
    <w:rsid w:val="00F260E7"/>
    <w:rsid w:val="00F2710E"/>
    <w:rsid w:val="00F27E85"/>
    <w:rsid w:val="00F300FD"/>
    <w:rsid w:val="00F3021A"/>
    <w:rsid w:val="00F31F16"/>
    <w:rsid w:val="00F33C40"/>
    <w:rsid w:val="00F33EB3"/>
    <w:rsid w:val="00F345A4"/>
    <w:rsid w:val="00F359B9"/>
    <w:rsid w:val="00F37795"/>
    <w:rsid w:val="00F377D0"/>
    <w:rsid w:val="00F40138"/>
    <w:rsid w:val="00F40572"/>
    <w:rsid w:val="00F4074E"/>
    <w:rsid w:val="00F41454"/>
    <w:rsid w:val="00F42D18"/>
    <w:rsid w:val="00F449C8"/>
    <w:rsid w:val="00F47287"/>
    <w:rsid w:val="00F47CCF"/>
    <w:rsid w:val="00F5091F"/>
    <w:rsid w:val="00F50BDC"/>
    <w:rsid w:val="00F54266"/>
    <w:rsid w:val="00F554F1"/>
    <w:rsid w:val="00F56643"/>
    <w:rsid w:val="00F5726B"/>
    <w:rsid w:val="00F575BE"/>
    <w:rsid w:val="00F60BA3"/>
    <w:rsid w:val="00F60F58"/>
    <w:rsid w:val="00F612A3"/>
    <w:rsid w:val="00F63742"/>
    <w:rsid w:val="00F63963"/>
    <w:rsid w:val="00F652CB"/>
    <w:rsid w:val="00F655D1"/>
    <w:rsid w:val="00F657E3"/>
    <w:rsid w:val="00F65942"/>
    <w:rsid w:val="00F65A97"/>
    <w:rsid w:val="00F7136B"/>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4691"/>
    <w:rsid w:val="00F947B4"/>
    <w:rsid w:val="00F96E18"/>
    <w:rsid w:val="00FA0F1F"/>
    <w:rsid w:val="00FA291B"/>
    <w:rsid w:val="00FA3007"/>
    <w:rsid w:val="00FA3AF8"/>
    <w:rsid w:val="00FA453C"/>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D0BBE"/>
    <w:rsid w:val="00FD17FF"/>
    <w:rsid w:val="00FD397A"/>
    <w:rsid w:val="00FD5BA5"/>
    <w:rsid w:val="00FD6485"/>
    <w:rsid w:val="00FD664B"/>
    <w:rsid w:val="00FD74C7"/>
    <w:rsid w:val="00FD75F4"/>
    <w:rsid w:val="00FE09D5"/>
    <w:rsid w:val="00FE0CBB"/>
    <w:rsid w:val="00FE207F"/>
    <w:rsid w:val="00FE3384"/>
    <w:rsid w:val="00FE46FF"/>
    <w:rsid w:val="00FE47AA"/>
    <w:rsid w:val="00FE4EF2"/>
    <w:rsid w:val="00FE62DF"/>
    <w:rsid w:val="00FE6C7E"/>
    <w:rsid w:val="00FE7491"/>
    <w:rsid w:val="00FE765B"/>
    <w:rsid w:val="00FF012B"/>
    <w:rsid w:val="00FF39C1"/>
    <w:rsid w:val="00FF46C0"/>
    <w:rsid w:val="00FF71DA"/>
    <w:rsid w:val="00FF7AE0"/>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uiPriority w:val="34"/>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qForma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customStyle="1" w:styleId="expansiontext-184">
    <w:name w:val="expansiontext-184"/>
    <w:basedOn w:val="DefaultParagraphFont"/>
    <w:rsid w:val="00A6669A"/>
  </w:style>
  <w:style w:type="paragraph" w:customStyle="1" w:styleId="pf0">
    <w:name w:val="pf0"/>
    <w:basedOn w:val="Normal"/>
    <w:rsid w:val="001E3B79"/>
    <w:pPr>
      <w:spacing w:before="100" w:beforeAutospacing="1" w:after="100" w:afterAutospacing="1" w:line="240" w:lineRule="auto"/>
    </w:pPr>
    <w:rPr>
      <w:szCs w:val="24"/>
      <w:lang w:eastAsia="en-IE"/>
    </w:rPr>
  </w:style>
  <w:style w:type="character" w:customStyle="1" w:styleId="cf01">
    <w:name w:val="cf01"/>
    <w:basedOn w:val="DefaultParagraphFont"/>
    <w:rsid w:val="001E3B79"/>
    <w:rPr>
      <w:rFonts w:ascii="Segoe UI" w:hAnsi="Segoe UI" w:cs="Segoe UI" w:hint="default"/>
      <w:color w:val="FF0000"/>
      <w:sz w:val="18"/>
      <w:szCs w:val="18"/>
    </w:rPr>
  </w:style>
  <w:style w:type="paragraph" w:customStyle="1" w:styleId="5Normal">
    <w:name w:val="5 Normal"/>
    <w:basedOn w:val="Normal"/>
    <w:link w:val="5NormalChar"/>
    <w:qFormat/>
    <w:rsid w:val="004532B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hAnsi="Verdana"/>
      <w:spacing w:val="-2"/>
      <w:sz w:val="20"/>
      <w:szCs w:val="24"/>
    </w:rPr>
  </w:style>
  <w:style w:type="character" w:customStyle="1" w:styleId="5NormalChar">
    <w:name w:val="5 Normal Char"/>
    <w:link w:val="5Normal"/>
    <w:locked/>
    <w:rsid w:val="004532B9"/>
    <w:rPr>
      <w:rFonts w:ascii="Verdana" w:eastAsia="Times New Roman" w:hAnsi="Verdana" w:cs="Times New Roman"/>
      <w:spacing w:val="-2"/>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38321064">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56913228">
      <w:bodyDiv w:val="1"/>
      <w:marLeft w:val="0"/>
      <w:marRight w:val="0"/>
      <w:marTop w:val="0"/>
      <w:marBottom w:val="0"/>
      <w:divBdr>
        <w:top w:val="none" w:sz="0" w:space="0" w:color="auto"/>
        <w:left w:val="none" w:sz="0" w:space="0" w:color="auto"/>
        <w:bottom w:val="none" w:sz="0" w:space="0" w:color="auto"/>
        <w:right w:val="none" w:sz="0" w:space="0" w:color="auto"/>
      </w:divBdr>
      <w:divsChild>
        <w:div w:id="1910387473">
          <w:marLeft w:val="0"/>
          <w:marRight w:val="0"/>
          <w:marTop w:val="0"/>
          <w:marBottom w:val="0"/>
          <w:divBdr>
            <w:top w:val="none" w:sz="0" w:space="0" w:color="auto"/>
            <w:left w:val="none" w:sz="0" w:space="0" w:color="auto"/>
            <w:bottom w:val="none" w:sz="0" w:space="0" w:color="auto"/>
            <w:right w:val="none" w:sz="0" w:space="0" w:color="auto"/>
          </w:divBdr>
        </w:div>
      </w:divsChild>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307197428">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2683">
      <w:bodyDiv w:val="1"/>
      <w:marLeft w:val="0"/>
      <w:marRight w:val="0"/>
      <w:marTop w:val="0"/>
      <w:marBottom w:val="0"/>
      <w:divBdr>
        <w:top w:val="none" w:sz="0" w:space="0" w:color="auto"/>
        <w:left w:val="none" w:sz="0" w:space="0" w:color="auto"/>
        <w:bottom w:val="none" w:sz="0" w:space="0" w:color="auto"/>
        <w:right w:val="none" w:sz="0" w:space="0" w:color="auto"/>
      </w:divBdr>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27755275">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091540026">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8031-0124-476B-B045-39C99CCE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5595</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STEPIEN Beata (SG)</dc:creator>
  <cp:lastModifiedBy>DELBAER Gerda (SG)</cp:lastModifiedBy>
  <cp:revision>2</cp:revision>
  <cp:lastPrinted>2019-01-09T14:37:00Z</cp:lastPrinted>
  <dcterms:created xsi:type="dcterms:W3CDTF">2023-12-14T07:45:00Z</dcterms:created>
  <dcterms:modified xsi:type="dcterms:W3CDTF">2023-12-14T07:45:00Z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ies>
</file>