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2E4857" w14:textId="77777777" w:rsidR="00E25CD8" w:rsidRPr="00FE5B6D" w:rsidRDefault="00E25CD8" w:rsidP="00E25CD8">
      <w:pPr>
        <w:spacing w:after="600"/>
        <w:jc w:val="center"/>
        <w:rPr>
          <w:rFonts w:ascii="Times New Roman" w:hAnsi="Times New Roman"/>
          <w:b/>
          <w:bCs/>
        </w:rPr>
      </w:pPr>
      <w:bookmarkStart w:id="0" w:name="Covid"/>
      <w:bookmarkStart w:id="1" w:name="_Hlk144309426"/>
      <w:r>
        <w:rPr>
          <w:rFonts w:ascii="Times New Roman" w:hAnsi="Times New Roman"/>
          <w:b/>
        </w:rPr>
        <w:t>Suite donnée à la résolution non législative du Parlement européen sur la pandémie de COVID-19: leçons tirées et recommandations pour l’avenir</w:t>
      </w:r>
    </w:p>
    <w:bookmarkEnd w:id="0"/>
    <w:p w14:paraId="739A2F55" w14:textId="1C8AA3E9" w:rsidR="00E25CD8" w:rsidRPr="00FE5B6D" w:rsidRDefault="00E25CD8" w:rsidP="00E25CD8">
      <w:pPr>
        <w:numPr>
          <w:ilvl w:val="0"/>
          <w:numId w:val="23"/>
        </w:numPr>
        <w:ind w:left="567" w:hanging="567"/>
        <w:rPr>
          <w:rFonts w:ascii="Times New Roman" w:hAnsi="Times New Roman"/>
        </w:rPr>
      </w:pPr>
      <w:r>
        <w:rPr>
          <w:rFonts w:ascii="Times New Roman" w:hAnsi="Times New Roman"/>
          <w:b/>
        </w:rPr>
        <w:t>Rapporteure:</w:t>
      </w:r>
      <w:r>
        <w:rPr>
          <w:rFonts w:ascii="Times New Roman" w:hAnsi="Times New Roman"/>
        </w:rPr>
        <w:t xml:space="preserve"> Dolors MONTSERRAT (PPE / ES)</w:t>
      </w:r>
    </w:p>
    <w:p w14:paraId="7D16C849" w14:textId="77777777" w:rsidR="00E25CD8" w:rsidRPr="00FE5B6D" w:rsidRDefault="00E25CD8" w:rsidP="00E25CD8">
      <w:pPr>
        <w:numPr>
          <w:ilvl w:val="0"/>
          <w:numId w:val="23"/>
        </w:numPr>
        <w:ind w:left="567" w:hanging="567"/>
        <w:rPr>
          <w:rFonts w:ascii="Times New Roman" w:hAnsi="Times New Roman"/>
        </w:rPr>
      </w:pPr>
      <w:r>
        <w:rPr>
          <w:rFonts w:ascii="Times New Roman" w:hAnsi="Times New Roman"/>
          <w:b/>
        </w:rPr>
        <w:t xml:space="preserve">Numéro de référence: </w:t>
      </w:r>
      <w:r>
        <w:rPr>
          <w:rFonts w:ascii="Times New Roman" w:hAnsi="Times New Roman"/>
        </w:rPr>
        <w:t>2022/2076 (INI) / A9-0217/2023 / P9_TA(2023)0282</w:t>
      </w:r>
    </w:p>
    <w:p w14:paraId="6E0E94D3" w14:textId="0EDB0598" w:rsidR="00E25CD8" w:rsidRPr="00FE5B6D" w:rsidRDefault="00E25CD8" w:rsidP="00E25CD8">
      <w:pPr>
        <w:numPr>
          <w:ilvl w:val="0"/>
          <w:numId w:val="23"/>
        </w:numPr>
        <w:ind w:left="567" w:hanging="567"/>
        <w:rPr>
          <w:rFonts w:ascii="Times New Roman" w:hAnsi="Times New Roman"/>
        </w:rPr>
      </w:pPr>
      <w:r>
        <w:rPr>
          <w:rFonts w:ascii="Times New Roman" w:hAnsi="Times New Roman"/>
          <w:b/>
        </w:rPr>
        <w:t>Date d</w:t>
      </w:r>
      <w:r w:rsidR="00926AFF">
        <w:rPr>
          <w:rFonts w:ascii="Times New Roman" w:hAnsi="Times New Roman"/>
          <w:b/>
        </w:rPr>
        <w:t>’</w:t>
      </w:r>
      <w:r>
        <w:rPr>
          <w:rFonts w:ascii="Times New Roman" w:hAnsi="Times New Roman"/>
          <w:b/>
        </w:rPr>
        <w:t>adoption de la résolution:</w:t>
      </w:r>
      <w:r>
        <w:rPr>
          <w:rFonts w:ascii="Times New Roman" w:hAnsi="Times New Roman"/>
        </w:rPr>
        <w:t xml:space="preserve"> 12 juillet 2023</w:t>
      </w:r>
    </w:p>
    <w:p w14:paraId="407049AE" w14:textId="77777777" w:rsidR="00E25CD8" w:rsidRPr="00FE5B6D" w:rsidRDefault="00E25CD8" w:rsidP="00E25CD8">
      <w:pPr>
        <w:numPr>
          <w:ilvl w:val="0"/>
          <w:numId w:val="23"/>
        </w:numPr>
        <w:ind w:left="567" w:hanging="567"/>
        <w:rPr>
          <w:rFonts w:ascii="Times New Roman" w:hAnsi="Times New Roman"/>
        </w:rPr>
      </w:pPr>
      <w:r>
        <w:rPr>
          <w:rFonts w:ascii="Times New Roman" w:hAnsi="Times New Roman"/>
          <w:b/>
        </w:rPr>
        <w:t xml:space="preserve">Commission parlementaire compétente: </w:t>
      </w:r>
      <w:r>
        <w:rPr>
          <w:rFonts w:ascii="Times New Roman" w:hAnsi="Times New Roman"/>
        </w:rPr>
        <w:t>commission spéciale sur la pandémie de COVID-19: leçons tirées et recommandations pour l’avenir (COVI)</w:t>
      </w:r>
    </w:p>
    <w:p w14:paraId="2EC768C3" w14:textId="77777777" w:rsidR="00E25CD8" w:rsidRPr="00FE5B6D" w:rsidRDefault="00E25CD8" w:rsidP="00E25CD8">
      <w:pPr>
        <w:numPr>
          <w:ilvl w:val="0"/>
          <w:numId w:val="23"/>
        </w:numPr>
        <w:ind w:left="567" w:hanging="567"/>
        <w:rPr>
          <w:rFonts w:ascii="Times New Roman" w:hAnsi="Times New Roman"/>
          <w:b/>
          <w:bCs/>
        </w:rPr>
      </w:pPr>
      <w:r>
        <w:rPr>
          <w:rFonts w:ascii="Times New Roman" w:hAnsi="Times New Roman"/>
          <w:b/>
        </w:rPr>
        <w:t xml:space="preserve">Analyse/évaluation succincte de la résolution et des demandes qu’elle contient: </w:t>
      </w:r>
    </w:p>
    <w:p w14:paraId="330ABE6F" w14:textId="77777777" w:rsidR="00E25CD8" w:rsidRPr="00FE5B6D" w:rsidRDefault="00E25CD8" w:rsidP="00E25CD8">
      <w:pPr>
        <w:spacing w:after="120"/>
        <w:rPr>
          <w:rFonts w:ascii="Times New Roman" w:hAnsi="Times New Roman"/>
        </w:rPr>
      </w:pPr>
      <w:r>
        <w:rPr>
          <w:rFonts w:ascii="Times New Roman" w:hAnsi="Times New Roman"/>
        </w:rPr>
        <w:t>Le 10 mars 2022, le Parlement européen a décidé de créer la «commission spéciale sur la pandémie de COVID-19: leçons tirées et recommandations pour l’avenir (COVI)», avec pour mandat d’examiner en particulier comment la réponse européenne à la pandémie et les enseignements tirés peuvent contribuer à l’action future dans divers domaines d’action de l’UE. Les réunions de la commission comportaient des échanges avec des commissaires, ainsi qu’avec des représentants des services de la Commission européenne, du Centre européen de prévention et de contrôle des maladies (ECDC), de l’Agence européenne des médicaments (EMA), de l’Autorité européenne de sécurité des aliments (EFSA), des ministères de la santé des États membres et de pays tiers, du Médiateur européen, des représentants de l’Organisation mondiale de la santé (OMS), de l’Organisation panaméricaine de la santé, de l’OIT, des épidémiologistes, des experts en santé publique, des représentants de la société civile et des entreprises pharmaceutiques.</w:t>
      </w:r>
    </w:p>
    <w:p w14:paraId="3E3867A4" w14:textId="77777777" w:rsidR="00E25CD8" w:rsidRPr="00FE5B6D" w:rsidRDefault="00E25CD8" w:rsidP="00E25CD8">
      <w:pPr>
        <w:spacing w:after="120"/>
        <w:rPr>
          <w:rFonts w:ascii="Times New Roman" w:hAnsi="Times New Roman"/>
        </w:rPr>
      </w:pPr>
      <w:r>
        <w:rPr>
          <w:rFonts w:ascii="Times New Roman" w:hAnsi="Times New Roman"/>
        </w:rPr>
        <w:t>La résolution du Parlement considère la pandémie de COVID-19 comme une crise transdimensionnelle et met l’accent sur quatre grands axes: la santé, la justice et les droits fondamentaux, l’incidence sociale et économique, et l’Union et le monde. La résolution souligne que l’UE a été capable d’élaborer une réponse commune à la pandémie, y compris les mesures prises en vue d’une union de la santé plus résiliente, la création de l’Autorité de préparation et de réaction en cas d’urgence sanitaire (HERA) de la Commission, une stratégie de l’UE pour les vaccins couronnée de succès et un instrument commun pour la résilience et la reprise. Dans le même temps, la résolution lance un nombre important d’appels, notamment à la Commission.</w:t>
      </w:r>
    </w:p>
    <w:p w14:paraId="14ECC4B7" w14:textId="77777777" w:rsidR="00E25CD8" w:rsidRPr="00FE5B6D" w:rsidRDefault="00E25CD8" w:rsidP="00E25CD8">
      <w:pPr>
        <w:spacing w:after="120"/>
        <w:rPr>
          <w:rFonts w:ascii="Times New Roman" w:hAnsi="Times New Roman"/>
        </w:rPr>
      </w:pPr>
      <w:r>
        <w:rPr>
          <w:rFonts w:ascii="Times New Roman" w:hAnsi="Times New Roman"/>
        </w:rPr>
        <w:t>Dans le domaine de la santé, la résolution demande que des mesures soient prises pour poursuivre la mise en place de l’union européenne de la santé, en élaborant une approche globale de la prévention, de la préparation et de la réaction aux pandémies. Une telle approche comprendrait un renforcement de l’approche «Une seule santé», afin de renforcer les systèmes de santé publique et les soins primaires et la disponibilité de professionnels de la santé formés, et dans le but de promouvoir la réindustrialisation du secteur de la santé conformément à la transition numérique et écologique.</w:t>
      </w:r>
    </w:p>
    <w:p w14:paraId="5A43548E" w14:textId="77777777" w:rsidR="00E25CD8" w:rsidRPr="00FE5B6D" w:rsidRDefault="00E25CD8" w:rsidP="00E25CD8">
      <w:pPr>
        <w:spacing w:after="120"/>
        <w:rPr>
          <w:rFonts w:ascii="Times New Roman" w:hAnsi="Times New Roman"/>
          <w:i/>
          <w:iCs/>
        </w:rPr>
      </w:pPr>
      <w:r>
        <w:rPr>
          <w:rFonts w:ascii="Times New Roman" w:hAnsi="Times New Roman"/>
        </w:rPr>
        <w:t xml:space="preserve">En ce qui concerne la démocratie et les droits fondamentaux, la résolution, tout en reconnaissant le contexte d’urgence dans lequel les décisions pertinentes ont été prises, demande que la transparence, la responsabilité et le contrôle démocratique restent une priorité en temps de crise. Elle souligne la nécessité pour l’UE de prendre des mesures pour défendre l’économie sociale de marché européenne, tout en accordant une attention particulière à la situation des femmes, des jeunes et des enfants, des personnes âgées et des groupes vulnérables/marginalisés. En ce qui concerne les aspects internationaux, la résolution souligne l’importance de la coopération internationale pour faire face aux urgences mondiales, salue la stratégie en matière de santé mondiale adoptée par la </w:t>
      </w:r>
      <w:r>
        <w:rPr>
          <w:rFonts w:ascii="Times New Roman" w:hAnsi="Times New Roman"/>
        </w:rPr>
        <w:lastRenderedPageBreak/>
        <w:t>Commission en novembre 2022 et les négociations en cours relatives à un accord sur les pandémies et aux modifications du règlement sanitaire international. Elle appelle également à une utilisation optimale des cadres internationaux en matière de propriété intellectuelle afin de mieux se préparer aux défis posés par les pandémies.</w:t>
      </w:r>
    </w:p>
    <w:p w14:paraId="640FAEA4" w14:textId="77777777" w:rsidR="00E25CD8" w:rsidRPr="00FE5B6D" w:rsidRDefault="00E25CD8" w:rsidP="00E25CD8">
      <w:pPr>
        <w:keepNext/>
        <w:keepLines/>
        <w:numPr>
          <w:ilvl w:val="0"/>
          <w:numId w:val="23"/>
        </w:numPr>
        <w:ind w:left="567" w:hanging="567"/>
        <w:rPr>
          <w:rFonts w:ascii="Times New Roman" w:hAnsi="Times New Roman"/>
          <w:b/>
          <w:bCs/>
        </w:rPr>
      </w:pPr>
      <w:r>
        <w:rPr>
          <w:rFonts w:ascii="Times New Roman" w:hAnsi="Times New Roman"/>
          <w:b/>
        </w:rPr>
        <w:t xml:space="preserve">Réponse à ces demandes et aperçu des mesures que la Commission a prises ou envisage de prendre: </w:t>
      </w:r>
    </w:p>
    <w:p w14:paraId="48ABA85D" w14:textId="77777777" w:rsidR="00E25CD8" w:rsidRPr="00FE5B6D" w:rsidRDefault="00E25CD8" w:rsidP="00E25CD8">
      <w:pPr>
        <w:keepNext/>
        <w:keepLines/>
        <w:numPr>
          <w:ilvl w:val="0"/>
          <w:numId w:val="24"/>
        </w:numPr>
        <w:spacing w:after="120"/>
        <w:rPr>
          <w:rFonts w:ascii="Times New Roman" w:hAnsi="Times New Roman"/>
          <w:b/>
          <w:bCs/>
        </w:rPr>
      </w:pPr>
      <w:r>
        <w:rPr>
          <w:rFonts w:ascii="Times New Roman" w:hAnsi="Times New Roman"/>
          <w:b/>
        </w:rPr>
        <w:t>Santé</w:t>
      </w:r>
    </w:p>
    <w:p w14:paraId="7C66C901" w14:textId="77777777" w:rsidR="00E25CD8" w:rsidRPr="00FE5B6D" w:rsidRDefault="00E25CD8" w:rsidP="00E25CD8">
      <w:pPr>
        <w:keepNext/>
        <w:keepLines/>
        <w:spacing w:after="120"/>
        <w:rPr>
          <w:rFonts w:ascii="Times New Roman" w:hAnsi="Times New Roman"/>
        </w:rPr>
      </w:pPr>
      <w:r>
        <w:rPr>
          <w:rFonts w:ascii="Times New Roman" w:hAnsi="Times New Roman"/>
        </w:rPr>
        <w:t>La Commission continue de mettre en œuvre les mesures proposées pour la première fois dans le paquet «Union européenne de la santé» adopté en 2020 (paragraphes 42 et 567), qui ont ouvert la voie à un cadre de sécurité sanitaire de l’UE plus solide et à des agences et organes de l’UE plus solides et plus opérationnels.</w:t>
      </w:r>
    </w:p>
    <w:p w14:paraId="0E3A27AC" w14:textId="77777777" w:rsidR="00E25CD8" w:rsidRPr="00FE5B6D" w:rsidRDefault="00E25CD8" w:rsidP="00E25CD8">
      <w:pPr>
        <w:numPr>
          <w:ilvl w:val="0"/>
          <w:numId w:val="25"/>
        </w:numPr>
        <w:spacing w:after="120"/>
        <w:rPr>
          <w:rFonts w:ascii="Times New Roman" w:hAnsi="Times New Roman"/>
          <w:b/>
          <w:bCs/>
        </w:rPr>
      </w:pPr>
      <w:r>
        <w:rPr>
          <w:rFonts w:ascii="Times New Roman" w:hAnsi="Times New Roman"/>
          <w:b/>
        </w:rPr>
        <w:t>Gouvernance</w:t>
      </w:r>
    </w:p>
    <w:p w14:paraId="6810B225" w14:textId="77777777" w:rsidR="00E25CD8" w:rsidRPr="00FE5B6D" w:rsidRDefault="00E25CD8" w:rsidP="00E25CD8">
      <w:pPr>
        <w:spacing w:after="120"/>
        <w:rPr>
          <w:rFonts w:ascii="Times New Roman" w:hAnsi="Times New Roman"/>
        </w:rPr>
      </w:pPr>
      <w:r>
        <w:rPr>
          <w:rFonts w:ascii="Times New Roman" w:hAnsi="Times New Roman"/>
        </w:rPr>
        <w:t>L’article 13 du règlement (UE) 2022/2371 régit la surveillance épidémiologique dans l’UE/EEE (paragraphe 259) et le règlement (UE) 2022/2370 étend la mission et les tâches de l’ECDC à la modélisation, à l’anticipation et à la prévision épidémiologiques (paragraphe 87). Dans le cadre de son mandat, l’ECDC soutient la coopération internationale et surveille et collabore avec les régions ultrapériphériques et les pays et territoires d’outre-mer (paragraphe 106).</w:t>
      </w:r>
    </w:p>
    <w:p w14:paraId="638F2C47" w14:textId="77777777" w:rsidR="00E25CD8" w:rsidRPr="00FE5B6D" w:rsidRDefault="00E25CD8" w:rsidP="00E25CD8">
      <w:pPr>
        <w:spacing w:after="120"/>
        <w:rPr>
          <w:rFonts w:ascii="Times New Roman" w:hAnsi="Times New Roman"/>
        </w:rPr>
      </w:pPr>
      <w:r>
        <w:rPr>
          <w:rFonts w:ascii="Times New Roman" w:hAnsi="Times New Roman"/>
        </w:rPr>
        <w:t>La Commission, par l’intermédiaire de l’HERA (paragraphe 73), jouera un rôle important dans la mise au point, la production et la distribution de médicaments, de vaccins et d’autres contre-mesures médicales. L’HERA a été créée en 2021 en tant que direction générale au sein de l’organisation de la Commission dans des conditions d’urgence exceptionnelle (paragraphe 74). Cela a permis à l’HERA de commencer ses travaux très rapidement, notamment en utilisant les instruments de financement existants dont dispose la Commission. L’HERA a été créée avec une structure de gouvernance sur mesure reconnaissant l’importance de la coordination avec les agences de l’UE et les autorités nationales. Elle complète et apporte une valeur ajoutée aux travaux menés par l’ECDC. Des modalités de travail ont été convenues entre l’HERA et l’ECDC. Alors que l’ECDC est responsable de la surveillance des maladies transmissibles, l’HERA adopte une approche prospective pour les contre-mesures médicales (paragraphe 94). La Commission s’est engagée à procéder, avant 2025, à une analyse approfondie de la mise en œuvre des activités de l’HERA (paragraphes 72, 76 et 77), y compris de sa structure et de sa gouvernance. Dans ce contexte, la Commission prévoit de recueillir des données factuelles et des avis auprès d’un large éventail de sources, y compris auprès du Parlement et des parties prenantes. La résolution offre déjà des informations importantes à cet égard.</w:t>
      </w:r>
    </w:p>
    <w:p w14:paraId="06A27CC8" w14:textId="77777777" w:rsidR="00E25CD8" w:rsidRPr="00FE5B6D" w:rsidRDefault="00E25CD8" w:rsidP="00E25CD8">
      <w:pPr>
        <w:spacing w:after="120"/>
        <w:rPr>
          <w:rFonts w:ascii="Times New Roman" w:hAnsi="Times New Roman"/>
        </w:rPr>
      </w:pPr>
      <w:r>
        <w:rPr>
          <w:rFonts w:ascii="Times New Roman" w:hAnsi="Times New Roman"/>
        </w:rPr>
        <w:t>L’</w:t>
      </w:r>
      <w:hyperlink r:id="rId11">
        <w:r>
          <w:rPr>
            <w:rStyle w:val="Hyperlink"/>
            <w:rFonts w:ascii="Times New Roman" w:hAnsi="Times New Roman"/>
          </w:rPr>
          <w:t>EMA</w:t>
        </w:r>
      </w:hyperlink>
      <w:r>
        <w:rPr>
          <w:rFonts w:ascii="Times New Roman" w:hAnsi="Times New Roman"/>
        </w:rPr>
        <w:t xml:space="preserve"> a également été renforcée dans la préparation aux crises et la gestion de celles-ci en ce qui concerne les médicaments et les dispositifs médicaux.</w:t>
      </w:r>
    </w:p>
    <w:p w14:paraId="2299C818" w14:textId="77777777" w:rsidR="00E25CD8" w:rsidRPr="00FE5B6D" w:rsidRDefault="00E25CD8" w:rsidP="00E25CD8">
      <w:pPr>
        <w:spacing w:after="120"/>
        <w:rPr>
          <w:rFonts w:ascii="Times New Roman" w:hAnsi="Times New Roman"/>
        </w:rPr>
      </w:pPr>
      <w:r>
        <w:rPr>
          <w:rFonts w:ascii="Times New Roman" w:hAnsi="Times New Roman"/>
        </w:rPr>
        <w:t>Le règlement (UE) 2022/2371 renforce le rôle clé du comité de sécurité sanitaire (CSS) dans la coordination d’une réponse (paragraphe 70) à une menace spécifique. Le CSS peut adopter des avis et des orientations, y compris sur des mesures de réaction spécifiques visant à mieux soutenir les États membres.</w:t>
      </w:r>
    </w:p>
    <w:p w14:paraId="009E067B" w14:textId="77777777" w:rsidR="00E25CD8" w:rsidRPr="00FE5B6D" w:rsidRDefault="00E25CD8" w:rsidP="00E25CD8">
      <w:pPr>
        <w:spacing w:after="120"/>
        <w:rPr>
          <w:rFonts w:ascii="Times New Roman" w:hAnsi="Times New Roman"/>
        </w:rPr>
      </w:pPr>
      <w:r>
        <w:rPr>
          <w:rFonts w:ascii="Times New Roman" w:hAnsi="Times New Roman"/>
        </w:rPr>
        <w:t>Le dialogue avec les parties prenantes (paragraphe 119) est essentiel pour façonner une union de la santé plus forte et plus solide, notamment en utilisant l’outil collaboratif de la plateforme européenne sur la politique de santé pour assurer la communication entre la Commission et les parties prenantes.</w:t>
      </w:r>
    </w:p>
    <w:p w14:paraId="496B5448" w14:textId="77777777" w:rsidR="00E25CD8" w:rsidRPr="00FE5B6D" w:rsidRDefault="00E25CD8" w:rsidP="00E25CD8">
      <w:pPr>
        <w:spacing w:after="120"/>
        <w:rPr>
          <w:rFonts w:ascii="Times New Roman" w:hAnsi="Times New Roman"/>
        </w:rPr>
      </w:pPr>
      <w:r>
        <w:rPr>
          <w:rFonts w:ascii="Times New Roman" w:hAnsi="Times New Roman"/>
        </w:rPr>
        <w:t xml:space="preserve">La mobilisation d’une expertise scientifique solide et indépendante dans les situations de crise (paragraphe 66) revêt une importance décisive et un avis du mécanisme de conseil </w:t>
      </w:r>
      <w:r>
        <w:rPr>
          <w:rFonts w:ascii="Times New Roman" w:hAnsi="Times New Roman"/>
        </w:rPr>
        <w:lastRenderedPageBreak/>
        <w:t>scientifique de la Commission en novembre 2022 a formulé des recommandations à ce sujet.</w:t>
      </w:r>
    </w:p>
    <w:p w14:paraId="358D1F75" w14:textId="77777777" w:rsidR="00E25CD8" w:rsidRPr="00FE5B6D" w:rsidRDefault="00E25CD8" w:rsidP="00E25CD8">
      <w:pPr>
        <w:numPr>
          <w:ilvl w:val="0"/>
          <w:numId w:val="25"/>
        </w:numPr>
        <w:spacing w:after="120"/>
        <w:rPr>
          <w:rFonts w:ascii="Times New Roman" w:hAnsi="Times New Roman"/>
          <w:b/>
          <w:bCs/>
        </w:rPr>
      </w:pPr>
      <w:r>
        <w:rPr>
          <w:rFonts w:ascii="Times New Roman" w:hAnsi="Times New Roman"/>
          <w:b/>
        </w:rPr>
        <w:t>Une seule santé, la santé dans toutes les politiques, la prévention de futures pandémies</w:t>
      </w:r>
    </w:p>
    <w:p w14:paraId="01FC8D85" w14:textId="77777777" w:rsidR="00E25CD8" w:rsidRPr="00FE5B6D" w:rsidRDefault="00E25CD8" w:rsidP="00E25CD8">
      <w:pPr>
        <w:spacing w:after="120"/>
        <w:rPr>
          <w:rFonts w:ascii="Times New Roman" w:hAnsi="Times New Roman"/>
        </w:rPr>
      </w:pPr>
      <w:r>
        <w:rPr>
          <w:rFonts w:ascii="Times New Roman" w:hAnsi="Times New Roman"/>
        </w:rPr>
        <w:t>La Commission attache une grande importance à la mise en œuvre de l’approche «Une seule santé» (paragraphes 54, 245, 247 et 248), qui constitue un tournant dans la mise en œuvre des politiques de santé. Les agences de l’UE concernées, l’ECDC, l’Agence européenne des produits chimiques (ECHA), l’EFSA, l’Agence européenne pour l’environnement (AEE) et l’EMA contribuent activement à la concrétisation de l’idée de mettre sur pied un groupe de travail interagences «Une seule santé» (paragraphe 251). Dans le cadre du spectre des menaces fondé sur l’approche «Une seule santé», outre les zoonoses, la résistance aux antimicrobiens reste un défi majeur, tant dans l’UE qu’ailleurs dans le monde. Le 26 octobre 2022, la Commission a proposé une révision de la directive relative au traitement des eaux urbaines résiduaires afin d’améliorer la surveillance de la présence de certains virus tels que le SARS-CoV-2 et d’introduire une obligation de surveillance de la résistance aux antimicrobiens dans les eaux urbaines résiduaires afin de développer davantage les connaissances scientifiques et éventuellement d’orienter les actions appropriées à l’avenir. En juin 2023, le Conseil a adopté des recommandations visant à lutter contre la résistance aux antimicrobiens dans le cadre de l’approche «Une seule santé». En ce qui concerne l’appel du Parlement sur la quantification des coûts et des avantages de la prévention des zoonoses (paragraphe 564), l’EFSA a lancé un appel d’offres pour une étude sur la charge des zoonoses.</w:t>
      </w:r>
    </w:p>
    <w:p w14:paraId="50CDDBC4" w14:textId="77777777" w:rsidR="00E25CD8" w:rsidRPr="00FE5B6D" w:rsidRDefault="00E25CD8" w:rsidP="00E25CD8">
      <w:pPr>
        <w:spacing w:after="120"/>
        <w:rPr>
          <w:rFonts w:ascii="Times New Roman" w:hAnsi="Times New Roman"/>
        </w:rPr>
      </w:pPr>
      <w:r>
        <w:rPr>
          <w:rFonts w:ascii="Times New Roman" w:hAnsi="Times New Roman"/>
        </w:rPr>
        <w:t>Les vaccins sont un autre facteur essentiel pour la prévention et l’éradication des pandémies. Si les politiques et les services de vaccination restent de la compétence nationale, l’ECDC organise la collaboration des groupes consultatifs techniques nationaux sur la vaccination de l’UE/EEE, qui évalue les besoins en matière de vaccination et conseille les gouvernements nationaux sur les stratégies de vaccination (paragraphes 109 et 112). La pandémie de COVID-19 a montré l’importance cruciale des informations faisant autorité. Le portail européen d’information sur la vaccination, hébergé par la Commission, fournit des données précises et actualisées sur les vaccins et vise à lutter contre la mésinformation et la désinformation en matière de vaccination (paragraphes 113 et 114). La campagne sur les vaccins sûrs contre la COVID-19 à l’échelle de l’UE et la campagne «United In Protection» ont permis de sensibiliser aux avantages de la vaccination (</w:t>
      </w:r>
      <w:bookmarkStart w:id="2" w:name="_Hlk147299294"/>
      <w:r>
        <w:rPr>
          <w:rFonts w:ascii="Times New Roman" w:hAnsi="Times New Roman"/>
        </w:rPr>
        <w:t xml:space="preserve">paragraphe </w:t>
      </w:r>
      <w:bookmarkEnd w:id="2"/>
      <w:r>
        <w:rPr>
          <w:rFonts w:ascii="Times New Roman" w:hAnsi="Times New Roman"/>
        </w:rPr>
        <w:t>114).</w:t>
      </w:r>
    </w:p>
    <w:p w14:paraId="0474CDBE" w14:textId="77777777" w:rsidR="00E25CD8" w:rsidRPr="00FE5B6D" w:rsidRDefault="00E25CD8" w:rsidP="00E25CD8">
      <w:pPr>
        <w:spacing w:after="120"/>
        <w:rPr>
          <w:rFonts w:ascii="Times New Roman" w:hAnsi="Times New Roman"/>
        </w:rPr>
      </w:pPr>
      <w:r>
        <w:rPr>
          <w:rFonts w:ascii="Times New Roman" w:hAnsi="Times New Roman"/>
        </w:rPr>
        <w:t>La Commission se félicite que la résolution approuve l’approche «la santé dans toutes les politiques» (paragraphe 575), qui constitue un principe clé des processus décisionnels de la Commission.</w:t>
      </w:r>
    </w:p>
    <w:p w14:paraId="1005ACD8" w14:textId="77777777" w:rsidR="00E25CD8" w:rsidRPr="00FE5B6D" w:rsidRDefault="00E25CD8" w:rsidP="00E25CD8">
      <w:pPr>
        <w:spacing w:after="120"/>
        <w:rPr>
          <w:rFonts w:ascii="Times New Roman" w:hAnsi="Times New Roman"/>
        </w:rPr>
      </w:pPr>
      <w:r>
        <w:rPr>
          <w:rFonts w:ascii="Times New Roman" w:hAnsi="Times New Roman"/>
        </w:rPr>
        <w:t>En juin 2022, la Commission a présenté l’initiative de l’UE sur les maladies non transmissibles «Vivre ensemble en bonne santé» (paragraphe 231), qui fournit des orientations et un financement aux États membres et aux parties prenantes.</w:t>
      </w:r>
    </w:p>
    <w:p w14:paraId="44C4A47F" w14:textId="77777777" w:rsidR="00E25CD8" w:rsidRPr="00FE5B6D" w:rsidRDefault="00E25CD8" w:rsidP="00E25CD8">
      <w:pPr>
        <w:spacing w:after="120"/>
        <w:rPr>
          <w:rFonts w:ascii="Times New Roman" w:hAnsi="Times New Roman"/>
        </w:rPr>
      </w:pPr>
      <w:r>
        <w:rPr>
          <w:rFonts w:ascii="Times New Roman" w:hAnsi="Times New Roman"/>
        </w:rPr>
        <w:t>Plus généralement, le pacte vert pour l’Europe (paragraphe 562), qui fait progresser l’engagement de l’UE à devenir le premier continent neutre pour le climat d’ici à 2050, est essentiel pour prévenir de futures pandémies. Dans ce contexte, en ce qui concerne les demandes du Parlement en faveur de la protection de la faune et de la flore sauvages et de la qualité de l’air (paragraphes 230 et 512), la Commission souligne que l’Union est partie active à la convention sur le commerce international des espèces de faune et de flore sauvages menacées d’extinction (CITES) et qu’elle s’est engagée à lutter contre le commerce illégal d’espèces sauvages, comme le montre le plan d’action révisé de l’Union contre le trafic d’espèces sauvages. La proposition de révision de la directive sur la qualité de l’air ambiant présentée en 2022 vise également à aligner plus étroitement les normes de qualité de l’air sur les recommandations de l’Organisation mondiale de la santé.</w:t>
      </w:r>
    </w:p>
    <w:p w14:paraId="46E787A9" w14:textId="77777777" w:rsidR="00E25CD8" w:rsidRPr="00FE5B6D" w:rsidRDefault="00E25CD8" w:rsidP="00E25CD8">
      <w:pPr>
        <w:numPr>
          <w:ilvl w:val="0"/>
          <w:numId w:val="25"/>
        </w:numPr>
        <w:spacing w:after="120"/>
        <w:rPr>
          <w:rFonts w:ascii="Times New Roman" w:hAnsi="Times New Roman"/>
          <w:b/>
          <w:bCs/>
        </w:rPr>
      </w:pPr>
      <w:r>
        <w:rPr>
          <w:rFonts w:ascii="Times New Roman" w:hAnsi="Times New Roman"/>
          <w:b/>
        </w:rPr>
        <w:lastRenderedPageBreak/>
        <w:t>Préparation des systèmes de soins de santé de l’UE</w:t>
      </w:r>
    </w:p>
    <w:p w14:paraId="3B4C2AF9" w14:textId="77777777" w:rsidR="00E25CD8" w:rsidRPr="00FE5B6D" w:rsidRDefault="00E25CD8" w:rsidP="00E25CD8">
      <w:pPr>
        <w:spacing w:after="120"/>
        <w:rPr>
          <w:rFonts w:ascii="Times New Roman" w:hAnsi="Times New Roman"/>
        </w:rPr>
      </w:pPr>
      <w:r>
        <w:rPr>
          <w:rFonts w:ascii="Times New Roman" w:hAnsi="Times New Roman"/>
        </w:rPr>
        <w:t>Le règlement (UE) 2022/2371 prévoit des règles relatives à l’élaboration des plans de prévention, de préparation et de réaction et à l’établissement de rapports sur ces plans par les États membres ainsi que des règles sur leur évaluation régulière par l’ECDC (paragraphe 117).</w:t>
      </w:r>
    </w:p>
    <w:p w14:paraId="74195E5B" w14:textId="6528460A" w:rsidR="00E25CD8" w:rsidRPr="00FE5B6D" w:rsidRDefault="00E25CD8" w:rsidP="00E25CD8">
      <w:pPr>
        <w:spacing w:after="120"/>
        <w:rPr>
          <w:rFonts w:ascii="Times New Roman" w:hAnsi="Times New Roman"/>
        </w:rPr>
      </w:pPr>
      <w:r>
        <w:rPr>
          <w:rFonts w:ascii="Times New Roman" w:hAnsi="Times New Roman"/>
        </w:rPr>
        <w:t xml:space="preserve">Si l’organisation des soins de santé relève de la compétence nationale, la Commission, dans le cadre du Semestre européen, suit en détail les mesures prises par les États membres et évalue leurs incidences ainsi que l’adéquation, l’accès et les performances des soins de santé et des soins de longue durée (paragraphes 117, 131, 439 et 572), y compris sur la situation des travailleurs de la santé (paragraphes 135 et 269). Les États membres peuvent utiliser les fonds de l’UE, en particulier la facilité pour la reprise et la résilience (FRR) </w:t>
      </w:r>
      <w:r w:rsidR="00926AFF">
        <w:rPr>
          <w:rFonts w:ascii="Times New Roman" w:hAnsi="Times New Roman"/>
        </w:rPr>
        <w:t>—</w:t>
      </w:r>
      <w:r>
        <w:rPr>
          <w:rFonts w:ascii="Times New Roman" w:hAnsi="Times New Roman"/>
        </w:rPr>
        <w:t xml:space="preserve"> les États membres ont proposé des mesures d’une valeur supérieure à 43 milliards d’euros pour la santé </w:t>
      </w:r>
      <w:r w:rsidR="00926AFF">
        <w:rPr>
          <w:rFonts w:ascii="Times New Roman" w:hAnsi="Times New Roman"/>
        </w:rPr>
        <w:t>—</w:t>
      </w:r>
      <w:r>
        <w:rPr>
          <w:rFonts w:ascii="Times New Roman" w:hAnsi="Times New Roman"/>
        </w:rPr>
        <w:t xml:space="preserve"> et les fonds de la politique de cohésion (plus de 15 milliards d’EUR au total pour la santé) afin d’améliorer les performances de leurs systèmes de santé, y compris les soins primaires, les infrastructures et les équipements de soins de santé (paragraphe 63). Le programme pour la recherche et l’innovation «Horizon Europe» soutient également des projets et des activités visant à permettre la transformation des systèmes de santé et de soins, à améliorer l’accès aux soins dans les situations d’urgence transfrontières, ainsi que les conditions d’accès aux soins de santé.</w:t>
      </w:r>
    </w:p>
    <w:p w14:paraId="0C45C957" w14:textId="77777777" w:rsidR="00E25CD8" w:rsidRPr="00FE5B6D" w:rsidRDefault="00E25CD8" w:rsidP="00E25CD8">
      <w:pPr>
        <w:spacing w:after="120"/>
        <w:rPr>
          <w:rFonts w:ascii="Times New Roman" w:hAnsi="Times New Roman"/>
        </w:rPr>
      </w:pPr>
      <w:r>
        <w:rPr>
          <w:rFonts w:ascii="Times New Roman" w:hAnsi="Times New Roman"/>
        </w:rPr>
        <w:t>La numérisation des soins de santé (paragraphes 122, 123 et 150) est essentielle à la viabilité et à la résilience des futurs systèmes de soins de santé. Sur les montants de la FRR et du Fonds de cohésion susmentionnés, plus de 14 milliards d’euros et 2 milliards d’euros respectivement sont consacrés à cet objectif. Plusieurs programmes de financement de l’UE soutiennent les outils numériques dans le domaine des soins de santé (paragraphe 479), notamment le programme pour une Europe numérique et le programme Horizon Europe. Le programme d’action pour la décennie numérique vise à poursuivre la numérisation des services publics en Europe d’ici à 2030 et la Commission continue de suivre la mise en œuvre de la directive sur l’accessibilité du web, en veillant à ce que les sites web et applications du secteur public soient plus accessibles à tous, en particulier aux personnes âgées et aux personnes handicapées. Le programme d’action pour la décennie numérique fixe également des objectifs: 80 % de la population adulte devrait posséder des compétences numériques de base et 20 millions de personnes devraient être spécialistes des technologies de l’information et de la communication, avec une convergence entre les hommes et les femmes, en Europe d’ici à 2030, ainsi que l’objectif ambitieux selon lequel 100 % des citoyens de l’UE aient accès à leurs dossiers médicaux électroniques (paragraphe 576). En mai 2022, la Commission a adopté une proposition de règlement relatif à l’espace européen des données de santé (EHDS) afin de libérer tout le potentiel des données de santé pour la fourniture de soins de santé, mais aussi pour la recherche et l’élaboration des politiques (paragraphes 567 et 574), avec des garanties solides en matière de confidentialité des données et de cybersécurité. L’adoption et la mise en œuvre de l’EHDS renforceraient également l’interopérabilité entre les systèmes de santé et au sein de ceux-ci. Cela faciliterait le partage et l’accès à des données plus complètes et de meilleure qualité. Il serait extrêmement utile d’améliorer et d’accélérer encore la réaction aux futures crises sanitaires, mais aussi de soutenir l’innovation dans ce domaine. La directive (UE) 2022/2555 (SRI 2) renforce la résilience face aux cyberrisques pour le secteur des soins de santé, en élargissant son champ d’application aux laboratoires de référence de l’UE, aux entités menant des activités de recherche, de développement et de fabrication de médicaments et de dispositifs médicaux (paragraphes 128, 569 et 574). Dans le cadre de la réforme de la législation pharmaceutique de l’UE, la soumission électronique des demandes est proposée, et les États membres pourraient autoriser les informations électroniques sur les produits plutôt que des dépliants papier (paragraphes 126 et 179).</w:t>
      </w:r>
    </w:p>
    <w:p w14:paraId="6C49C0E1" w14:textId="77777777" w:rsidR="00E25CD8" w:rsidRPr="00FE5B6D" w:rsidRDefault="00E25CD8" w:rsidP="00E25CD8">
      <w:pPr>
        <w:spacing w:after="120"/>
        <w:rPr>
          <w:rFonts w:ascii="Times New Roman" w:hAnsi="Times New Roman"/>
        </w:rPr>
      </w:pPr>
      <w:r>
        <w:rPr>
          <w:rFonts w:ascii="Times New Roman" w:hAnsi="Times New Roman"/>
        </w:rPr>
        <w:lastRenderedPageBreak/>
        <w:t>La pandémie de COVID-19 a posé des problèmes sur le plan de la fourniture de services de diagnostic réguliers aux citoyens, y compris en ce qui concerne les maladies graves. Dans ce contexte, la recommandation du Conseil relative au dépistage du cancer (paragraphe 62), adoptée en décembre 2022, vise à améliorer l’accès aux programmes existants de dépistage du cancer et à en introduire de nouveaux sur la base des dernières évolutions et données scientifiques disponibles.</w:t>
      </w:r>
    </w:p>
    <w:p w14:paraId="6479735E" w14:textId="77777777" w:rsidR="00E25CD8" w:rsidRPr="00FE5B6D" w:rsidRDefault="00E25CD8" w:rsidP="00E25CD8">
      <w:pPr>
        <w:spacing w:after="120"/>
        <w:rPr>
          <w:rFonts w:ascii="Times New Roman" w:hAnsi="Times New Roman"/>
        </w:rPr>
      </w:pPr>
      <w:r>
        <w:rPr>
          <w:rFonts w:ascii="Times New Roman" w:hAnsi="Times New Roman"/>
        </w:rPr>
        <w:t>La lutte contre les pénuries de professionnels de la santé fait partie du programme plus large de la Commission sur les pénuries de main-d’œuvre et l’inadéquation des compétences (paragraphes 138 et 574). Les actions de l’UE ciblant le secteur de la santé comprennent un ensemble de projets sur la fidélisation de la main-d’œuvre, le transfert de tâches et les déserts médicaux dans le cadre du troisième programme Santé, ainsi qu’une action commune sur la planification du personnel de santé (paragraphe 141), HEROES, cofinancée par le programme «L’UE pour la santé» (EU4Health). Plusieurs fonds et programmes de l’UE visent à soutenir le développement des compétences et l’apprentissage tout au long de la vie (paragraphe 140), notamment le Fonds social européen plus (FSE+), le projet Erasmus+ «BeWell» et l’action de formation du programme «L’UE pour la santé». La stratégie européenne en matière de soins de septembre 2022 et la recommandation du Conseil relative à des soins de longue durée abordables et de qualité visent également à soutenir des emplois de qualité dans le secteur des soins, notamment par des salaires attrayants, et soulignent la nécessité d’accroître les investissements publics et privés au niveau national (paragraphes 258 et 417).</w:t>
      </w:r>
    </w:p>
    <w:p w14:paraId="224BD243" w14:textId="05509211" w:rsidR="00E25CD8" w:rsidRPr="00FE5B6D" w:rsidRDefault="00E25CD8" w:rsidP="00E25CD8">
      <w:pPr>
        <w:spacing w:after="120"/>
        <w:rPr>
          <w:rFonts w:ascii="Times New Roman" w:hAnsi="Times New Roman"/>
        </w:rPr>
      </w:pPr>
      <w:r>
        <w:rPr>
          <w:rFonts w:ascii="Times New Roman" w:hAnsi="Times New Roman"/>
        </w:rPr>
        <w:t>La Commission continuera d’examiner les meilleurs moyens de traiter les questions de qualité et d’accessibilité des services de santé (paragraphes 152 et 257). Le Semestre européen et le Fonds de cohésion sont des instruments importants pour garantir la qualité des soins de santé et remédier aux disparités au sein de l’UE, y compris dans les régions ultrapériphériques (paragraphe 107). L’amélioration de l’accès en temps utile à des soins de santé préventifs et curatifs abordables et de qualité est également l’un des 20 principes du socle européen des droits sociaux et la Commission met en œuvre trois nouvelles actions dans ce domaine, en mettant l’accent sur les groupes vulnérables (paragraphe 586).</w:t>
      </w:r>
    </w:p>
    <w:p w14:paraId="51CE2A82" w14:textId="77777777" w:rsidR="00E25CD8" w:rsidRPr="00FE5B6D" w:rsidRDefault="00E25CD8" w:rsidP="00E25CD8">
      <w:pPr>
        <w:keepNext/>
        <w:keepLines/>
        <w:numPr>
          <w:ilvl w:val="0"/>
          <w:numId w:val="26"/>
        </w:numPr>
        <w:spacing w:after="120"/>
        <w:rPr>
          <w:rFonts w:ascii="Times New Roman" w:hAnsi="Times New Roman"/>
          <w:b/>
          <w:bCs/>
        </w:rPr>
      </w:pPr>
      <w:r>
        <w:rPr>
          <w:rFonts w:ascii="Times New Roman" w:hAnsi="Times New Roman"/>
          <w:b/>
        </w:rPr>
        <w:t>Disponibilité de contre-mesures médicales, pénuries, autonomie stratégique ouverte</w:t>
      </w:r>
    </w:p>
    <w:p w14:paraId="6D4192B8" w14:textId="77777777" w:rsidR="00E25CD8" w:rsidRPr="00FE5B6D" w:rsidRDefault="00E25CD8" w:rsidP="00E25CD8">
      <w:pPr>
        <w:keepNext/>
        <w:keepLines/>
        <w:spacing w:after="120"/>
        <w:rPr>
          <w:rFonts w:ascii="Times New Roman" w:hAnsi="Times New Roman"/>
        </w:rPr>
      </w:pPr>
      <w:r>
        <w:rPr>
          <w:rFonts w:ascii="Times New Roman" w:hAnsi="Times New Roman"/>
        </w:rPr>
        <w:t>La Commission souscrit à la résolution (paragraphes 167, 168, 290, 495, 510, 574 et 599) selon laquelle l’autonomie stratégique ouverte est essentielle pour garantir la disponibilité des produits de santé dans un environnement industriel et géopolitique de plus en plus complexe. La communication conjointe sur la stratégie européenne en matière de sécurité économique adoptée en juin 2023 présente un examen critique de la résilience et des vulnérabilités de l’Union. Cela a déjà été confirmé par la déclaration de Versailles de mars 2022, dans laquelle les dirigeants se sont accordés sur la nécessité de renforcer la résilience et la souveraineté européennes dans plusieurs domaines critiques, notamment la santé et les produits pharmaceutiques, ainsi que par la réaction de la Commission. Cela a été renforcé par la déclaration de Grenade de septembre 2023.</w:t>
      </w:r>
    </w:p>
    <w:p w14:paraId="07A6805A" w14:textId="7F004082" w:rsidR="00E25CD8" w:rsidRPr="00FE5B6D" w:rsidRDefault="00E25CD8" w:rsidP="00E25CD8">
      <w:pPr>
        <w:spacing w:after="120"/>
        <w:rPr>
          <w:rFonts w:ascii="Times New Roman" w:hAnsi="Times New Roman"/>
        </w:rPr>
      </w:pPr>
      <w:r>
        <w:rPr>
          <w:rFonts w:ascii="Times New Roman" w:hAnsi="Times New Roman"/>
        </w:rPr>
        <w:t xml:space="preserve">La Commission s’appuie sur l’expérience acquise dans le cadre de la réaction à la COVID-19 pour mettre en place des mécanismes systématiques de financement de l’élaboration et de la production de contre-mesures médicales en temps de préparation et de crise (paragraphes 78, 79, 162, 169, 287, 291, 582 et 605). La réponse actuelle comprend un financement destiné à soutenir à la fois la recherche initiale et le développement à un stade avancé de contre-mesures médicales dans le cadre d’Horizon Europe et du programme «L’UE pour la santé», ainsi que la mise en place d’un projet relevant de l’initiative «Fab UE» (paragraphes 78 et 281), qui dispose d’une capacité réservée permettant de produire 325 millions de doses d’ARNm, de vaccins protéiques et de vaccins à base de vecteurs. En cas d’urgence de santé publique, des fonds supplémentaires peuvent être mis à disposition. </w:t>
      </w:r>
      <w:r>
        <w:rPr>
          <w:rFonts w:ascii="Times New Roman" w:hAnsi="Times New Roman"/>
        </w:rPr>
        <w:lastRenderedPageBreak/>
        <w:t>L’initiative HERA Invest a également été lancée, dans le cadre de laquelle la Banque européenne d’investissement investira, au nom de la Commission, par un renforcement du programme InvestEU, dans des entreprises européennes innovantes dans le domaine des sciences de la vie, notamment des petites et moyennes entreprises innovantes (paragraphe 172), au moyen de prêts à risque. L’HERA (paragraphes 69, 70, 87 et 292), par l’intermédiaire de son forum conjoint de coopération industrielle, encourage les discussions entre la Commission, les États membres et l’industrie afin de préparer les besoins futurs. À moyen terme, grâce à l’application de techniques avancées d’analyse des données, l’HERA sera en mesure de surveiller plus efficacement la production, les chaînes d’approvisionnement et la demande de contre-mesures médicales.</w:t>
      </w:r>
    </w:p>
    <w:p w14:paraId="1996B891" w14:textId="77777777" w:rsidR="00E25CD8" w:rsidRPr="00FE5B6D" w:rsidRDefault="00E25CD8" w:rsidP="00E25CD8">
      <w:pPr>
        <w:spacing w:after="120"/>
        <w:rPr>
          <w:rFonts w:ascii="Times New Roman" w:hAnsi="Times New Roman"/>
        </w:rPr>
      </w:pPr>
      <w:r>
        <w:rPr>
          <w:rFonts w:ascii="Times New Roman" w:hAnsi="Times New Roman"/>
        </w:rPr>
        <w:t>En ce qui concerne la constitution de stocks (paragraphes 282, 606 et 613), la Commission détient actuellement des stocks dans le cadre de rescEU, une réserve stratégique de dernier recours financée par l’UE (paragraphe 160), avec un investissement de 1,2 milliard d’euros en 2022 et 2023. Les États membres et les pays associés, y compris l’Ukraine, peuvent demander une assistance lorsque leurs besoins dépassent leurs propres stocks. Ces stocks sont répartis géographiquement dans toute l’UE et couvrent des contre-mesures médicales contre les épidémies et les menaces chimiques, biologiques, radiologiques et nucléaires (CBRN). D’autres options étudiées viseraient l’élargissement possible de la constitution de stocks et l’exploitation des marchés nécessaires (paragraphe 159).</w:t>
      </w:r>
    </w:p>
    <w:p w14:paraId="46334B2C" w14:textId="6C793555" w:rsidR="00E25CD8" w:rsidRPr="00FE5B6D" w:rsidRDefault="00E25CD8" w:rsidP="00E25CD8">
      <w:pPr>
        <w:spacing w:after="120"/>
        <w:rPr>
          <w:rFonts w:ascii="Times New Roman" w:hAnsi="Times New Roman"/>
        </w:rPr>
      </w:pPr>
      <w:r>
        <w:rPr>
          <w:rFonts w:ascii="Times New Roman" w:hAnsi="Times New Roman"/>
        </w:rPr>
        <w:t xml:space="preserve">En ce qui concerne les pénuries, en décembre 2021, la Commission a publié une </w:t>
      </w:r>
      <w:hyperlink r:id="rId12">
        <w:r>
          <w:rPr>
            <w:rStyle w:val="Hyperlink"/>
            <w:rFonts w:ascii="Times New Roman" w:hAnsi="Times New Roman"/>
            <w:i/>
          </w:rPr>
          <w:t>étude sur les pénuries de médicaments:</w:t>
        </w:r>
      </w:hyperlink>
      <w:hyperlink r:id="rId13">
        <w:r>
          <w:rPr>
            <w:rStyle w:val="Hyperlink"/>
            <w:rFonts w:ascii="Times New Roman" w:hAnsi="Times New Roman"/>
            <w:i/>
          </w:rPr>
          <w:t>rapport final (2021)</w:t>
        </w:r>
      </w:hyperlink>
      <w:r>
        <w:rPr>
          <w:rFonts w:ascii="Times New Roman" w:hAnsi="Times New Roman"/>
        </w:rPr>
        <w:t xml:space="preserve">, qui a servi de base à la révision de la législation pharmaceutique proposée en avril 2023 (paragraphe 161). La proposition comprend une série de mesures visant à contribuer à prévenir les pénuries et à y faire face, telles que de nouvelles exigences en matière de surveillance des pénuries de médicaments par les autorités nationales et l’EMA, un renforcement du rôle de coordination de l’EMA et de nouvelles obligations pour les entreprises, telles que la notification préalable des pénuries et des retraits et des plans de prévention et d’atténuation des pénuries (paragraphes 165, 177, 288, 289 et 601). Des mesures visant à accroître la transparence du financement public du développement des médicaments, en vue de soutenir les États membres dans leurs négociations sur les prix avec les entreprises pharmaceutiques (paragraphes 303 et 602), sont également prévues. La Commission s’efforcera de soutenir les négociations à venir et l’adoption sans heurts de ce train de mesures, y compris en prévoyant des périodes transitoires appropriées (paragraphe 164). Une liste de médicaments critiques à l’échelle de l’UE est en cours d’élaboration (paragraphe 603) et les vulnérabilités (et dépendances) de la chaîne d’approvisionnement de ces médicaments seront évaluées, avec des recommandations spécifiques sur les mesures à prendre par les entreprises et les autres acteurs de la chaîne d’approvisionnement. La Commission a également lancé une étude, qui s’achèvera en 2023, sur l’état de fonctionnement et de mise en œuvre de la </w:t>
      </w:r>
      <w:hyperlink r:id="rId14">
        <w:r>
          <w:rPr>
            <w:rStyle w:val="Hyperlink"/>
            <w:rFonts w:ascii="Times New Roman" w:hAnsi="Times New Roman"/>
          </w:rPr>
          <w:t>directive 89/105/CEE du Conseil</w:t>
        </w:r>
      </w:hyperlink>
      <w:r>
        <w:rPr>
          <w:rFonts w:ascii="Times New Roman" w:hAnsi="Times New Roman"/>
        </w:rPr>
        <w:t xml:space="preserve"> concernant la transparence des mesures régissant la fixation des prix des médicaments à usage humain (paragraphe 308). La Commission prépare actuellement une communication sur la disponibilité des médicaments, qui expose les mesures à court et à long terme qu’il convient de prendre pour améliorer encore la situation. </w:t>
      </w:r>
    </w:p>
    <w:p w14:paraId="38D7AF2D" w14:textId="77777777" w:rsidR="00E25CD8" w:rsidRPr="00FE5B6D" w:rsidRDefault="00E25CD8" w:rsidP="00E25CD8">
      <w:pPr>
        <w:spacing w:after="120"/>
        <w:rPr>
          <w:rFonts w:ascii="Times New Roman" w:hAnsi="Times New Roman"/>
        </w:rPr>
      </w:pPr>
      <w:r>
        <w:rPr>
          <w:rFonts w:ascii="Times New Roman" w:hAnsi="Times New Roman"/>
        </w:rPr>
        <w:t xml:space="preserve">Enfin, dans le but de favoriser la disponibilité de dispositifs médicaux essentiels, le </w:t>
      </w:r>
      <w:hyperlink r:id="rId15">
        <w:r>
          <w:rPr>
            <w:rStyle w:val="Hyperlink"/>
            <w:rFonts w:ascii="Times New Roman" w:hAnsi="Times New Roman"/>
          </w:rPr>
          <w:t>règlement (UE) 2023/607</w:t>
        </w:r>
      </w:hyperlink>
      <w:r>
        <w:rPr>
          <w:rFonts w:ascii="Times New Roman" w:hAnsi="Times New Roman"/>
        </w:rPr>
        <w:t xml:space="preserve"> introduit une prolongation échelonnée de la période de transition du nouveau règlement relatif aux dispositifs médicaux, sous réserve de certaines conditions (paragraphe 164).</w:t>
      </w:r>
    </w:p>
    <w:p w14:paraId="4568232B" w14:textId="77777777" w:rsidR="00E25CD8" w:rsidRPr="00FE5B6D" w:rsidRDefault="00E25CD8" w:rsidP="00E25CD8">
      <w:pPr>
        <w:numPr>
          <w:ilvl w:val="0"/>
          <w:numId w:val="26"/>
        </w:numPr>
        <w:spacing w:after="120"/>
        <w:rPr>
          <w:rFonts w:ascii="Times New Roman" w:hAnsi="Times New Roman"/>
          <w:b/>
          <w:bCs/>
        </w:rPr>
      </w:pPr>
      <w:r>
        <w:rPr>
          <w:rFonts w:ascii="Times New Roman" w:hAnsi="Times New Roman"/>
          <w:b/>
        </w:rPr>
        <w:t>Recherche et essais cliniques</w:t>
      </w:r>
    </w:p>
    <w:p w14:paraId="471A0FF2" w14:textId="77777777" w:rsidR="00E25CD8" w:rsidRPr="00FE5B6D" w:rsidRDefault="00E25CD8" w:rsidP="00E25CD8">
      <w:pPr>
        <w:spacing w:after="120"/>
        <w:rPr>
          <w:rFonts w:ascii="Times New Roman" w:hAnsi="Times New Roman"/>
        </w:rPr>
      </w:pPr>
      <w:r>
        <w:rPr>
          <w:rFonts w:ascii="Times New Roman" w:hAnsi="Times New Roman"/>
        </w:rPr>
        <w:t xml:space="preserve">La Commission est d’avis que les possibilités existantes de financement au titre du programme Horizon Europe (paragraphes 68, 80, 181, 574, 584, 585 et 590), telles que les missions de l’UE et les </w:t>
      </w:r>
      <w:hyperlink r:id="rId16">
        <w:r>
          <w:rPr>
            <w:rStyle w:val="Hyperlink"/>
            <w:rFonts w:ascii="Times New Roman" w:hAnsi="Times New Roman"/>
          </w:rPr>
          <w:t>partenariats européens</w:t>
        </w:r>
      </w:hyperlink>
      <w:r>
        <w:rPr>
          <w:rFonts w:ascii="Times New Roman" w:hAnsi="Times New Roman"/>
        </w:rPr>
        <w:t xml:space="preserve">, ont un effet de levier suffisant sur les financements nationaux, régionaux et privés pour cibler les priorités stratégiques de l’UE et </w:t>
      </w:r>
      <w:r>
        <w:rPr>
          <w:rFonts w:ascii="Times New Roman" w:hAnsi="Times New Roman"/>
        </w:rPr>
        <w:lastRenderedPageBreak/>
        <w:t>ont mobilisé d’importants investissements supplémentaires, en particulier de la part du secteur privé. En outre, les partenariats sur la recherche et l’innovation dans le cadre de l’initiative en matière de santé innovante, du partenariat des pays européens et en développement sur les essais cliniques (EDCTP3) pour la santé mondiale, de la transformation des systèmes de santé et de soins, du partenariat pour l’évaluation des risques liés aux produits chimiques, et des futurs partenariats européens pour la médecine personnalisée et les maladies rares, du réseau «Une seule santé» sur la résistance aux antimicrobiens et de la préparation aux pandémies complètent des initiatives politiques plus vastes telles que les alliances industrielles et les projets importants d’intérêt européen commun, ainsi que des projets de recherche collaborative dans le cadre d’Horizon Europe.</w:t>
      </w:r>
    </w:p>
    <w:p w14:paraId="4DE2A343" w14:textId="77777777" w:rsidR="00E25CD8" w:rsidRPr="00FE5B6D" w:rsidRDefault="00E25CD8" w:rsidP="00E25CD8">
      <w:pPr>
        <w:spacing w:after="120"/>
        <w:rPr>
          <w:rFonts w:ascii="Times New Roman" w:hAnsi="Times New Roman"/>
        </w:rPr>
      </w:pPr>
      <w:r>
        <w:rPr>
          <w:rFonts w:ascii="Times New Roman" w:hAnsi="Times New Roman"/>
        </w:rPr>
        <w:t>La Commission tient à souligner qu’Horizon Europe est un programme de recherche véritablement mondial, ouvert à toute entité juridique, quel que soit son lieu d’établissement, y compris les entités juridiques établies dans des pays à revenu faible ou intermédiaire (paragraphe 583). Son enveloppe financière (paragraphe 296) a été définie dans le cadre de l’accord sur le CFP 2021-2027 et toute modification est soumise à l’approbation de l’autorité budgétaire dans les limites des seuils fixés dans le CFP (15 %).</w:t>
      </w:r>
    </w:p>
    <w:p w14:paraId="0A9E0DD8" w14:textId="77777777" w:rsidR="00E25CD8" w:rsidRPr="00FE5B6D" w:rsidRDefault="00E25CD8" w:rsidP="00E25CD8">
      <w:pPr>
        <w:spacing w:after="120"/>
        <w:rPr>
          <w:rFonts w:ascii="Times New Roman" w:hAnsi="Times New Roman"/>
        </w:rPr>
      </w:pPr>
      <w:r>
        <w:rPr>
          <w:rFonts w:ascii="Times New Roman" w:hAnsi="Times New Roman"/>
        </w:rPr>
        <w:t>En ce qui concerne les essais cliniques, le règlement (UE) n° 536/2014 relatif aux essais cliniques de médicaments (paragraphe 122) a rationalisé et harmonisé le processus d’essai clinique. En janvier 2022, la Commission européenne, l’EMA et les directeurs des agences des médicaments ont lancé l’</w:t>
      </w:r>
      <w:hyperlink r:id="rId17">
        <w:r>
          <w:rPr>
            <w:rStyle w:val="Hyperlink"/>
            <w:rFonts w:ascii="Times New Roman" w:hAnsi="Times New Roman"/>
          </w:rPr>
          <w:t>initiative «Accélérer les essais cliniques dans l’UE» (ACT EU)</w:t>
        </w:r>
      </w:hyperlink>
      <w:r>
        <w:rPr>
          <w:rFonts w:ascii="Times New Roman" w:hAnsi="Times New Roman"/>
        </w:rPr>
        <w:t xml:space="preserve"> afin que l’UE devienne davantage un centre concurrentiel pour la recherche clinique innovante (paragraphe 125).</w:t>
      </w:r>
    </w:p>
    <w:p w14:paraId="6C85DC66" w14:textId="77777777" w:rsidR="00E25CD8" w:rsidRPr="00FE5B6D" w:rsidRDefault="00E25CD8" w:rsidP="00E25CD8">
      <w:pPr>
        <w:numPr>
          <w:ilvl w:val="0"/>
          <w:numId w:val="26"/>
        </w:numPr>
        <w:spacing w:after="120"/>
        <w:rPr>
          <w:rFonts w:ascii="Times New Roman" w:hAnsi="Times New Roman"/>
          <w:b/>
          <w:bCs/>
        </w:rPr>
      </w:pPr>
      <w:r>
        <w:rPr>
          <w:rFonts w:ascii="Times New Roman" w:hAnsi="Times New Roman"/>
          <w:b/>
        </w:rPr>
        <w:t>Passation conjointe de marchés, vaccins contre la COVID-19</w:t>
      </w:r>
    </w:p>
    <w:p w14:paraId="66653973" w14:textId="77777777" w:rsidR="00E25CD8" w:rsidRPr="00FE5B6D" w:rsidRDefault="00E25CD8" w:rsidP="00E25CD8">
      <w:pPr>
        <w:spacing w:after="120"/>
        <w:rPr>
          <w:rFonts w:ascii="Times New Roman" w:hAnsi="Times New Roman"/>
        </w:rPr>
      </w:pPr>
      <w:r>
        <w:rPr>
          <w:rFonts w:ascii="Times New Roman" w:hAnsi="Times New Roman"/>
        </w:rPr>
        <w:t>En principe, la passation conjointe de marchés peut être effectuée sur la base de l’article 165 du règlement (UE, Euratom) 2018/1046 relatif aux règles financières applicables au budget général de l’Union, pour tout type de contrat quel que soit l’objet du marché et sous réserve d’un accord entre toutes les parties contractantes. Dans le même temps, l’accord de passation conjointe de marchés pour les contre-mesures médicales approuvé par la Commission le 10 avril 2014 prévoit un mécanisme volontaire permettant aux pays participants et aux institutions de l’Union d’acheter conjointement des contre-mesures médicales contre des menaces transfrontières graves pour la santé. Il ne couvre pas les autres médicaments, y compris ceux destinés à lutter contre les maladies rares (paragraphe 192). Toutefois, les modifications du règlement financier proposées par la Commission en 2022 [COM(2022) 223 final] permettraient également aux institutions, agences exécutives ou organismes de l’Union de passer des marchés au nom ou pour le compte d’un ou de plusieurs États membres, sur la base d’un mandat. Le règlement (UE) 2022/2371 impose à la Commission de procéder à une analyse préliminaire pour toutes les passations conjointes de marchés à l’examen, portant sur divers aspects (paragraphes 194, 277 et 278), y compris la flexibilité et la disponibilité du produit en question. L’HERA entretient une communication active et continue avec les États membres sur leur intérêt potentiel pour des marchés conjoints portant sur des contre-mesures médicales. En ce qui concerne l’appel du Parlement relatif aux traitements contre la COVID-19, la Commission note qu’elle a signé cinq contrats de passation conjointe de marchés avec des fabricants de traitements recommandés pour le traitement de la COVID-19 (paragraphe 286). Toutes les procédures conjointes de passation de marchés ont été menées conformément au règlement financier (paragraphes 197 et 275) et aux modalités pratiques prévues dans l’accord de passation conjointe de marchés [décision C(2014) 2258 de la Commission].</w:t>
      </w:r>
    </w:p>
    <w:p w14:paraId="5459EF7B" w14:textId="77777777" w:rsidR="00E25CD8" w:rsidRPr="00FE5B6D" w:rsidRDefault="00E25CD8" w:rsidP="00E25CD8">
      <w:pPr>
        <w:spacing w:after="120"/>
        <w:rPr>
          <w:rFonts w:ascii="Times New Roman" w:hAnsi="Times New Roman"/>
        </w:rPr>
      </w:pPr>
      <w:r>
        <w:rPr>
          <w:rFonts w:ascii="Times New Roman" w:hAnsi="Times New Roman"/>
        </w:rPr>
        <w:t xml:space="preserve">En ce qui concerne la transparence du processus relatif aux contrats d’achat anticipé et aux contrats d’achat de vaccins contre la COVID-19 (paragraphes 303 et 309), ces accords ont été négociés par un comité directeur pour les vaccins et une équipe conjointe de négociation composée de hauts fonctionnaires des États membres participants, ce qui a permis la pleine </w:t>
      </w:r>
      <w:r>
        <w:rPr>
          <w:rFonts w:ascii="Times New Roman" w:hAnsi="Times New Roman"/>
        </w:rPr>
        <w:lastRenderedPageBreak/>
        <w:t>participation des États membres à chaque étape du processus (paragraphes 196 et 199). La Commission a publié des copies expurgées des contrats relatifs aux vaccins, conformément au règlement (CE) n° 1049/2001 (paragraphes 311 et 313), et, en juin 2023, elle a également permis aux membres de la commission COVI d’accéder à des versions non expurgées des contrats sur la base de l’échange entre la présidente Metsola et la présidente von der Leyen (paragraphe 312). La Commission continuera d’informer le Parlement européen et de l’informer de l’évolution des contrats relatifs aux vaccins contre la COVID-19. Le règlement (UE) 2022/2371 confère également au Parlement des prérogatives importantes spécifiques en matière d’accès à l’information et aux contrats, sous réserve de certaines garanties (paragraphe 276). En ce qui concerne la demande du Parlement relative aux exceptions prévues par le règlement (UE) n° 1049/2001, la Commission fournit une motivation adéquate permettant au demandeur de comprendre pourquoi l’accès aux informations occultées a été refusé, et le Tribunal peut être appelé à exercer son contrôle juridictionnel (paragraphe 374).</w:t>
      </w:r>
    </w:p>
    <w:p w14:paraId="19452172" w14:textId="77777777" w:rsidR="00E25CD8" w:rsidRPr="00FE5B6D" w:rsidRDefault="00E25CD8" w:rsidP="00E25CD8">
      <w:pPr>
        <w:spacing w:after="120"/>
        <w:rPr>
          <w:rFonts w:ascii="Times New Roman" w:hAnsi="Times New Roman"/>
        </w:rPr>
      </w:pPr>
      <w:r>
        <w:rPr>
          <w:rFonts w:ascii="Times New Roman" w:hAnsi="Times New Roman"/>
        </w:rPr>
        <w:t>En ce qui concerne les événements indésirables (paragraphes 104, 115 et 222), une autorisation de mise sur le marché n’est accordée à un médicament qu’après évaluation de sa qualité, de sa sécurité et de son efficacité par l’EMA ou les régulateurs nationaux et après la conclusion d’un rapport bénéfice/risque positif lié à son utilisation. La législation applicable aux médicaments comprend des dispositions spécifiques visant à garantir une évaluation scientifique impartiale par les experts concernés (paragraphe 303). Les contrats relatifs aux vaccins contre la COVID-19 sont également sans préjudice de l’application de la directive 85/374/CEE (paragraphes 111 et 568). L’UE dispose également d’un système de pharmacovigilance solide (paragraphe 273) qui permet aux autorités de régulation de surveiller, de détecter et d’évaluer les effets indésirables éventuels de tout médicament autorisé en Europe. Pendant la pandémie de COVID-19, un système de pharmacovigilance renforcé a été mis en place pour les vaccins contre la COVID-19. L’EMA a communiqué ses conclusions de manière transparente au public par ses canaux officiels (paragraphe 222).</w:t>
      </w:r>
    </w:p>
    <w:p w14:paraId="0C20CB23" w14:textId="77777777" w:rsidR="00E25CD8" w:rsidRPr="00FE5B6D" w:rsidRDefault="00E25CD8" w:rsidP="00E25CD8">
      <w:pPr>
        <w:numPr>
          <w:ilvl w:val="0"/>
          <w:numId w:val="26"/>
        </w:numPr>
        <w:spacing w:after="120"/>
        <w:rPr>
          <w:rFonts w:ascii="Times New Roman" w:hAnsi="Times New Roman"/>
          <w:b/>
          <w:bCs/>
        </w:rPr>
      </w:pPr>
      <w:r>
        <w:rPr>
          <w:rFonts w:ascii="Times New Roman" w:hAnsi="Times New Roman"/>
          <w:b/>
        </w:rPr>
        <w:t>COVID-19 de longue durée</w:t>
      </w:r>
    </w:p>
    <w:p w14:paraId="611DC472" w14:textId="77777777" w:rsidR="00E25CD8" w:rsidRPr="00FE5B6D" w:rsidRDefault="00E25CD8" w:rsidP="00E25CD8">
      <w:pPr>
        <w:spacing w:after="120"/>
        <w:rPr>
          <w:rFonts w:ascii="Times New Roman" w:hAnsi="Times New Roman"/>
        </w:rPr>
      </w:pPr>
      <w:r>
        <w:rPr>
          <w:rFonts w:ascii="Times New Roman" w:hAnsi="Times New Roman"/>
        </w:rPr>
        <w:t>La Commission a anticipé l’importance de la «COVID-19 de longue durée» (paragraphes 204, 212 et 298) et a pris une série de mesures pour remédier à cette situation dès le début de la pandémie. Par l’intermédiaire d’Horizon 2020 et d’Horizon Europe, la Commission soutient la recherche visant à comprendre et à combattre le phénomène, avec un budget total de 121,7 millions d’euros (paragraphes 209, 216, 219 et 300). Sur ce montant, environ 67,9 millions d’euros ont été investis pour soutenir les grandes cohortes de la COVID-19, en suivant des populations d’âges et de vulnérabilités différents, y compris des femmes enceintes, des enfants (paragraphe 214) et des patients à haut risque du monde entier. Un groupe de travail consacré à la COVID-19 de longue durée mis en place dans le cadre du comité de coordination des cohortes (CCB) – le comité mis en place par la Commission pour réunir tous les projets pertinents relatifs aux cohortes de la COVID-19 pour travailler sur des sujets spécifiques – fournit des preuves solides et facilite le diagnostic, la gestion des symptômes et les approches thérapeutiques potentielles (paragraphe 207). La Commission a également mis en place un réseau d’expertise sur la COVID-19 de longue durée dans le cadre du groupe d’experts de la Commission sur la santé publique, dans le but de promouvoir une réponse coordonnée aux besoins des patients atteints de COVID-19 de longue durée.</w:t>
      </w:r>
    </w:p>
    <w:p w14:paraId="4E06353C" w14:textId="77777777" w:rsidR="00E25CD8" w:rsidRPr="00FE5B6D" w:rsidRDefault="00E25CD8" w:rsidP="00E25CD8">
      <w:pPr>
        <w:numPr>
          <w:ilvl w:val="0"/>
          <w:numId w:val="26"/>
        </w:numPr>
        <w:spacing w:after="120"/>
        <w:rPr>
          <w:rFonts w:ascii="Times New Roman" w:hAnsi="Times New Roman"/>
          <w:b/>
          <w:bCs/>
        </w:rPr>
      </w:pPr>
      <w:r>
        <w:rPr>
          <w:rFonts w:ascii="Times New Roman" w:hAnsi="Times New Roman"/>
          <w:b/>
        </w:rPr>
        <w:t>Santé mentale</w:t>
      </w:r>
    </w:p>
    <w:p w14:paraId="5F35273F" w14:textId="77777777" w:rsidR="00E25CD8" w:rsidRPr="00FE5B6D" w:rsidRDefault="00E25CD8" w:rsidP="00E25CD8">
      <w:pPr>
        <w:spacing w:after="120"/>
        <w:rPr>
          <w:rFonts w:ascii="Times New Roman" w:hAnsi="Times New Roman"/>
        </w:rPr>
      </w:pPr>
      <w:r>
        <w:rPr>
          <w:rFonts w:ascii="Times New Roman" w:hAnsi="Times New Roman"/>
        </w:rPr>
        <w:t xml:space="preserve">Compte tenu de l’expérience acquise et des effets tant de la COVID-19 que de la guerre d’agression menée par la Russie en Ukraine, ainsi que de l’augmentation du coût de la vie sur la santé mentale, la Commission a adopté, en juin 2023, la communication relative à une approche globale de la santé mentale (paragraphes 239 à 270). Cette nouvelle approche globale et transsectorielle axée sur la promotion et la prévention ainsi que sur la </w:t>
      </w:r>
      <w:r>
        <w:rPr>
          <w:rFonts w:ascii="Times New Roman" w:hAnsi="Times New Roman"/>
        </w:rPr>
        <w:lastRenderedPageBreak/>
        <w:t xml:space="preserve">déstigmatisation est un pilier de l’union européenne de la santé (paragraphe 270). Elle compte 20 initiatives phares et bénéficie d’un financement de plus de 1,25 milliard d’euros. La communication met l’accent sur le soutien aux groupes vulnérables, tels que les enfants (paragraphe 270) et les jeunes ainsi que les personnes âgées et les personnes déplacées en provenance d’Ukraine. Horizon 2020 (paragraphes 237 et 468) soutient des projets de recherche et d’innovation qui étudient les </w:t>
      </w:r>
      <w:hyperlink r:id="rId18">
        <w:r>
          <w:rPr>
            <w:rStyle w:val="Hyperlink"/>
            <w:rFonts w:ascii="Times New Roman" w:hAnsi="Times New Roman"/>
          </w:rPr>
          <w:t>incidences comportementales, sociales et économiques de la réaction à la pandémie, y compris dans les populations vulnérables</w:t>
        </w:r>
      </w:hyperlink>
      <w:r>
        <w:rPr>
          <w:rFonts w:ascii="Times New Roman" w:hAnsi="Times New Roman"/>
        </w:rPr>
        <w:t xml:space="preserve"> (par exemple, le projet PERISCOPE). Le programme «L’UE pour la santé» soutient également des actions visant à mettre en œuvre les bonnes pratiques en matière de santé mentale des enfants et des adolescents vulnérables et à soutenir la mise en œuvre des bonnes pratiques pour relever les défis en matière de santé mentale qui ont été tirés de la COVID-19. Dans le domaine de la santé mentale au travail, la Commission procédera à un examen par les pairs des approches adoptées par les États membres pour faire face aux risques psychosociaux au travail en vue, et sous réserve de ses résultats et de la contribution des partenaires sociaux, de présenter une initiative à l’échelle de l’UE à moyen terme (paragraphe 269).</w:t>
      </w:r>
    </w:p>
    <w:p w14:paraId="152F7DAC" w14:textId="77777777" w:rsidR="00E25CD8" w:rsidRPr="00FE5B6D" w:rsidRDefault="00E25CD8" w:rsidP="00E25CD8">
      <w:pPr>
        <w:numPr>
          <w:ilvl w:val="0"/>
          <w:numId w:val="24"/>
        </w:numPr>
        <w:spacing w:after="120"/>
        <w:rPr>
          <w:rFonts w:ascii="Times New Roman" w:hAnsi="Times New Roman"/>
          <w:b/>
          <w:bCs/>
        </w:rPr>
      </w:pPr>
      <w:r>
        <w:rPr>
          <w:rFonts w:ascii="Times New Roman" w:hAnsi="Times New Roman"/>
          <w:b/>
        </w:rPr>
        <w:t>Approche coordonnée en matière de démocratie et de droits fondamentaux</w:t>
      </w:r>
    </w:p>
    <w:p w14:paraId="59F4E488" w14:textId="77777777" w:rsidR="00E25CD8" w:rsidRPr="00FE5B6D" w:rsidRDefault="00E25CD8" w:rsidP="00E25CD8">
      <w:pPr>
        <w:spacing w:after="120"/>
        <w:rPr>
          <w:rFonts w:ascii="Times New Roman" w:hAnsi="Times New Roman"/>
        </w:rPr>
      </w:pPr>
      <w:r>
        <w:rPr>
          <w:rFonts w:ascii="Times New Roman" w:hAnsi="Times New Roman"/>
        </w:rPr>
        <w:t>Tout au long de la pandémie, la Commission a clairement indiqué que les réponses à la crise devaient respecter les valeurs et principes fondamentaux de l’Union (paragraphes 342 et 595). Dans son rapport annuel sur l’état de droit, la Commission a, depuis 2020, suivi et analysé de près les cadres législatifs relatifs à l’état d’urgence dans les États membres et leur utilisation. Les principaux critères appliqués aux mesures d’urgence (paragraphe 594) ont été notamment de savoir si les mesures ont été limitées dans le temps, si des garanties avaient été mises en place pour faire en sorte que les mesures soient strictement nécessaires et proportionnées, et si un contrôle parlementaire et judiciaire et une surveillance par les médias et la société civile ont pu être maintenus.</w:t>
      </w:r>
    </w:p>
    <w:p w14:paraId="22F02653" w14:textId="77777777" w:rsidR="00E25CD8" w:rsidRPr="00FE5B6D" w:rsidRDefault="00E25CD8" w:rsidP="00E25CD8">
      <w:pPr>
        <w:spacing w:after="120"/>
        <w:rPr>
          <w:rFonts w:ascii="Times New Roman" w:hAnsi="Times New Roman"/>
        </w:rPr>
      </w:pPr>
      <w:r>
        <w:rPr>
          <w:rFonts w:ascii="Times New Roman" w:hAnsi="Times New Roman"/>
        </w:rPr>
        <w:t>En ce qui concerne l’appel du Parlement en faveur d’une prise de décision inclusive lors de l’élaboration des propositions législatives liées à la gestion des pandémies (paragraphe 340), la Commission note que le programme pour une meilleure réglementation garantit une prise de décision transparente et fondée sur des données probantes pour les propositions législatives. En outre, le comité de sécurité sanitaire et la Commission consultent régulièrement des experts de la santé publique, des organisations internationales et des parties prenantes concernées. De plus, le comité consultatif pour les urgences de santé publique peut comprendre des représentants des professionnels de la santé et de l’aide sociale, ainsi que des représentants de la société civile.</w:t>
      </w:r>
    </w:p>
    <w:p w14:paraId="71FB0DB9" w14:textId="5B1E3608" w:rsidR="00E25CD8" w:rsidRPr="00FE5B6D" w:rsidRDefault="00E25CD8" w:rsidP="00E25CD8">
      <w:pPr>
        <w:spacing w:after="120"/>
        <w:rPr>
          <w:rFonts w:ascii="Times New Roman" w:hAnsi="Times New Roman"/>
        </w:rPr>
      </w:pPr>
      <w:bookmarkStart w:id="3" w:name="_Hlk146637281"/>
      <w:r>
        <w:rPr>
          <w:rFonts w:ascii="Times New Roman" w:hAnsi="Times New Roman"/>
        </w:rPr>
        <w:t>La Commission partage l’avis du Parlement (paragraphes 369 et 579) selon lequel l’approche non coordonnée des États membres et l’insécurité juridique entourant les restrictions de déplacement ont eu des conséquences importantes.</w:t>
      </w:r>
      <w:r>
        <w:rPr>
          <w:rFonts w:ascii="Times New Roman" w:hAnsi="Times New Roman"/>
          <w:color w:val="666666"/>
          <w:shd w:val="clear" w:color="auto" w:fill="FFFFFF"/>
        </w:rPr>
        <w:t xml:space="preserve"> </w:t>
      </w:r>
      <w:r>
        <w:rPr>
          <w:rFonts w:ascii="Times New Roman" w:hAnsi="Times New Roman"/>
        </w:rPr>
        <w:t xml:space="preserve">Au début de la pandémie, des contrôles aux frontières intérieures ont été rétablis par la plupart des États membres, la coordination commune entre ces derniers n’intervenant qu’ultérieurement, ce qui a parfois compromis le bon fonctionnement du marché unique. En réaction, la Commission en a appelé au Conseil afin que celui-ci adopte une décision coordonnée concernant des restrictions aux déplacements non essentiels effectués au départ de pays tiers à destination de l’espace Schengen. Cet appel a été suivi par les États membres et a ensuite été inclus dans une recommandation du Conseil concernant la restriction temporaire des déplacements non essentiels vers l’UE et la possible levée de ces restrictions. </w:t>
      </w:r>
      <w:bookmarkEnd w:id="3"/>
      <w:r>
        <w:rPr>
          <w:rFonts w:ascii="Times New Roman" w:hAnsi="Times New Roman"/>
        </w:rPr>
        <w:t>La proposition de modification du code frontières Schengen de décembre 2021 vise à une mise en œuvre plus harmonisée par les États membres des restrictions aux frontières extérieures. Une version actualisée du manuel pratique à l’intention des garde-frontières (paragraphe 597) a été adoptée le 28 octobre 2022.</w:t>
      </w:r>
    </w:p>
    <w:p w14:paraId="474A6EAA" w14:textId="77777777" w:rsidR="00E25CD8" w:rsidRPr="00FE5B6D" w:rsidRDefault="00E25CD8" w:rsidP="00E25CD8">
      <w:pPr>
        <w:spacing w:after="120"/>
        <w:rPr>
          <w:rFonts w:ascii="Times New Roman" w:hAnsi="Times New Roman"/>
        </w:rPr>
      </w:pPr>
      <w:r>
        <w:rPr>
          <w:rFonts w:ascii="Times New Roman" w:hAnsi="Times New Roman"/>
        </w:rPr>
        <w:t xml:space="preserve">La Commission partage l’avis du Parlement selon lequel le certificat COVID numérique de l’UE a été un élément essentiel de la réponse de l’Europe à la pandémie de COVID-19 </w:t>
      </w:r>
      <w:r>
        <w:rPr>
          <w:rFonts w:ascii="Times New Roman" w:hAnsi="Times New Roman"/>
        </w:rPr>
        <w:lastRenderedPageBreak/>
        <w:t>(paragraphe 345). Il s’agissait d’un outil essentiel pour permettre à des millions d’Européens de continuer à voyager, et son adoption par les pays du reste du monde a montré qu’une solution construite dans l’UE était appréciée dans de nombreux autres pays. Le règlement (UE) 2021/953 sous-jacent, qui vient à expiration le 30 juin 2022, a été prorogé d’un an — jusqu’au 30 juin 2023 — mais le contexte épidémiologique n’a pas justifié une nouvelle prolongation. L’adoption de la technologie du certificat COVID numérique de l’UE par l’Organisation mondiale de la santé (OMS) est une reconnaissance importante du potentiel de l’infrastructure technique du certificat COVID numérique de l’UE, y compris au-delà de la COVID-19. L’arrangement administratif entre la Commission et l’OMS, de nature technique et non contraignante, prévoit une coopération technique visant à garantir que le système de l’OMS s’appuie sur les valeurs de l’UE telles que la protection des données, les logiciels libres et l’accessibilité et est conforme à celles-ci.</w:t>
      </w:r>
    </w:p>
    <w:p w14:paraId="0D843E5C" w14:textId="77777777" w:rsidR="00E25CD8" w:rsidRPr="00FE5B6D" w:rsidRDefault="00E25CD8" w:rsidP="00E25CD8">
      <w:pPr>
        <w:spacing w:after="120"/>
        <w:rPr>
          <w:rFonts w:ascii="Times New Roman" w:hAnsi="Times New Roman"/>
        </w:rPr>
      </w:pPr>
      <w:r>
        <w:rPr>
          <w:rFonts w:ascii="Times New Roman" w:hAnsi="Times New Roman"/>
        </w:rPr>
        <w:t>En ce qui concerne la désinformation, la Commission soutient les États membres en matière de communication sur les risques (paragraphe 377), y compris les collaborations avec l’OMS sur les efforts visant à tirer les enseignements de la pandémie et à planifier l’avenir de la gestion des infodémies. La Commission est également en contact étroit avec tous les fournisseurs de plateformes en ligne concernés (paragraphes 243, 336 et 578), tant dans le cadre du code de bonnes pratiques contre la désinformation de 2022 que dans le contexte de l’application de la législation sur les services numériques. Les signataires du code de 2022 ont déjà présenté leurs premiers rapports de base sur la mise en œuvre de leurs engagements (paragraphe 327). En vertu de la législation sur les services numériques, les fournisseurs de plateformes ou de moteurs de recherche désignés comme étant de très grandes plateformes en ligne ou de très grands moteurs de recherche en ligne sont tenus de procéder à des évaluations des risques et de mettre en place des mesures d’atténuation des risques raisonnables, proportionnées et efficaces, par exemple en ce qui concerne les risques pour le discours civique et les processus électoraux, la protection de la santé publique ou la diffusion de contenus illicites, tels que les discours haineux illégaux. Dans le cadre du plan d’action en matière d’éducation numérique (paragraphe 580), en octobre 2022, la Commission a lancé des lignes directrices sur la lutte contre la désinformation et la promotion de l’habileté numérique par l’éducation et la formation. En outre, la lutte contre la désinformation est soutenue par des projets de terrain dans le cadre du programme Erasmus+, du corps européen de solidarité et d’eTwinning.</w:t>
      </w:r>
    </w:p>
    <w:p w14:paraId="255917A8" w14:textId="77777777" w:rsidR="00E25CD8" w:rsidRPr="00FE5B6D" w:rsidRDefault="00E25CD8" w:rsidP="00E25CD8">
      <w:pPr>
        <w:spacing w:after="120"/>
        <w:rPr>
          <w:rFonts w:ascii="Times New Roman" w:hAnsi="Times New Roman"/>
        </w:rPr>
      </w:pPr>
      <w:r>
        <w:rPr>
          <w:rFonts w:ascii="Times New Roman" w:hAnsi="Times New Roman"/>
        </w:rPr>
        <w:t>Afin de prévenir et de combattre la propagation des discours haineux illégaux en ligne, outre les évolutions liées à la législation sur les services numériques, la Commission note qu’en mai 2016, elle a convenu, avec les fournisseurs de certaines des plus grandes plateformes en ligne, d’un «code de conduite pour la lutte contre les discours haineux illégaux en ligne». En ce qui concerne la protection des médias (paragraphe 328), la Commission a adopté en septembre 2022 la proposition de législation européenne sur la liberté des médias, afin de protéger un secteur des médias fort et indépendant. Une recommandation de la Commission de 2021 fournit un catalogue de mesures pratiques qui pourraient être appliquées au niveau national pour garantir la sécurité des journalistes. En outre, le programme «Europe créative» prévoit des actions et des projets en faveur de la liberté et du pluralisme des médias.</w:t>
      </w:r>
    </w:p>
    <w:p w14:paraId="65ED3F67" w14:textId="5C61FCDD" w:rsidR="00E25CD8" w:rsidRPr="00FE5B6D" w:rsidRDefault="00E25CD8" w:rsidP="00E25CD8">
      <w:pPr>
        <w:spacing w:after="120"/>
        <w:rPr>
          <w:rFonts w:ascii="Times New Roman" w:hAnsi="Times New Roman"/>
        </w:rPr>
      </w:pPr>
      <w:r>
        <w:rPr>
          <w:rFonts w:ascii="Times New Roman" w:hAnsi="Times New Roman"/>
        </w:rPr>
        <w:t xml:space="preserve">En ce qui concerne la situation des groupes vulnérables en situation de crise (paragraphes 378, 382 et 388), la Commission a adopté un certain nombre de stratégies en matière d’égalité (stratégie pour l’égalité entre les hommes et les femmes, plan d’action contre le racisme, cadre stratégique de l’UE pour les Roms, stratégie pour les personnes LGBTIQ, stratégie en faveur des droits des personnes handicapées) visant à sensibiliser à l’intersectionnalité et à la nécessité de lutter contre les inégalités structurelles et de protéger les droits des minorités et des communautés défavorisées. La stratégie de l’UE sur les droits de l’enfant (paragraphes 381 et 467) souligne que les enfants devraient être associés aux processus décisionnels sur les questions qui les concernent, y compris en ce qui concerne les </w:t>
      </w:r>
      <w:r>
        <w:rPr>
          <w:rFonts w:ascii="Times New Roman" w:hAnsi="Times New Roman"/>
        </w:rPr>
        <w:lastRenderedPageBreak/>
        <w:t xml:space="preserve">lignes directrices. La </w:t>
      </w:r>
      <w:hyperlink r:id="rId19" w:tgtFrame="_blank" w:history="1">
        <w:r>
          <w:rPr>
            <w:rStyle w:val="Hyperlink"/>
            <w:rFonts w:ascii="Times New Roman" w:hAnsi="Times New Roman"/>
          </w:rPr>
          <w:t>plateforme européenne de participation des enfants</w:t>
        </w:r>
      </w:hyperlink>
      <w:r>
        <w:rPr>
          <w:rFonts w:ascii="Times New Roman" w:hAnsi="Times New Roman"/>
        </w:rPr>
        <w:t xml:space="preserve"> crée un espace permettant aux enfants d’exprimer leur point de vue par leurs organisations. Ces stratégies constituent une base importante pour protéger les besoins des personnes vulnérables en temps de crise. La lutte contre toutes les formes de violence fondée sur le genre en ligne et hors ligne (paragraphes 389, 459 et 463) est également une priorité pour la Commission actuelle. En mars 2022, la Commission européenne a adopté une proposition de directive sur la lutte contre la violence à l’égard des femmes et la violence domestique.</w:t>
      </w:r>
    </w:p>
    <w:p w14:paraId="59A6352C" w14:textId="77777777" w:rsidR="00E25CD8" w:rsidRPr="00FE5B6D" w:rsidRDefault="00E25CD8" w:rsidP="00E25CD8">
      <w:pPr>
        <w:numPr>
          <w:ilvl w:val="0"/>
          <w:numId w:val="24"/>
        </w:numPr>
        <w:spacing w:after="120"/>
        <w:rPr>
          <w:rFonts w:ascii="Times New Roman" w:hAnsi="Times New Roman"/>
          <w:b/>
        </w:rPr>
      </w:pPr>
      <w:r>
        <w:rPr>
          <w:rFonts w:ascii="Times New Roman" w:hAnsi="Times New Roman"/>
          <w:b/>
        </w:rPr>
        <w:t>Impact social et économique</w:t>
      </w:r>
    </w:p>
    <w:p w14:paraId="5852C242" w14:textId="362E9A01" w:rsidR="00E25CD8" w:rsidRPr="00FE5B6D" w:rsidRDefault="00E25CD8" w:rsidP="00E25CD8">
      <w:pPr>
        <w:spacing w:after="120"/>
        <w:rPr>
          <w:rFonts w:ascii="Times New Roman" w:hAnsi="Times New Roman"/>
        </w:rPr>
      </w:pPr>
      <w:r>
        <w:rPr>
          <w:rFonts w:ascii="Times New Roman" w:hAnsi="Times New Roman"/>
        </w:rPr>
        <w:t>Le cadre de coordination des politiques économiques et de l’emploi de l’UE s’articule autour des quatre dimensions (paragraphe 445) de la durabilité compétitive de l’UE – durabilité environnementale, productivité, équité et stabilité macroéconomique – conformément aux objectifs de développement durable des Nations unies.</w:t>
      </w:r>
    </w:p>
    <w:p w14:paraId="79F33FAE" w14:textId="77777777" w:rsidR="00E25CD8" w:rsidRPr="00FE5B6D" w:rsidRDefault="00E25CD8" w:rsidP="00E25CD8">
      <w:pPr>
        <w:spacing w:after="120"/>
        <w:rPr>
          <w:rFonts w:ascii="Times New Roman" w:hAnsi="Times New Roman"/>
        </w:rPr>
      </w:pPr>
      <w:r>
        <w:rPr>
          <w:rFonts w:ascii="Times New Roman" w:hAnsi="Times New Roman"/>
        </w:rPr>
        <w:t>La Commission partage l’avis du Parlement sur l’importance fondamentale de la FRR et de l’instrument européen de soutien temporaire à l’atténuation des risques de chômage en situation d’urgence (SURE) (paragraphes 404 et 405) pour atténuer les conséquences économiques et sociales de la pandémie de COVID-19. SURE était un instrument temporaire soutenant les États membres de manière ciblée pendant la pandémie, en contribuant à protéger les salariés et les travailleurs indépendants contre le risque de chômage et de perte de revenus. Les enseignements tirés du succès de SURE sont tirés, avec la publication récente du cinquième rapport SURE en juin 2023 et une évaluation ex post prévue pour la fin de 2024. La FRR continuera de soutenir les États membres jusqu’à la fin de 2026. La combinaison de réformes structurelles et d’investissements au titre de la FRR garantira une incidence durable, en s’attaquant aux problèmes structurels dans les États membres. Outre le respect de certaines règles de l’UE et nationales (paragraphe 407), notamment en matière de marchés publics, les risques éventuels de corruption liés à la FRR sont encore atténués, par exemple grâce à l’évaluation de l’adéquation des systèmes de contrôle nationaux et à des audits réguliers des systèmes de contrôle de tous les États membres.</w:t>
      </w:r>
    </w:p>
    <w:p w14:paraId="03DEF106" w14:textId="77777777" w:rsidR="00E25CD8" w:rsidRPr="00FE5B6D" w:rsidRDefault="00E25CD8" w:rsidP="00E25CD8">
      <w:pPr>
        <w:spacing w:after="120"/>
        <w:rPr>
          <w:rFonts w:ascii="Times New Roman" w:hAnsi="Times New Roman"/>
        </w:rPr>
      </w:pPr>
      <w:r>
        <w:rPr>
          <w:rFonts w:ascii="Times New Roman" w:hAnsi="Times New Roman"/>
        </w:rPr>
        <w:t>La pandémie de COVID-19 a montré l’importance de défendre notre marché unique en temps de crise (paragraphe 449). Cela a été particulièrement vrai au cours des premiers mois de la pandémie. En septembre 2022, la Commission a adopté une proposition de règlement établissant un instrument du marché unique pour les situations d’urgence, qui est actuellement à une phase avancée de négociation interinstitutionnelle et qui vise à mettre en place un mécanisme souple et transparent pour réagir rapidement aux situations d’urgence et aux crises qui menacent le fonctionnement du marché unique.</w:t>
      </w:r>
    </w:p>
    <w:p w14:paraId="1AD11B92" w14:textId="77777777" w:rsidR="00E25CD8" w:rsidRPr="00FE5B6D" w:rsidRDefault="00E25CD8" w:rsidP="00E25CD8">
      <w:pPr>
        <w:spacing w:after="120"/>
        <w:rPr>
          <w:rFonts w:ascii="Times New Roman" w:hAnsi="Times New Roman"/>
        </w:rPr>
      </w:pPr>
      <w:bookmarkStart w:id="4" w:name="_Hlk146638977"/>
      <w:r>
        <w:rPr>
          <w:rFonts w:ascii="Times New Roman" w:hAnsi="Times New Roman"/>
        </w:rPr>
        <w:t>En ce qui concerne l’égalité entre les hommes et les femmes et d’autres aspects liés à l’égalité (paragraphe 464), outre les stratégies déjà mentionnées, les plans nationaux pour la reprise et la résilience des États membres comprennent des mesures importantes pour intégrer ces considérations dans les réformes et les investissements, y compris, par exemple, 134 mesures axées sur l’égalité entre les femmes et les hommes. Cette approche a été traduite dans les orientations relatives à la révision des plans et au plan REPowerEU, et une réunion d’un groupe d’experts de la FRR a récemment été organisée pour intégrer les considérations relatives à l’égalité. En ce qui concerne l’égalité entre les hommes et les femmes, le règlement délégué (UE) 2021/2105 de la Commission, qui définit une méthode de déclaration des dépenses sociales au titre de la FRR, prévoit également que chaque mesure de nature sociale qui met l’accent sur l’égalité entre les hommes et les femmes soit mise en évidence, ce qui permet un rapport spécifique ultérieur sur les dépenses réalisées au titre de la facilité en faveur de l’égalité entre les femmes et les hommes.</w:t>
      </w:r>
      <w:bookmarkEnd w:id="4"/>
    </w:p>
    <w:p w14:paraId="631B5FD7" w14:textId="77777777" w:rsidR="00E25CD8" w:rsidRPr="00FE5B6D" w:rsidRDefault="00E25CD8" w:rsidP="00E25CD8">
      <w:pPr>
        <w:spacing w:after="120"/>
        <w:rPr>
          <w:rFonts w:ascii="Times New Roman" w:hAnsi="Times New Roman"/>
        </w:rPr>
      </w:pPr>
      <w:r>
        <w:rPr>
          <w:rFonts w:ascii="Times New Roman" w:hAnsi="Times New Roman"/>
        </w:rPr>
        <w:t xml:space="preserve">Le soutien à la prochaine génération (paragraphe 466) est l’un des six piliers de la facilité pour la reprise et la résilience. Au total, les États membres ont proposé des mesures dans le </w:t>
      </w:r>
      <w:r>
        <w:rPr>
          <w:rFonts w:ascii="Times New Roman" w:hAnsi="Times New Roman"/>
        </w:rPr>
        <w:lastRenderedPageBreak/>
        <w:t>domaine de l’éducation et des compétences pour un montant d’environ 73 milliards d’euros. La dimension «jeunesse» est également fortement intégrée dans le cadre des lignes directrices de la Commission pour une meilleure réglementation. L’UE est également fermement résolue à veiller à ce que toute l’aide humanitaire financée par l’UE tienne compte de la dimension du genre et de l’âge.</w:t>
      </w:r>
    </w:p>
    <w:p w14:paraId="2C38B6F7" w14:textId="2D85B393" w:rsidR="00E25CD8" w:rsidRPr="00FE5B6D" w:rsidRDefault="00E25CD8" w:rsidP="00E25CD8">
      <w:pPr>
        <w:spacing w:after="120"/>
        <w:rPr>
          <w:rFonts w:ascii="Times New Roman" w:hAnsi="Times New Roman"/>
        </w:rPr>
      </w:pPr>
      <w:bookmarkStart w:id="5" w:name="_Hlk153532593"/>
      <w:r>
        <w:rPr>
          <w:rFonts w:ascii="Times New Roman" w:hAnsi="Times New Roman"/>
        </w:rPr>
        <w:t xml:space="preserve">Améliorer l’accès aux services sociaux et de soins des personnes handicapées et des personnes ayant besoin de soins et de soutien de longue durée, ainsi que leur qualité, constitue des priorités </w:t>
      </w:r>
      <w:bookmarkEnd w:id="5"/>
      <w:r>
        <w:rPr>
          <w:rFonts w:ascii="Times New Roman" w:hAnsi="Times New Roman"/>
        </w:rPr>
        <w:t>essentielles de la stratégie en faveur des droits des personnes handicapées, de la stratégie sur les droits de l’enfant et de la stratégie européenne en matière de soins (paragraphes 388 et 485). En tant qu’action phare de la stratégie en faveur des droits des personnes handicapées, la Commission présentera en 2024 un cadre spécifique sur les services sociaux d’excellence pour les personnes handicapées.</w:t>
      </w:r>
    </w:p>
    <w:p w14:paraId="16CFDEE0" w14:textId="77777777" w:rsidR="00E25CD8" w:rsidRPr="00FE5B6D" w:rsidRDefault="00E25CD8" w:rsidP="00E25CD8">
      <w:pPr>
        <w:numPr>
          <w:ilvl w:val="0"/>
          <w:numId w:val="24"/>
        </w:numPr>
        <w:spacing w:after="120"/>
        <w:rPr>
          <w:rFonts w:ascii="Times New Roman" w:hAnsi="Times New Roman"/>
          <w:b/>
          <w:bCs/>
        </w:rPr>
      </w:pPr>
      <w:r>
        <w:rPr>
          <w:rFonts w:ascii="Times New Roman" w:hAnsi="Times New Roman"/>
          <w:b/>
        </w:rPr>
        <w:t>L’Union et le monde</w:t>
      </w:r>
    </w:p>
    <w:p w14:paraId="3FA5F33E" w14:textId="77777777" w:rsidR="00E25CD8" w:rsidRPr="00FE5B6D" w:rsidRDefault="00E25CD8" w:rsidP="00E25CD8">
      <w:pPr>
        <w:spacing w:after="120"/>
        <w:rPr>
          <w:rFonts w:ascii="Times New Roman" w:hAnsi="Times New Roman"/>
        </w:rPr>
      </w:pPr>
      <w:r>
        <w:rPr>
          <w:rFonts w:ascii="Times New Roman" w:hAnsi="Times New Roman"/>
        </w:rPr>
        <w:t>La Commission et le haut représentant, soutenus par le Service européen pour l’action extérieure (SEAE), conjointement avec les États membres, dans le cadre d’une approche «Équipe Europe», ont joué un rôle essentiel dans le soutien à un accès équitable aux contre-mesures médicales pour les pays tiers pendant la pandémie (paragraphes 50, 503 et 614), notamment en contribuant à des plateformes multilatérales telles que l’accélérateur d’accès aux outils contre la COVID-19 (ACT-A) et le mécanisme COVAX. Ce dernier a permis la livraison de 2 milliards de doses à 146 pays. En plus d’être un membre fondateur essentiel du dispositif ACT-A et du mécanisme COVAX, l’Équipe Europe est le premier donateur de vaccins contre la COVID-19, avec plus de 530 millions de doses de vaccin contre la COVID-19 données aux pays partenaires, dont 444 millions distribués par l’intermédiaire de COVAX. L’UE ne dispose plus d’un mécanisme temporaire de transparence et d’autorisation des exportations (paragraphe 540) et fait constamment usage de canaux bilatéraux et multilatéraux pour éviter les mesures de restriction commerciale. La Commission et les États membres ont participé et contribué aux propres examens du mécanisme COVAX par l’Alliance GAVI (paragraphe 503) ainsi qu’au nouveau programme COVID-19 qui a succédé à COVAX en 2024-2025 par l’intermédiaire des structures de gouvernance de l’Alliance mondiale du vaccin (GAVI). En outre, la Commission est prête à aider les États membres à tirer les enseignements des dons de vaccins contre la COVID-19 (paragraphe 614), ainsi que de la diplomatie de partage des vaccins menée par les pays tiers. En ce qui concerne la demande du Parlement relative à l’accès à la réserve humanitaire (paragraphe 534), la Commission note que la mise en place de régimes de responsabilité pour les allégations de préjudice potentielles au moyen d’instruments internationaux pourrait améliorer l’efficacité de cet outil.</w:t>
      </w:r>
    </w:p>
    <w:p w14:paraId="5C717062" w14:textId="77777777" w:rsidR="00E25CD8" w:rsidRPr="00FE5B6D" w:rsidRDefault="00E25CD8" w:rsidP="00E25CD8">
      <w:pPr>
        <w:spacing w:after="120"/>
        <w:rPr>
          <w:rFonts w:ascii="Times New Roman" w:hAnsi="Times New Roman"/>
        </w:rPr>
      </w:pPr>
      <w:r>
        <w:rPr>
          <w:rFonts w:ascii="Times New Roman" w:hAnsi="Times New Roman"/>
        </w:rPr>
        <w:t xml:space="preserve">Le renforcement de la prévention, de la préparation et de la réaction aux futures urgences sanitaires et du rôle central de l’OMS est une priorité de l’UE (paragraphes 497 et 619). L’UE a soutenu une OMS plus forte et plus efficace, ainsi qu’une OMS plus responsable et financée de manière plus durable. L’OMS devrait être au cœur du système multilatéral, avec une coopération approfondie par l’intermédiaire du G7 et du G20, ainsi qu’avec d’autres partenaires mondiaux, régionaux et bilatéraux. La stratégie en matière de santé mondiale adoptée en novembre 2022 a mis en évidence l’objectif de l’UE d’accorder un statut d’observateur officiel à l’OMS et de renforcer la position de l’UE dans le domaine de la santé mondiale. La Commission apporte également un soutien financier à l’OMS par l’intermédiaire du programme «L’UE pour la santé» et de l’instrument de voisinage, de coopération au développement et de coopération internationale — Europe dans le monde. Les services de la Commission et le Service européen pour l’action extérieure consacrent tous deux une attention accrue à la mise en œuvre de la stratégie, notamment par l’intermédiaire d’un nouveau secteur mondial de la santé au sein de la division des affaires économiques et de la santé mondiale du SEAE (paragraphe 514). En ce qui concerne le </w:t>
      </w:r>
      <w:r>
        <w:rPr>
          <w:rFonts w:ascii="Times New Roman" w:hAnsi="Times New Roman"/>
        </w:rPr>
        <w:lastRenderedPageBreak/>
        <w:t>suivi des stratégies de santé publique des pays tiers (paragraphe 514), le règlement (UE) 2022/2370 confère également à l’ECDC un mandat renforcé pour soutenir la préparation et les réactions internationales et sur le terrain.</w:t>
      </w:r>
    </w:p>
    <w:p w14:paraId="06F137CC" w14:textId="77777777" w:rsidR="00E25CD8" w:rsidRPr="00FE5B6D" w:rsidRDefault="00E25CD8" w:rsidP="00E25CD8">
      <w:pPr>
        <w:spacing w:after="120"/>
        <w:rPr>
          <w:rFonts w:ascii="Times New Roman" w:hAnsi="Times New Roman"/>
        </w:rPr>
      </w:pPr>
      <w:r>
        <w:rPr>
          <w:rFonts w:ascii="Times New Roman" w:hAnsi="Times New Roman"/>
        </w:rPr>
        <w:t>En tant que négociatrice pour les questions relevant de la compétence de l’UE, la Commission est fermement résolue à tout mettre en œuvre pour mener à bien les négociations sur l’accord sur les pandémies et les modifications du règlement sanitaire international d’ici mai 2024 (paragraphes 522 et 523), tout en garantissant la complémentarité et la cohérence entre les deux instruments. En ce qui concerne l’accord sur les pandémies, l’UE a proposé des dispositions solides sur la prévention, la surveillance des risques d’épidémie, la surveillance des contacts entre les animaux sauvages, le bétail et les êtres humains (paragraphe 566) et le contrôle rapide, conformément à l’approche «Une seule santé» (paragraphe 253, 501 et 612), ainsi que sur la résistance aux antimicrobiens. Les propositions de l’UE accordent également une place centrale aux considérations d’équité, avec des dispositions spécifiques visant à améliorer la disponibilité et le caractère abordable des contre-mesures pertinentes pour les pays à revenu faible et intermédiaire, y compris par la mise en place d’une plateforme permanente, en s’appuyant sur l’expérience de l’accélérateur ACT. Les questions liées à la promotion du transfert volontaire de technologie (paragraphe 609) afin de renforcer les capacités de fabrication constituent un élément important pour améliorer la prévention, la préparation et la réaction aux pandémies, et l’UE joue un rôle actif dans les discussions sur cette question. Les cadres de propriété intellectuelle offrent la sécurité et la prévisibilité nécessaires à ce transfert de technologie, qui servent de plateformes permettant la coopération scientifique, les entreprises communes et les accords de licence volontaires. La Commission promeut la transparence dans le contexte des négociations avec la publication en ligne de documents relatifs à la position de l’UE et en soutenant la participation active de la société civile et des partenaires intergouvernementaux aux négociations (paragraphe 612).</w:t>
      </w:r>
    </w:p>
    <w:p w14:paraId="6EF63891" w14:textId="77777777" w:rsidR="00E25CD8" w:rsidRPr="00FE5B6D" w:rsidRDefault="00E25CD8" w:rsidP="00E25CD8">
      <w:pPr>
        <w:spacing w:after="120"/>
        <w:rPr>
          <w:rFonts w:ascii="Times New Roman" w:hAnsi="Times New Roman"/>
        </w:rPr>
      </w:pPr>
      <w:r>
        <w:rPr>
          <w:rFonts w:ascii="Times New Roman" w:hAnsi="Times New Roman"/>
        </w:rPr>
        <w:t>Le renforcement des liens et des partenariats avec les pays à revenu faible et intermédiaire et la promotion de leurs capacités et de leur résilience constituent un objectif clé pour l’UE (paragraphes 49, 504, 519, 520, 544, 545, 615, 617 et 618), y compris par l’intermédiaire des dialogues politiques que l’UE entretient avec ces pays. Une initiative phare spécifique «Équipe Europe» sur la fabrication et l’accès aux vaccins, aux médicaments et aux technologies de la santé en Afrique, annoncée par la présidente von der Leyen en mai 2021, a continué de progresser, plus de 1,1 milliard d’euros étant alloués par l’UE et ses États membres à l’action nationale et continentale en Afrique. Un partenariat de l’UE en matière de santé avec l’Amérique latine et les Caraïbes dans le domaine de la fabrication pharmaceutique a également été lancé en 2022, avec des événements clés visant à stimuler les partenariats entre les continents dans le secteur privé en 2023. La Commission met également en place une initiative «Équipe Europe» avec l’Afrique en matière de sécurité sanitaire, en s’appuyant sur l’approche «Une seule santé» et en étroite collaboration avec les centres africains de contrôle et de prévention des maladies et d’autres partenaires africains afin d’améliorer la préparation, la prévention et la réaction aux pandémies, ainsi qu’une initiative «Équipe Europe» visant à renforcer les instituts de santé publique. Un contrat est en cours d’élaboration avec l’EMA pour soutenir l’Agence africaine des médicaments (paragraphes 520 et 620). En outre, dans le cadre des négociations relatives au nouvel accord sur les pandémies, l’UE a formulé des propositions qui permettraient d’élargir les capacités régionales et nationales de recherche et de développement pour les partenaires à revenu faible et intermédiaire. Enfin, la Commission a activement contribué à la création et au financement initial du Fonds pour les pandémies, qui finance des investissements essentiels visant à renforcer les capacités de prévention, de préparation et de réaction aux pandémies aux niveaux national, régional et mondial, en mettant l’accent sur les pays à revenu faible et intermédiaire.</w:t>
      </w:r>
    </w:p>
    <w:p w14:paraId="76E4FA00" w14:textId="77777777" w:rsidR="00E25CD8" w:rsidRPr="00FE5B6D" w:rsidRDefault="00E25CD8" w:rsidP="00E25CD8">
      <w:pPr>
        <w:spacing w:after="120"/>
        <w:rPr>
          <w:rFonts w:ascii="Times New Roman" w:hAnsi="Times New Roman"/>
        </w:rPr>
      </w:pPr>
      <w:r>
        <w:rPr>
          <w:rFonts w:ascii="Times New Roman" w:hAnsi="Times New Roman"/>
        </w:rPr>
        <w:lastRenderedPageBreak/>
        <w:t>La Commission reconnaît l’importance de l’alignement de la réglementation et des normes internationales (paragraphes 520 et 620) et participe aux enceintes multilatérales pour promouvoir la convergence réglementaire au niveau international. La stratégie pharmaceutique pour l’Europe définit une coopération à l’échelle mondiale avec l’EMA et le réseau des régulateurs nationaux dans le cadre d’une coopération bilatérale et dans les enceintes internationales.</w:t>
      </w:r>
    </w:p>
    <w:p w14:paraId="4957BE6C" w14:textId="6FF99A24" w:rsidR="00E25CD8" w:rsidRPr="00FE5B6D" w:rsidRDefault="00E25CD8" w:rsidP="00E25CD8">
      <w:pPr>
        <w:spacing w:after="120"/>
        <w:rPr>
          <w:rFonts w:ascii="Times New Roman" w:hAnsi="Times New Roman"/>
        </w:rPr>
      </w:pPr>
      <w:r>
        <w:rPr>
          <w:rFonts w:ascii="Times New Roman" w:hAnsi="Times New Roman"/>
        </w:rPr>
        <w:t>En ce qui concerne le régime des droits de propriété intellectuelle (paragraphes 525, 527, 529, 530, 531 et 554), la Commission partage l’avis du Parlement européen selon lequel encourager les accords de licence volontaires et le transfert volontaire de technologie et de savoir-faire devrait être le moyen le plus important d’étendre la production mondiale de vaccins (paragraphe 541). L’UE traite ses engagements au titre de l’article 66, paragraphe 2, de l’accord de l’OMC sur les aspects des droits de propriété intellectuelle qui touchent au commerce (accord sur les ADPIC) (paragraphe 527) avec la plus haute importance et présente des rapports réguliers sur de nombreux programmes de transfert de technologie financés et organisés par l’UE ou ses États membres dans les pays les moins avancés. La Commission partage l’avis du Parlement européen selon lequel les flexibilités prévues par l’accord sur les ADPIC sont des mesures légitimes visant à protéger et à promouvoir la santé publique (paragraphe 554).</w:t>
      </w:r>
      <w:r>
        <w:rPr>
          <w:rFonts w:ascii="Times New Roman" w:hAnsi="Times New Roman"/>
          <w:i/>
        </w:rPr>
        <w:t xml:space="preserve"> </w:t>
      </w:r>
      <w:r>
        <w:rPr>
          <w:rFonts w:ascii="Times New Roman" w:hAnsi="Times New Roman"/>
        </w:rPr>
        <w:t xml:space="preserve">La Commission reste déterminée à trouver un moyen de faire avancer les discussions au sein de l’OMC sur </w:t>
      </w:r>
      <w:bookmarkStart w:id="6" w:name="_Hlk153532839"/>
      <w:r>
        <w:rPr>
          <w:rFonts w:ascii="Times New Roman" w:hAnsi="Times New Roman"/>
        </w:rPr>
        <w:t xml:space="preserve">l’extension aux traitements et diagnostics contre la COVID-19 de la décision de l’OMC de juin 2022 </w:t>
      </w:r>
      <w:bookmarkEnd w:id="6"/>
      <w:r>
        <w:rPr>
          <w:rFonts w:ascii="Times New Roman" w:hAnsi="Times New Roman"/>
        </w:rPr>
        <w:t>sur la dérogation à l’accord sur les ADPIC (paragraphes 529 et 530). La Commission note également qu’en avril 2023, elle a proposé un règlement sur les licences obligatoires pour la gestion des crises, dans le but de permettre une utilisation rapide et efficace des licences obligatoires en cas de crise. Le règlement proposé est étroitement lié aux instruments de crise de l’UE tels que le règlement (UE) 2022/2371.</w:t>
      </w:r>
    </w:p>
    <w:p w14:paraId="463108C8" w14:textId="77777777" w:rsidR="00E25CD8" w:rsidRPr="00FE5B6D" w:rsidRDefault="00E25CD8" w:rsidP="00E25CD8">
      <w:pPr>
        <w:spacing w:after="120"/>
        <w:rPr>
          <w:rFonts w:ascii="Times New Roman" w:hAnsi="Times New Roman"/>
        </w:rPr>
      </w:pPr>
      <w:r>
        <w:rPr>
          <w:rFonts w:ascii="Times New Roman" w:hAnsi="Times New Roman"/>
        </w:rPr>
        <w:t>En ce qui concerne l’ingérence d’acteurs extérieurs à l’UE (paragraphe 581), l’UE a acquis une expertise considérable en matière de détection, d’analyse et de lutte contre la manipulation de l’information et l’ingérence étrangères. À la suite du plan d’action pour la démocratie européenne et de la boussole stratégique de l’UE, la Commission a encore renforcé la boîte à outils de l’UE pour lutter contre la manipulation de l’information et l’ingérence étrangères. En outre, la Commission travaille en étroite collaboration avec les États membres de l’UE, des partenaires internationaux tels que l’OTAN et le G7, la société civile et l’industrie privée.</w:t>
      </w:r>
    </w:p>
    <w:p w14:paraId="622AA870" w14:textId="77777777" w:rsidR="00E25CD8" w:rsidRPr="00FE5B6D" w:rsidRDefault="00E25CD8" w:rsidP="00E25CD8">
      <w:pPr>
        <w:numPr>
          <w:ilvl w:val="0"/>
          <w:numId w:val="24"/>
        </w:numPr>
        <w:spacing w:after="120"/>
        <w:rPr>
          <w:rFonts w:ascii="Times New Roman" w:hAnsi="Times New Roman"/>
          <w:b/>
          <w:bCs/>
        </w:rPr>
      </w:pPr>
      <w:r>
        <w:rPr>
          <w:rFonts w:ascii="Times New Roman" w:hAnsi="Times New Roman"/>
          <w:b/>
        </w:rPr>
        <w:t>Recommandations finales</w:t>
      </w:r>
    </w:p>
    <w:p w14:paraId="198CAAFB" w14:textId="2EA32A2D" w:rsidR="00E25CD8" w:rsidRPr="00FE5B6D" w:rsidRDefault="00E25CD8" w:rsidP="00E25CD8">
      <w:pPr>
        <w:spacing w:after="120"/>
        <w:rPr>
          <w:rFonts w:ascii="Times New Roman" w:hAnsi="Times New Roman"/>
        </w:rPr>
      </w:pPr>
      <w:r>
        <w:rPr>
          <w:rFonts w:ascii="Times New Roman" w:hAnsi="Times New Roman"/>
        </w:rPr>
        <w:t>En ce qui concerne les recommandations finales de la résolution, outre les éléments déjà mis en évidence dans les sections précédentes, la Commission prend note de l’appel du Parlement en faveur de futures initiatives législatives du Parlement au titre de l’article 225 du traité sur le fonctionnement de l’Union européenne dans un certain nombre de domaines (paragraphe 573). La Commission rappelle que la présidente von der Leyen a pris l’engagement politique de soutenir les droits du Parlement européen au titre de l’article 225 du TFUE, conformément aux dispositions de l’accord interinstitutionnel «Mieux légiférer». La Commission a tenu cet engagement et continuera de le faire. La Commission prend également acte de la demande du Parlement en faveur d’une révision de l’accord interinstitutionnel «Mieux légiférer» (paragraphe 596) et examinera attentivement toute demande du Parlement européen à cet égard. Dans le même temps, la Commission s’est engagée à garantir la mise en œuvre intégrale des dispositions actuelles de cet accord interinstitutionnel.</w:t>
      </w:r>
    </w:p>
    <w:p w14:paraId="44880DF0" w14:textId="77777777" w:rsidR="00E25CD8" w:rsidRPr="00FE5B6D" w:rsidRDefault="00E25CD8" w:rsidP="00E25CD8">
      <w:pPr>
        <w:numPr>
          <w:ilvl w:val="0"/>
          <w:numId w:val="24"/>
        </w:numPr>
        <w:spacing w:after="120"/>
        <w:rPr>
          <w:rFonts w:ascii="Times New Roman" w:hAnsi="Times New Roman"/>
          <w:b/>
          <w:bCs/>
        </w:rPr>
      </w:pPr>
      <w:r>
        <w:rPr>
          <w:rFonts w:ascii="Times New Roman" w:hAnsi="Times New Roman"/>
          <w:b/>
        </w:rPr>
        <w:t>Conclusions</w:t>
      </w:r>
    </w:p>
    <w:p w14:paraId="328B9737" w14:textId="77777777" w:rsidR="00E25CD8" w:rsidRPr="00FE5B6D" w:rsidRDefault="00E25CD8" w:rsidP="00E25CD8">
      <w:pPr>
        <w:spacing w:after="120"/>
        <w:rPr>
          <w:rFonts w:ascii="Times New Roman" w:hAnsi="Times New Roman"/>
        </w:rPr>
      </w:pPr>
      <w:r>
        <w:rPr>
          <w:rFonts w:ascii="Times New Roman" w:hAnsi="Times New Roman"/>
        </w:rPr>
        <w:t xml:space="preserve">La Commission saisit l’occasion pour remercier le Parlement européen pour son excellente collaboration tout au long de la pandémie. La Commission remercie également la </w:t>
      </w:r>
      <w:r>
        <w:rPr>
          <w:rFonts w:ascii="Times New Roman" w:hAnsi="Times New Roman"/>
        </w:rPr>
        <w:lastRenderedPageBreak/>
        <w:t>commission COVI pour son examen approfondi et complet de l’une des crises les plus difficiles auxquelles l’Union européenne a été confrontée depuis sa création, ainsi que pour la coopération et la collaboration tout au long des travaux de cette commission, y compris entre le Parlement et les services de la Commission.</w:t>
      </w:r>
    </w:p>
    <w:p w14:paraId="3034E974" w14:textId="77777777" w:rsidR="00E25CD8" w:rsidRPr="00FE5B6D" w:rsidRDefault="00E25CD8" w:rsidP="00E25CD8">
      <w:pPr>
        <w:spacing w:after="120"/>
        <w:rPr>
          <w:rFonts w:ascii="Times New Roman" w:hAnsi="Times New Roman"/>
        </w:rPr>
      </w:pPr>
      <w:r>
        <w:rPr>
          <w:rFonts w:ascii="Times New Roman" w:hAnsi="Times New Roman"/>
        </w:rPr>
        <w:t>Le consensus dégagé entre les institutions a grandement contribué à la capacité de l’UE à soutenir les citoyens de manière importante tout au long de cette période douloureuse. En travaillant ensemble, les institutions de l’UE ont montré leur volonté de gérer une crise sans précédent et d’élaborer une réponse commune de l’UE essentielle face à une telle menace transfrontière. Les preuves et les données scientifiques sont restées à la base de ces travaux. Le succès de la stratégie de l’UE en matière de vaccins, qui a permis à tous les citoyens de tous les États membres d’avoir accès en même temps à des vaccins sûrs et efficaces, en est un bon exemple. L’UE dans son ensemble est sortie beaucoup plus forte de cette crise, avec un sentiment renouvelé de solidarité, d’unité et d’équité.</w:t>
      </w:r>
    </w:p>
    <w:p w14:paraId="78ECE420" w14:textId="77777777" w:rsidR="00E25CD8" w:rsidRPr="00FE5B6D" w:rsidRDefault="00E25CD8" w:rsidP="00E25CD8">
      <w:pPr>
        <w:spacing w:after="120"/>
        <w:rPr>
          <w:rFonts w:ascii="Times New Roman" w:hAnsi="Times New Roman"/>
        </w:rPr>
      </w:pPr>
      <w:r>
        <w:rPr>
          <w:rFonts w:ascii="Times New Roman" w:hAnsi="Times New Roman"/>
        </w:rPr>
        <w:t>Les enseignements tirés de la pandémie seront essentiels pour l’avenir de l’Europe, et la résolution apporte une contribution extrêmement importante à l’élaboration des travaux futurs de l’UE. La Commission partage l’avis du Parlement selon lequel le renforcement de la capacité de prévention, de la préparation, de la résilience et de l’autonomie stratégique ouverte, tel qu’il ressort des recommandations finales de la résolution, revêtiront une importance capitale pour faire face aux risques et aux conséquences d’éventuelles pandémies futures. La Commission tient à poursuivre ses travaux, en collaboration avec les autres institutions de l’UE, pour atteindre ces objectifs.</w:t>
      </w:r>
    </w:p>
    <w:p w14:paraId="32F8896D" w14:textId="77777777" w:rsidR="00E25CD8" w:rsidRPr="00FE5B6D" w:rsidRDefault="00E25CD8" w:rsidP="00E25CD8">
      <w:pPr>
        <w:spacing w:after="120"/>
        <w:rPr>
          <w:rFonts w:ascii="Times New Roman" w:hAnsi="Times New Roman"/>
        </w:rPr>
      </w:pPr>
      <w:r>
        <w:rPr>
          <w:rFonts w:ascii="Times New Roman" w:hAnsi="Times New Roman"/>
        </w:rPr>
        <w:t>Enfin, tout en reconnaissant que la COVID-19 continue de circuler et que de nombreuses personnes continuent de souffrir de la COVID-19 de longue durée, la Commission examinera également, en collaboration avec les États membres, la possibilité d’instaurer une Journée européenne de commémoration des victimes de la COVID-19 (paragraphe 560).</w:t>
      </w:r>
    </w:p>
    <w:bookmarkEnd w:id="1"/>
    <w:sectPr w:rsidR="00E25CD8" w:rsidRPr="00FE5B6D" w:rsidSect="00812321">
      <w:headerReference w:type="even" r:id="rId20"/>
      <w:headerReference w:type="default" r:id="rId21"/>
      <w:footerReference w:type="even" r:id="rId22"/>
      <w:footerReference w:type="default" r:id="rId23"/>
      <w:headerReference w:type="first" r:id="rId24"/>
      <w:footerReference w:type="first" r:id="rId25"/>
      <w:footnotePr>
        <w:pos w:val="beneathText"/>
        <w:numRestart w:val="eachSect"/>
      </w:footnotePr>
      <w:type w:val="continuous"/>
      <w:pgSz w:w="11906" w:h="16838" w:code="9"/>
      <w:pgMar w:top="1021" w:right="1416" w:bottom="1021" w:left="1588" w:header="601" w:footer="68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DE70A" w14:textId="77777777" w:rsidR="007B0540" w:rsidRDefault="007B0540">
      <w:r>
        <w:separator/>
      </w:r>
    </w:p>
  </w:endnote>
  <w:endnote w:type="continuationSeparator" w:id="0">
    <w:p w14:paraId="7F95B0D3" w14:textId="77777777" w:rsidR="007B0540" w:rsidRDefault="007B0540">
      <w:r>
        <w:continuationSeparator/>
      </w:r>
    </w:p>
  </w:endnote>
  <w:endnote w:type="continuationNotice" w:id="1">
    <w:p w14:paraId="1817C746" w14:textId="77777777" w:rsidR="007B0540" w:rsidRDefault="007B054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EUAlbertina">
    <w:altName w:val="Calibri"/>
    <w:panose1 w:val="00000000000000000000"/>
    <w:charset w:val="00"/>
    <w:family w:val="roman"/>
    <w:notTrueType/>
    <w:pitch w:val="default"/>
    <w:sig w:usb0="00000003" w:usb1="00000000" w:usb2="00000000" w:usb3="00000000" w:csb0="00000001" w:csb1="00000000"/>
  </w:font>
  <w:font w:name="EC Square Sans Cond Pro">
    <w:panose1 w:val="020B0506040000020004"/>
    <w:charset w:val="00"/>
    <w:family w:val="swiss"/>
    <w:pitch w:val="variable"/>
    <w:sig w:usb0="20000287" w:usb1="00000001" w:usb2="00000000" w:usb3="00000000" w:csb0="0000019F" w:csb1="00000000"/>
  </w:font>
  <w:font w:name="Times New Roman Bold">
    <w:panose1 w:val="02020803070505020304"/>
    <w:charset w:val="00"/>
    <w:family w:val="roman"/>
    <w:notTrueType/>
    <w:pitch w:val="default"/>
  </w:font>
  <w:font w:name="EC Square Sans Pro">
    <w:panose1 w:val="020B0506040000020004"/>
    <w:charset w:val="00"/>
    <w:family w:val="swiss"/>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C2F22" w14:textId="77777777" w:rsidR="00471068" w:rsidRDefault="00471068" w:rsidP="006E56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35</w:t>
    </w:r>
    <w:r>
      <w:rPr>
        <w:rStyle w:val="PageNumber"/>
      </w:rPr>
      <w:fldChar w:fldCharType="end"/>
    </w:r>
  </w:p>
  <w:p w14:paraId="1CE8F934" w14:textId="77777777" w:rsidR="00471068" w:rsidRDefault="004710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B9ED6" w14:textId="77777777" w:rsidR="00471068" w:rsidRDefault="00471068" w:rsidP="006E56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w:t>
    </w:r>
    <w:r>
      <w:rPr>
        <w:rStyle w:val="PageNumber"/>
      </w:rPr>
      <w:fldChar w:fldCharType="end"/>
    </w:r>
  </w:p>
  <w:p w14:paraId="76797D1D" w14:textId="77777777" w:rsidR="00471068" w:rsidRPr="008A6623" w:rsidRDefault="00471068" w:rsidP="008A6623">
    <w:pPr>
      <w:pStyle w:val="Footer"/>
      <w:rPr>
        <w:rFonts w:ascii="Times New Roman" w:hAnsi="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9EE69" w14:textId="77777777" w:rsidR="006B0483" w:rsidRDefault="006B0483" w:rsidP="006B048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14:paraId="244C2131" w14:textId="77777777" w:rsidR="00471068" w:rsidRDefault="00471068" w:rsidP="00442B2E">
    <w:pPr>
      <w:pStyle w:val="Footer"/>
      <w:rPr>
        <w:lang w:val="fr-B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D59CB" w14:textId="77777777" w:rsidR="007B0540" w:rsidRDefault="007B0540">
      <w:r>
        <w:separator/>
      </w:r>
    </w:p>
  </w:footnote>
  <w:footnote w:type="continuationSeparator" w:id="0">
    <w:p w14:paraId="7F6D3612" w14:textId="77777777" w:rsidR="007B0540" w:rsidRDefault="007B0540">
      <w:r>
        <w:continuationSeparator/>
      </w:r>
    </w:p>
  </w:footnote>
  <w:footnote w:type="continuationNotice" w:id="1">
    <w:p w14:paraId="3D36AB91" w14:textId="77777777" w:rsidR="007B0540" w:rsidRDefault="007B0540">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2C798" w14:textId="77777777" w:rsidR="00162EA2" w:rsidRDefault="00162E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6454E" w14:textId="77777777" w:rsidR="00162EA2" w:rsidRDefault="00162E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9D9D9" w14:textId="77777777" w:rsidR="00162EA2" w:rsidRDefault="00162E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507D"/>
    <w:multiLevelType w:val="multilevel"/>
    <w:tmpl w:val="5F385A54"/>
    <w:name w:val="WW8Num2"/>
    <w:lvl w:ilvl="0">
      <w:start w:val="1"/>
      <w:numFmt w:val="bullet"/>
      <w:lvlText w:val="–"/>
      <w:lvlJc w:val="left"/>
      <w:pPr>
        <w:tabs>
          <w:tab w:val="num" w:pos="283"/>
        </w:tabs>
        <w:ind w:left="283" w:hanging="283"/>
      </w:pPr>
      <w:rPr>
        <w:rFonts w:ascii="Times New Roman" w:hAnsi="Times New Roman"/>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0B3F48"/>
    <w:multiLevelType w:val="singleLevel"/>
    <w:tmpl w:val="EFB46688"/>
    <w:name w:val="WW8Num6"/>
    <w:lvl w:ilvl="0">
      <w:start w:val="1"/>
      <w:numFmt w:val="bullet"/>
      <w:pStyle w:val="ListBullet"/>
      <w:lvlText w:val=""/>
      <w:lvlJc w:val="left"/>
      <w:pPr>
        <w:tabs>
          <w:tab w:val="num" w:pos="283"/>
        </w:tabs>
        <w:ind w:left="283" w:hanging="283"/>
      </w:pPr>
      <w:rPr>
        <w:rFonts w:ascii="Symbol" w:hAnsi="Symbol"/>
      </w:rPr>
    </w:lvl>
  </w:abstractNum>
  <w:abstractNum w:abstractNumId="2" w15:restartNumberingAfterBreak="0">
    <w:nsid w:val="06495604"/>
    <w:multiLevelType w:val="multilevel"/>
    <w:tmpl w:val="D02252EE"/>
    <w:name w:val="Points"/>
    <w:lvl w:ilvl="0">
      <w:start w:val="1"/>
      <w:numFmt w:val="decimal"/>
      <w:lvlRestart w:val="0"/>
      <w:pStyle w:val="Point123"/>
      <w:lvlText w:val="%1."/>
      <w:lvlJc w:val="left"/>
      <w:pPr>
        <w:tabs>
          <w:tab w:val="num" w:pos="567"/>
        </w:tabs>
        <w:ind w:left="567" w:hanging="567"/>
      </w:pPr>
      <w:rPr>
        <w:b w:val="0"/>
        <w:bCs w:val="0"/>
      </w:r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3" w15:restartNumberingAfterBreak="0">
    <w:nsid w:val="0EBD20DB"/>
    <w:multiLevelType w:val="hybridMultilevel"/>
    <w:tmpl w:val="3BC09D28"/>
    <w:name w:val="WW8Num8"/>
    <w:lvl w:ilvl="0" w:tplc="1ED89A4C">
      <w:start w:val="1"/>
      <w:numFmt w:val="bullet"/>
      <w:pStyle w:val="Briefingspdef"/>
      <w:lvlText w:val=""/>
      <w:lvlJc w:val="left"/>
      <w:pPr>
        <w:tabs>
          <w:tab w:val="num" w:pos="360"/>
        </w:tabs>
        <w:ind w:left="360" w:hanging="360"/>
      </w:pPr>
      <w:rPr>
        <w:rFonts w:ascii="Symbol" w:hAnsi="Symbol" w:hint="default"/>
        <w:sz w:val="20"/>
      </w:rPr>
    </w:lvl>
    <w:lvl w:ilvl="1" w:tplc="E9786584">
      <w:start w:val="1"/>
      <w:numFmt w:val="bullet"/>
      <w:lvlText w:val=""/>
      <w:lvlJc w:val="left"/>
      <w:pPr>
        <w:tabs>
          <w:tab w:val="num" w:pos="1440"/>
        </w:tabs>
        <w:ind w:left="1440" w:hanging="360"/>
      </w:pPr>
      <w:rPr>
        <w:rFonts w:ascii="Symbol" w:hAnsi="Symbol" w:hint="default"/>
        <w:sz w:val="20"/>
      </w:rPr>
    </w:lvl>
    <w:lvl w:ilvl="2" w:tplc="D3E466F6" w:tentative="1">
      <w:start w:val="1"/>
      <w:numFmt w:val="bullet"/>
      <w:lvlText w:val=""/>
      <w:lvlJc w:val="left"/>
      <w:pPr>
        <w:tabs>
          <w:tab w:val="num" w:pos="2160"/>
        </w:tabs>
        <w:ind w:left="2160" w:hanging="360"/>
      </w:pPr>
      <w:rPr>
        <w:rFonts w:ascii="Wingdings" w:hAnsi="Wingdings" w:hint="default"/>
      </w:rPr>
    </w:lvl>
    <w:lvl w:ilvl="3" w:tplc="670E1398" w:tentative="1">
      <w:start w:val="1"/>
      <w:numFmt w:val="bullet"/>
      <w:lvlText w:val=""/>
      <w:lvlJc w:val="left"/>
      <w:pPr>
        <w:tabs>
          <w:tab w:val="num" w:pos="2880"/>
        </w:tabs>
        <w:ind w:left="2880" w:hanging="360"/>
      </w:pPr>
      <w:rPr>
        <w:rFonts w:ascii="Symbol" w:hAnsi="Symbol" w:hint="default"/>
      </w:rPr>
    </w:lvl>
    <w:lvl w:ilvl="4" w:tplc="03E003E2" w:tentative="1">
      <w:start w:val="1"/>
      <w:numFmt w:val="bullet"/>
      <w:lvlText w:val="o"/>
      <w:lvlJc w:val="left"/>
      <w:pPr>
        <w:tabs>
          <w:tab w:val="num" w:pos="3600"/>
        </w:tabs>
        <w:ind w:left="3600" w:hanging="360"/>
      </w:pPr>
      <w:rPr>
        <w:rFonts w:ascii="Courier New" w:hAnsi="Courier New" w:cs="Courier New" w:hint="default"/>
      </w:rPr>
    </w:lvl>
    <w:lvl w:ilvl="5" w:tplc="4FBE7CFE" w:tentative="1">
      <w:start w:val="1"/>
      <w:numFmt w:val="bullet"/>
      <w:lvlText w:val=""/>
      <w:lvlJc w:val="left"/>
      <w:pPr>
        <w:tabs>
          <w:tab w:val="num" w:pos="4320"/>
        </w:tabs>
        <w:ind w:left="4320" w:hanging="360"/>
      </w:pPr>
      <w:rPr>
        <w:rFonts w:ascii="Wingdings" w:hAnsi="Wingdings" w:hint="default"/>
      </w:rPr>
    </w:lvl>
    <w:lvl w:ilvl="6" w:tplc="BB54250A" w:tentative="1">
      <w:start w:val="1"/>
      <w:numFmt w:val="bullet"/>
      <w:lvlText w:val=""/>
      <w:lvlJc w:val="left"/>
      <w:pPr>
        <w:tabs>
          <w:tab w:val="num" w:pos="5040"/>
        </w:tabs>
        <w:ind w:left="5040" w:hanging="360"/>
      </w:pPr>
      <w:rPr>
        <w:rFonts w:ascii="Symbol" w:hAnsi="Symbol" w:hint="default"/>
      </w:rPr>
    </w:lvl>
    <w:lvl w:ilvl="7" w:tplc="546629E2" w:tentative="1">
      <w:start w:val="1"/>
      <w:numFmt w:val="bullet"/>
      <w:lvlText w:val="o"/>
      <w:lvlJc w:val="left"/>
      <w:pPr>
        <w:tabs>
          <w:tab w:val="num" w:pos="5760"/>
        </w:tabs>
        <w:ind w:left="5760" w:hanging="360"/>
      </w:pPr>
      <w:rPr>
        <w:rFonts w:ascii="Courier New" w:hAnsi="Courier New" w:cs="Courier New" w:hint="default"/>
      </w:rPr>
    </w:lvl>
    <w:lvl w:ilvl="8" w:tplc="19BC93F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3A83C3F"/>
    <w:multiLevelType w:val="singleLevel"/>
    <w:tmpl w:val="54744D6A"/>
    <w:name w:val="WW8Num13"/>
    <w:lvl w:ilvl="0">
      <w:start w:val="1"/>
      <w:numFmt w:val="bullet"/>
      <w:pStyle w:val="ListDash1"/>
      <w:lvlText w:val="–"/>
      <w:lvlJc w:val="left"/>
      <w:pPr>
        <w:tabs>
          <w:tab w:val="num" w:pos="765"/>
        </w:tabs>
        <w:ind w:left="765" w:hanging="283"/>
      </w:pPr>
      <w:rPr>
        <w:rFonts w:ascii="Times New Roman" w:hAnsi="Times New Roman"/>
      </w:rPr>
    </w:lvl>
  </w:abstractNum>
  <w:abstractNum w:abstractNumId="5" w15:restartNumberingAfterBreak="0">
    <w:nsid w:val="14E4220C"/>
    <w:multiLevelType w:val="multilevel"/>
    <w:tmpl w:val="D2ACB8CC"/>
    <w:lvl w:ilvl="0">
      <w:start w:val="1"/>
      <w:numFmt w:val="decimal"/>
      <w:pStyle w:val="Heading1"/>
      <w:lvlText w:val="%1."/>
      <w:lvlJc w:val="left"/>
      <w:pPr>
        <w:tabs>
          <w:tab w:val="num" w:pos="480"/>
        </w:tabs>
        <w:ind w:left="480" w:hanging="480"/>
      </w:pPr>
      <w:rPr>
        <w:b/>
        <w:lang w:val="fr-FR"/>
      </w:rPr>
    </w:lvl>
    <w:lvl w:ilvl="1">
      <w:start w:val="1"/>
      <w:numFmt w:val="decimal"/>
      <w:pStyle w:val="Heading2"/>
      <w:lvlText w:val="%1.%2."/>
      <w:lvlJc w:val="left"/>
      <w:pPr>
        <w:tabs>
          <w:tab w:val="num" w:pos="1167"/>
        </w:tabs>
        <w:ind w:left="1167" w:hanging="600"/>
      </w:pPr>
      <w:rPr>
        <w:lang w:val="en-GB"/>
      </w:rPr>
    </w:lvl>
    <w:lvl w:ilvl="2">
      <w:start w:val="1"/>
      <w:numFmt w:val="decimal"/>
      <w:pStyle w:val="Heading3"/>
      <w:lvlText w:val="%1.%2.%3."/>
      <w:lvlJc w:val="left"/>
      <w:pPr>
        <w:tabs>
          <w:tab w:val="num" w:pos="2062"/>
        </w:tabs>
        <w:ind w:left="2062" w:hanging="840"/>
      </w:pPr>
    </w:lvl>
    <w:lvl w:ilvl="3">
      <w:start w:val="1"/>
      <w:numFmt w:val="decimal"/>
      <w:pStyle w:val="Heading4"/>
      <w:lvlText w:val="%1.%2.%3.%4."/>
      <w:lvlJc w:val="left"/>
      <w:pPr>
        <w:tabs>
          <w:tab w:val="num" w:pos="3022"/>
        </w:tabs>
        <w:ind w:left="3022" w:hanging="960"/>
      </w:pPr>
    </w:lvl>
    <w:lvl w:ilvl="4">
      <w:start w:val="1"/>
      <w:numFmt w:val="lowerLetter"/>
      <w:lvlText w:val="(%5)"/>
      <w:lvlJc w:val="left"/>
      <w:pPr>
        <w:tabs>
          <w:tab w:val="num" w:pos="1942"/>
        </w:tabs>
        <w:ind w:left="1942" w:hanging="360"/>
      </w:pPr>
    </w:lvl>
    <w:lvl w:ilvl="5">
      <w:start w:val="1"/>
      <w:numFmt w:val="lowerRoman"/>
      <w:lvlText w:val="(%6)"/>
      <w:lvlJc w:val="left"/>
      <w:pPr>
        <w:tabs>
          <w:tab w:val="num" w:pos="2302"/>
        </w:tabs>
        <w:ind w:left="2302" w:hanging="360"/>
      </w:pPr>
    </w:lvl>
    <w:lvl w:ilvl="6">
      <w:start w:val="1"/>
      <w:numFmt w:val="decimal"/>
      <w:lvlText w:val="%7."/>
      <w:lvlJc w:val="left"/>
      <w:pPr>
        <w:tabs>
          <w:tab w:val="num" w:pos="2662"/>
        </w:tabs>
        <w:ind w:left="2662" w:hanging="360"/>
      </w:pPr>
    </w:lvl>
    <w:lvl w:ilvl="7">
      <w:start w:val="1"/>
      <w:numFmt w:val="lowerLetter"/>
      <w:lvlText w:val="%8."/>
      <w:lvlJc w:val="left"/>
      <w:pPr>
        <w:tabs>
          <w:tab w:val="num" w:pos="3022"/>
        </w:tabs>
        <w:ind w:left="3022" w:hanging="360"/>
      </w:pPr>
    </w:lvl>
    <w:lvl w:ilvl="8">
      <w:start w:val="1"/>
      <w:numFmt w:val="lowerRoman"/>
      <w:lvlText w:val="%9."/>
      <w:lvlJc w:val="left"/>
      <w:pPr>
        <w:tabs>
          <w:tab w:val="num" w:pos="3382"/>
        </w:tabs>
        <w:ind w:left="3382" w:hanging="360"/>
      </w:pPr>
    </w:lvl>
  </w:abstractNum>
  <w:abstractNum w:abstractNumId="6" w15:restartNumberingAfterBreak="0">
    <w:nsid w:val="17610807"/>
    <w:multiLevelType w:val="hybridMultilevel"/>
    <w:tmpl w:val="DA3CD6C8"/>
    <w:name w:val="List Bullet"/>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2973D2"/>
    <w:multiLevelType w:val="hybridMultilevel"/>
    <w:tmpl w:val="C66A48E8"/>
    <w:lvl w:ilvl="0" w:tplc="492C7160">
      <w:start w:val="1"/>
      <w:numFmt w:val="decimal"/>
      <w:lvlText w:val="%1."/>
      <w:lvlJc w:val="left"/>
      <w:pPr>
        <w:ind w:left="720" w:hanging="720"/>
      </w:pPr>
      <w:rPr>
        <w:rFonts w:hint="default"/>
        <w:b/>
        <w:i w:val="0"/>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15:restartNumberingAfterBreak="0">
    <w:nsid w:val="1D5150BD"/>
    <w:multiLevelType w:val="singleLevel"/>
    <w:tmpl w:val="EF0A0136"/>
    <w:lvl w:ilvl="0">
      <w:start w:val="1"/>
      <w:numFmt w:val="bullet"/>
      <w:pStyle w:val="ListBullet4"/>
      <w:lvlText w:val=""/>
      <w:lvlJc w:val="left"/>
      <w:pPr>
        <w:tabs>
          <w:tab w:val="num" w:pos="3163"/>
        </w:tabs>
        <w:ind w:left="3163" w:hanging="283"/>
      </w:pPr>
      <w:rPr>
        <w:rFonts w:ascii="Symbol" w:hAnsi="Symbol"/>
      </w:rPr>
    </w:lvl>
  </w:abstractNum>
  <w:abstractNum w:abstractNumId="9" w15:restartNumberingAfterBreak="0">
    <w:nsid w:val="1E210839"/>
    <w:multiLevelType w:val="hybridMultilevel"/>
    <w:tmpl w:val="6F5823DC"/>
    <w:lvl w:ilvl="0" w:tplc="9A38F3C4">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1ED33A88"/>
    <w:multiLevelType w:val="hybridMultilevel"/>
    <w:tmpl w:val="2D406E02"/>
    <w:lvl w:ilvl="0" w:tplc="B54CD620">
      <w:start w:val="4"/>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1F9015B4"/>
    <w:multiLevelType w:val="hybridMultilevel"/>
    <w:tmpl w:val="E13AFBE6"/>
    <w:lvl w:ilvl="0" w:tplc="7E32D224">
      <w:start w:val="1"/>
      <w:numFmt w:val="decimal"/>
      <w:lvlText w:val="%1."/>
      <w:lvlJc w:val="left"/>
      <w:pPr>
        <w:ind w:left="720" w:hanging="360"/>
      </w:pPr>
      <w:rPr>
        <w:b/>
      </w:rPr>
    </w:lvl>
    <w:lvl w:ilvl="1" w:tplc="5EAECAA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8918BE"/>
    <w:multiLevelType w:val="multilevel"/>
    <w:tmpl w:val="4C3E72AA"/>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5AD1B7D"/>
    <w:multiLevelType w:val="hybridMultilevel"/>
    <w:tmpl w:val="FFFFFFFF"/>
    <w:lvl w:ilvl="0" w:tplc="A0CC5890">
      <w:start w:val="1"/>
      <w:numFmt w:val="bullet"/>
      <w:lvlText w:val=""/>
      <w:lvlJc w:val="left"/>
      <w:pPr>
        <w:ind w:left="720" w:hanging="360"/>
      </w:pPr>
      <w:rPr>
        <w:rFonts w:ascii="Symbol" w:hAnsi="Symbol" w:hint="default"/>
      </w:rPr>
    </w:lvl>
    <w:lvl w:ilvl="1" w:tplc="E4789066">
      <w:start w:val="1"/>
      <w:numFmt w:val="bullet"/>
      <w:lvlText w:val="o"/>
      <w:lvlJc w:val="left"/>
      <w:pPr>
        <w:ind w:left="1440" w:hanging="360"/>
      </w:pPr>
      <w:rPr>
        <w:rFonts w:ascii="Courier New" w:hAnsi="Courier New" w:hint="default"/>
      </w:rPr>
    </w:lvl>
    <w:lvl w:ilvl="2" w:tplc="1C2E84EA">
      <w:start w:val="1"/>
      <w:numFmt w:val="bullet"/>
      <w:lvlText w:val=""/>
      <w:lvlJc w:val="left"/>
      <w:pPr>
        <w:ind w:left="2160" w:hanging="360"/>
      </w:pPr>
      <w:rPr>
        <w:rFonts w:ascii="Wingdings" w:hAnsi="Wingdings" w:hint="default"/>
      </w:rPr>
    </w:lvl>
    <w:lvl w:ilvl="3" w:tplc="A4D27606">
      <w:start w:val="1"/>
      <w:numFmt w:val="bullet"/>
      <w:lvlText w:val=""/>
      <w:lvlJc w:val="left"/>
      <w:pPr>
        <w:ind w:left="2880" w:hanging="360"/>
      </w:pPr>
      <w:rPr>
        <w:rFonts w:ascii="Symbol" w:hAnsi="Symbol" w:hint="default"/>
      </w:rPr>
    </w:lvl>
    <w:lvl w:ilvl="4" w:tplc="214E1D82">
      <w:start w:val="1"/>
      <w:numFmt w:val="bullet"/>
      <w:lvlText w:val="o"/>
      <w:lvlJc w:val="left"/>
      <w:pPr>
        <w:ind w:left="3600" w:hanging="360"/>
      </w:pPr>
      <w:rPr>
        <w:rFonts w:ascii="Courier New" w:hAnsi="Courier New" w:hint="default"/>
      </w:rPr>
    </w:lvl>
    <w:lvl w:ilvl="5" w:tplc="4A6ED19E">
      <w:start w:val="1"/>
      <w:numFmt w:val="bullet"/>
      <w:lvlText w:val=""/>
      <w:lvlJc w:val="left"/>
      <w:pPr>
        <w:ind w:left="4320" w:hanging="360"/>
      </w:pPr>
      <w:rPr>
        <w:rFonts w:ascii="Wingdings" w:hAnsi="Wingdings" w:hint="default"/>
      </w:rPr>
    </w:lvl>
    <w:lvl w:ilvl="6" w:tplc="198437BE">
      <w:start w:val="1"/>
      <w:numFmt w:val="bullet"/>
      <w:lvlText w:val=""/>
      <w:lvlJc w:val="left"/>
      <w:pPr>
        <w:ind w:left="5040" w:hanging="360"/>
      </w:pPr>
      <w:rPr>
        <w:rFonts w:ascii="Symbol" w:hAnsi="Symbol" w:hint="default"/>
      </w:rPr>
    </w:lvl>
    <w:lvl w:ilvl="7" w:tplc="C7AEE4C6">
      <w:start w:val="1"/>
      <w:numFmt w:val="bullet"/>
      <w:lvlText w:val="o"/>
      <w:lvlJc w:val="left"/>
      <w:pPr>
        <w:ind w:left="5760" w:hanging="360"/>
      </w:pPr>
      <w:rPr>
        <w:rFonts w:ascii="Courier New" w:hAnsi="Courier New" w:hint="default"/>
      </w:rPr>
    </w:lvl>
    <w:lvl w:ilvl="8" w:tplc="44EA214E">
      <w:start w:val="1"/>
      <w:numFmt w:val="bullet"/>
      <w:lvlText w:val=""/>
      <w:lvlJc w:val="left"/>
      <w:pPr>
        <w:ind w:left="6480" w:hanging="360"/>
      </w:pPr>
      <w:rPr>
        <w:rFonts w:ascii="Wingdings" w:hAnsi="Wingdings" w:hint="default"/>
      </w:rPr>
    </w:lvl>
  </w:abstractNum>
  <w:abstractNum w:abstractNumId="14" w15:restartNumberingAfterBreak="0">
    <w:nsid w:val="2B1E53BC"/>
    <w:multiLevelType w:val="singleLevel"/>
    <w:tmpl w:val="0BFC0FF8"/>
    <w:lvl w:ilvl="0">
      <w:start w:val="1"/>
      <w:numFmt w:val="bullet"/>
      <w:pStyle w:val="ListBullet2"/>
      <w:lvlText w:val=""/>
      <w:lvlJc w:val="left"/>
      <w:pPr>
        <w:tabs>
          <w:tab w:val="num" w:pos="1360"/>
        </w:tabs>
        <w:ind w:left="1360" w:hanging="283"/>
      </w:pPr>
      <w:rPr>
        <w:rFonts w:ascii="Symbol" w:hAnsi="Symbol"/>
      </w:rPr>
    </w:lvl>
  </w:abstractNum>
  <w:abstractNum w:abstractNumId="15" w15:restartNumberingAfterBreak="0">
    <w:nsid w:val="2C381816"/>
    <w:multiLevelType w:val="hybridMultilevel"/>
    <w:tmpl w:val="03C4DEE0"/>
    <w:lvl w:ilvl="0" w:tplc="B54CD620">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34834FA3"/>
    <w:multiLevelType w:val="multilevel"/>
    <w:tmpl w:val="8DC66598"/>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6615FEF"/>
    <w:multiLevelType w:val="singleLevel"/>
    <w:tmpl w:val="5CD4C666"/>
    <w:lvl w:ilvl="0">
      <w:start w:val="1"/>
      <w:numFmt w:val="bullet"/>
      <w:pStyle w:val="ListDash2"/>
      <w:lvlText w:val="–"/>
      <w:lvlJc w:val="left"/>
      <w:pPr>
        <w:tabs>
          <w:tab w:val="num" w:pos="1360"/>
        </w:tabs>
        <w:ind w:left="1360" w:hanging="283"/>
      </w:pPr>
      <w:rPr>
        <w:rFonts w:ascii="Times New Roman" w:hAnsi="Times New Roman"/>
      </w:rPr>
    </w:lvl>
  </w:abstractNum>
  <w:abstractNum w:abstractNumId="18" w15:restartNumberingAfterBreak="0">
    <w:nsid w:val="368011FE"/>
    <w:multiLevelType w:val="hybridMultilevel"/>
    <w:tmpl w:val="794E2924"/>
    <w:lvl w:ilvl="0" w:tplc="FB408748">
      <w:start w:val="3"/>
      <w:numFmt w:val="bullet"/>
      <w:lvlText w:val="-"/>
      <w:lvlJc w:val="left"/>
      <w:rPr>
        <w:rFonts w:ascii="Calibri" w:eastAsia="Calibri" w:hAnsi="Calibri" w:cs="Calibri" w:hint="default"/>
      </w:rPr>
    </w:lvl>
    <w:lvl w:ilvl="1" w:tplc="18090003">
      <w:start w:val="1"/>
      <w:numFmt w:val="bullet"/>
      <w:lvlText w:val="o"/>
      <w:lvlJc w:val="left"/>
      <w:pPr>
        <w:ind w:left="1800" w:hanging="360"/>
      </w:pPr>
      <w:rPr>
        <w:rFonts w:ascii="Courier New" w:hAnsi="Courier New" w:cs="Courier New" w:hint="default"/>
      </w:rPr>
    </w:lvl>
    <w:lvl w:ilvl="2" w:tplc="18090005">
      <w:start w:val="1"/>
      <w:numFmt w:val="bullet"/>
      <w:lvlText w:val=""/>
      <w:lvlJc w:val="left"/>
      <w:pPr>
        <w:ind w:left="2520" w:hanging="360"/>
      </w:pPr>
      <w:rPr>
        <w:rFonts w:ascii="Wingdings" w:hAnsi="Wingdings" w:hint="default"/>
      </w:rPr>
    </w:lvl>
    <w:lvl w:ilvl="3" w:tplc="18090001">
      <w:start w:val="1"/>
      <w:numFmt w:val="bullet"/>
      <w:lvlText w:val=""/>
      <w:lvlJc w:val="left"/>
      <w:pPr>
        <w:ind w:left="3240" w:hanging="360"/>
      </w:pPr>
      <w:rPr>
        <w:rFonts w:ascii="Symbol" w:hAnsi="Symbol" w:hint="default"/>
      </w:rPr>
    </w:lvl>
    <w:lvl w:ilvl="4" w:tplc="18090003">
      <w:start w:val="1"/>
      <w:numFmt w:val="bullet"/>
      <w:lvlText w:val="o"/>
      <w:lvlJc w:val="left"/>
      <w:pPr>
        <w:ind w:left="3960" w:hanging="360"/>
      </w:pPr>
      <w:rPr>
        <w:rFonts w:ascii="Courier New" w:hAnsi="Courier New" w:cs="Courier New" w:hint="default"/>
      </w:rPr>
    </w:lvl>
    <w:lvl w:ilvl="5" w:tplc="18090005">
      <w:start w:val="1"/>
      <w:numFmt w:val="bullet"/>
      <w:lvlText w:val=""/>
      <w:lvlJc w:val="left"/>
      <w:pPr>
        <w:ind w:left="4680" w:hanging="360"/>
      </w:pPr>
      <w:rPr>
        <w:rFonts w:ascii="Wingdings" w:hAnsi="Wingdings" w:hint="default"/>
      </w:rPr>
    </w:lvl>
    <w:lvl w:ilvl="6" w:tplc="18090001">
      <w:start w:val="1"/>
      <w:numFmt w:val="bullet"/>
      <w:lvlText w:val=""/>
      <w:lvlJc w:val="left"/>
      <w:pPr>
        <w:ind w:left="5400" w:hanging="360"/>
      </w:pPr>
      <w:rPr>
        <w:rFonts w:ascii="Symbol" w:hAnsi="Symbol" w:hint="default"/>
      </w:rPr>
    </w:lvl>
    <w:lvl w:ilvl="7" w:tplc="18090003">
      <w:start w:val="1"/>
      <w:numFmt w:val="bullet"/>
      <w:lvlText w:val="o"/>
      <w:lvlJc w:val="left"/>
      <w:pPr>
        <w:ind w:left="6120" w:hanging="360"/>
      </w:pPr>
      <w:rPr>
        <w:rFonts w:ascii="Courier New" w:hAnsi="Courier New" w:cs="Courier New" w:hint="default"/>
      </w:rPr>
    </w:lvl>
    <w:lvl w:ilvl="8" w:tplc="18090005">
      <w:start w:val="1"/>
      <w:numFmt w:val="bullet"/>
      <w:lvlText w:val=""/>
      <w:lvlJc w:val="left"/>
      <w:pPr>
        <w:ind w:left="6840" w:hanging="360"/>
      </w:pPr>
      <w:rPr>
        <w:rFonts w:ascii="Wingdings" w:hAnsi="Wingdings" w:hint="default"/>
      </w:rPr>
    </w:lvl>
  </w:abstractNum>
  <w:abstractNum w:abstractNumId="19" w15:restartNumberingAfterBreak="0">
    <w:nsid w:val="3A115290"/>
    <w:multiLevelType w:val="multilevel"/>
    <w:tmpl w:val="E3664658"/>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B9222D1"/>
    <w:multiLevelType w:val="hybridMultilevel"/>
    <w:tmpl w:val="9DF09A94"/>
    <w:lvl w:ilvl="0" w:tplc="FFFFFFFF">
      <w:start w:val="1"/>
      <w:numFmt w:val="decimal"/>
      <w:lvlText w:val="%1."/>
      <w:lvlJc w:val="left"/>
      <w:pPr>
        <w:ind w:left="1429" w:hanging="360"/>
      </w:pPr>
      <w:rPr>
        <w:b/>
        <w:i w:val="0"/>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1" w15:restartNumberingAfterBreak="0">
    <w:nsid w:val="45114FA9"/>
    <w:multiLevelType w:val="hybridMultilevel"/>
    <w:tmpl w:val="93803462"/>
    <w:lvl w:ilvl="0" w:tplc="EF4A8722">
      <w:start w:val="1"/>
      <w:numFmt w:val="decimal"/>
      <w:lvlText w:val="%1."/>
      <w:lvlJc w:val="left"/>
      <w:pPr>
        <w:ind w:left="1080" w:hanging="72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4B596461"/>
    <w:multiLevelType w:val="hybridMultilevel"/>
    <w:tmpl w:val="9DF09A94"/>
    <w:lvl w:ilvl="0" w:tplc="94A62EB0">
      <w:start w:val="1"/>
      <w:numFmt w:val="decimal"/>
      <w:lvlText w:val="%1."/>
      <w:lvlJc w:val="left"/>
      <w:pPr>
        <w:ind w:left="1429" w:hanging="360"/>
      </w:pPr>
      <w:rPr>
        <w:b/>
        <w:i w:val="0"/>
      </w:rPr>
    </w:lvl>
    <w:lvl w:ilvl="1" w:tplc="080C0019" w:tentative="1">
      <w:start w:val="1"/>
      <w:numFmt w:val="lowerLetter"/>
      <w:lvlText w:val="%2."/>
      <w:lvlJc w:val="left"/>
      <w:pPr>
        <w:ind w:left="2149" w:hanging="360"/>
      </w:pPr>
    </w:lvl>
    <w:lvl w:ilvl="2" w:tplc="080C001B" w:tentative="1">
      <w:start w:val="1"/>
      <w:numFmt w:val="lowerRoman"/>
      <w:lvlText w:val="%3."/>
      <w:lvlJc w:val="right"/>
      <w:pPr>
        <w:ind w:left="2869" w:hanging="180"/>
      </w:pPr>
    </w:lvl>
    <w:lvl w:ilvl="3" w:tplc="080C000F" w:tentative="1">
      <w:start w:val="1"/>
      <w:numFmt w:val="decimal"/>
      <w:lvlText w:val="%4."/>
      <w:lvlJc w:val="left"/>
      <w:pPr>
        <w:ind w:left="3589" w:hanging="360"/>
      </w:pPr>
    </w:lvl>
    <w:lvl w:ilvl="4" w:tplc="080C0019" w:tentative="1">
      <w:start w:val="1"/>
      <w:numFmt w:val="lowerLetter"/>
      <w:lvlText w:val="%5."/>
      <w:lvlJc w:val="left"/>
      <w:pPr>
        <w:ind w:left="4309" w:hanging="360"/>
      </w:pPr>
    </w:lvl>
    <w:lvl w:ilvl="5" w:tplc="080C001B" w:tentative="1">
      <w:start w:val="1"/>
      <w:numFmt w:val="lowerRoman"/>
      <w:lvlText w:val="%6."/>
      <w:lvlJc w:val="right"/>
      <w:pPr>
        <w:ind w:left="5029" w:hanging="180"/>
      </w:pPr>
    </w:lvl>
    <w:lvl w:ilvl="6" w:tplc="080C000F" w:tentative="1">
      <w:start w:val="1"/>
      <w:numFmt w:val="decimal"/>
      <w:lvlText w:val="%7."/>
      <w:lvlJc w:val="left"/>
      <w:pPr>
        <w:ind w:left="5749" w:hanging="360"/>
      </w:pPr>
    </w:lvl>
    <w:lvl w:ilvl="7" w:tplc="080C0019" w:tentative="1">
      <w:start w:val="1"/>
      <w:numFmt w:val="lowerLetter"/>
      <w:lvlText w:val="%8."/>
      <w:lvlJc w:val="left"/>
      <w:pPr>
        <w:ind w:left="6469" w:hanging="360"/>
      </w:pPr>
    </w:lvl>
    <w:lvl w:ilvl="8" w:tplc="080C001B" w:tentative="1">
      <w:start w:val="1"/>
      <w:numFmt w:val="lowerRoman"/>
      <w:lvlText w:val="%9."/>
      <w:lvlJc w:val="right"/>
      <w:pPr>
        <w:ind w:left="7189" w:hanging="180"/>
      </w:pPr>
    </w:lvl>
  </w:abstractNum>
  <w:abstractNum w:abstractNumId="23" w15:restartNumberingAfterBreak="0">
    <w:nsid w:val="514632EE"/>
    <w:multiLevelType w:val="hybridMultilevel"/>
    <w:tmpl w:val="6012F114"/>
    <w:styleLink w:val="111111"/>
    <w:lvl w:ilvl="0" w:tplc="08090001">
      <w:start w:val="1"/>
      <w:numFmt w:val="bullet"/>
      <w:pStyle w:val="ListDash"/>
      <w:lvlText w:val="–"/>
      <w:lvlJc w:val="left"/>
      <w:pPr>
        <w:tabs>
          <w:tab w:val="num" w:pos="567"/>
        </w:tabs>
        <w:ind w:left="567" w:hanging="283"/>
      </w:pPr>
      <w:rPr>
        <w:rFonts w:ascii="Times New Roman" w:hAnsi="Times New Roman"/>
      </w:rPr>
    </w:lvl>
    <w:lvl w:ilvl="1" w:tplc="08090003">
      <w:numFmt w:val="bullet"/>
      <w:lvlText w:val="-"/>
      <w:lvlJc w:val="left"/>
      <w:pPr>
        <w:tabs>
          <w:tab w:val="num" w:pos="1724"/>
        </w:tabs>
        <w:ind w:left="1724" w:hanging="360"/>
      </w:pPr>
      <w:rPr>
        <w:rFonts w:ascii="Times New Roman" w:eastAsia="Times New Roman" w:hAnsi="Times New Roman" w:cs="Times New Roman"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tentative="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24" w15:restartNumberingAfterBreak="0">
    <w:nsid w:val="576A32C9"/>
    <w:multiLevelType w:val="multilevel"/>
    <w:tmpl w:val="52224248"/>
    <w:lvl w:ilvl="0">
      <w:start w:val="1"/>
      <w:numFmt w:val="decimal"/>
      <w:lvlRestart w:val="0"/>
      <w:pStyle w:val="Considrant"/>
      <w:lvlText w:val="%1."/>
      <w:lvlJc w:val="left"/>
      <w:pPr>
        <w:tabs>
          <w:tab w:val="num" w:pos="850"/>
        </w:tabs>
        <w:ind w:left="850" w:hanging="850"/>
      </w:pPr>
      <w:rPr>
        <w:rFonts w:cs="Times New Roman"/>
      </w:rPr>
    </w:lvl>
    <w:lvl w:ilvl="1">
      <w:start w:val="1"/>
      <w:numFmt w:val="decimal"/>
      <w:lvlText w:val="%1.%2."/>
      <w:lvlJc w:val="left"/>
      <w:pPr>
        <w:tabs>
          <w:tab w:val="num" w:pos="850"/>
        </w:tabs>
        <w:ind w:left="850" w:hanging="850"/>
      </w:pPr>
      <w:rPr>
        <w:rFonts w:cs="Times New Roman"/>
        <w:i w:val="0"/>
      </w:rPr>
    </w:lvl>
    <w:lvl w:ilvl="2">
      <w:start w:val="1"/>
      <w:numFmt w:val="decimal"/>
      <w:lvlText w:val="%1.%2.%3."/>
      <w:lvlJc w:val="left"/>
      <w:pPr>
        <w:tabs>
          <w:tab w:val="num" w:pos="850"/>
        </w:tabs>
        <w:ind w:left="850" w:hanging="850"/>
      </w:pPr>
      <w:rPr>
        <w:rFonts w:cs="Times New Roman"/>
      </w:rPr>
    </w:lvl>
    <w:lvl w:ilvl="3">
      <w:start w:val="1"/>
      <w:numFmt w:val="decimal"/>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5" w15:restartNumberingAfterBreak="0">
    <w:nsid w:val="5A2450F2"/>
    <w:multiLevelType w:val="singleLevel"/>
    <w:tmpl w:val="E41A6BD2"/>
    <w:lvl w:ilvl="0">
      <w:start w:val="1"/>
      <w:numFmt w:val="bullet"/>
      <w:pStyle w:val="ListDash4"/>
      <w:lvlText w:val="–"/>
      <w:lvlJc w:val="left"/>
      <w:pPr>
        <w:tabs>
          <w:tab w:val="num" w:pos="3163"/>
        </w:tabs>
        <w:ind w:left="3163" w:hanging="283"/>
      </w:pPr>
      <w:rPr>
        <w:rFonts w:ascii="Times New Roman" w:hAnsi="Times New Roman"/>
      </w:rPr>
    </w:lvl>
  </w:abstractNum>
  <w:abstractNum w:abstractNumId="26" w15:restartNumberingAfterBreak="0">
    <w:nsid w:val="64C35C9F"/>
    <w:multiLevelType w:val="hybridMultilevel"/>
    <w:tmpl w:val="DE6ED21C"/>
    <w:lvl w:ilvl="0" w:tplc="ADC8732A">
      <w:start w:val="1"/>
      <w:numFmt w:val="decimal"/>
      <w:lvlText w:val="%1."/>
      <w:lvlJc w:val="left"/>
      <w:pPr>
        <w:ind w:left="360" w:hanging="360"/>
      </w:pPr>
      <w:rPr>
        <w:b/>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7" w15:restartNumberingAfterBreak="0">
    <w:nsid w:val="64CB1ED7"/>
    <w:multiLevelType w:val="hybridMultilevel"/>
    <w:tmpl w:val="93803462"/>
    <w:lvl w:ilvl="0" w:tplc="FFFFFFFF">
      <w:start w:val="1"/>
      <w:numFmt w:val="decimal"/>
      <w:lvlText w:val="%1."/>
      <w:lvlJc w:val="left"/>
      <w:pPr>
        <w:ind w:left="108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79F1BF3"/>
    <w:multiLevelType w:val="multilevel"/>
    <w:tmpl w:val="537E9280"/>
    <w:lvl w:ilvl="0">
      <w:start w:val="1"/>
      <w:numFmt w:val="decimal"/>
      <w:pStyle w:val="ListNumber"/>
      <w:lvlText w:val="(%1)"/>
      <w:lvlJc w:val="left"/>
      <w:pPr>
        <w:tabs>
          <w:tab w:val="num" w:pos="709"/>
        </w:tabs>
        <w:ind w:left="709" w:hanging="709"/>
      </w:pPr>
      <w:rPr>
        <w:b w:val="0"/>
      </w:r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6C136061"/>
    <w:multiLevelType w:val="hybridMultilevel"/>
    <w:tmpl w:val="7052666E"/>
    <w:lvl w:ilvl="0" w:tplc="40D2097A">
      <w:start w:val="1"/>
      <w:numFmt w:val="bullet"/>
      <w:pStyle w:val="Briefingspeakdef"/>
      <w:lvlText w:val=""/>
      <w:lvlJc w:val="left"/>
      <w:pPr>
        <w:tabs>
          <w:tab w:val="num" w:pos="765"/>
        </w:tabs>
        <w:ind w:left="765" w:hanging="283"/>
      </w:pPr>
      <w:rPr>
        <w:rFonts w:ascii="Symbol" w:hAnsi="Symbol" w:hint="default"/>
        <w:sz w:val="22"/>
      </w:rPr>
    </w:lvl>
    <w:lvl w:ilvl="1" w:tplc="08090003">
      <w:start w:val="1"/>
      <w:numFmt w:val="bullet"/>
      <w:lvlText w:val=""/>
      <w:lvlJc w:val="left"/>
      <w:pPr>
        <w:tabs>
          <w:tab w:val="num" w:pos="1287"/>
        </w:tabs>
        <w:ind w:left="1287" w:hanging="207"/>
      </w:pPr>
      <w:rPr>
        <w:rFonts w:ascii="Symbol" w:hAnsi="Symbol" w:hint="default"/>
        <w:sz w:val="22"/>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D4070CA"/>
    <w:multiLevelType w:val="singleLevel"/>
    <w:tmpl w:val="0FC2EFC0"/>
    <w:lvl w:ilvl="0">
      <w:start w:val="1"/>
      <w:numFmt w:val="bullet"/>
      <w:pStyle w:val="ListBullet3"/>
      <w:lvlText w:val=""/>
      <w:lvlJc w:val="left"/>
      <w:pPr>
        <w:tabs>
          <w:tab w:val="num" w:pos="2199"/>
        </w:tabs>
        <w:ind w:left="2199" w:hanging="283"/>
      </w:pPr>
      <w:rPr>
        <w:rFonts w:ascii="Symbol" w:hAnsi="Symbol"/>
      </w:rPr>
    </w:lvl>
  </w:abstractNum>
  <w:abstractNum w:abstractNumId="31" w15:restartNumberingAfterBreak="0">
    <w:nsid w:val="710B10B9"/>
    <w:multiLevelType w:val="hybridMultilevel"/>
    <w:tmpl w:val="1C16B99E"/>
    <w:lvl w:ilvl="0" w:tplc="C27C8118">
      <w:start w:val="1"/>
      <w:numFmt w:val="upperRoman"/>
      <w:lvlText w:val="%1."/>
      <w:lvlJc w:val="left"/>
      <w:pPr>
        <w:ind w:left="1080" w:hanging="72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754117B7"/>
    <w:multiLevelType w:val="multilevel"/>
    <w:tmpl w:val="D210498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769864C1"/>
    <w:multiLevelType w:val="hybridMultilevel"/>
    <w:tmpl w:val="154C80D8"/>
    <w:lvl w:ilvl="0" w:tplc="843A22E8">
      <w:start w:val="1"/>
      <w:numFmt w:val="bullet"/>
      <w:pStyle w:val="NumPar1Char"/>
      <w:lvlText w:val="–"/>
      <w:lvlJc w:val="left"/>
      <w:pPr>
        <w:tabs>
          <w:tab w:val="num" w:pos="643"/>
        </w:tabs>
        <w:ind w:left="643" w:hanging="283"/>
      </w:pPr>
      <w:rPr>
        <w:rFonts w:ascii="Times New Roman" w:hAnsi="Times New Roman" w:hint="default"/>
      </w:rPr>
    </w:lvl>
    <w:lvl w:ilvl="1" w:tplc="60C2582C" w:tentative="1">
      <w:start w:val="1"/>
      <w:numFmt w:val="bullet"/>
      <w:lvlText w:val="o"/>
      <w:lvlJc w:val="left"/>
      <w:pPr>
        <w:tabs>
          <w:tab w:val="num" w:pos="1440"/>
        </w:tabs>
        <w:ind w:left="1440" w:hanging="360"/>
      </w:pPr>
      <w:rPr>
        <w:rFonts w:ascii="Courier New" w:hAnsi="Courier New" w:cs="Courier New" w:hint="default"/>
      </w:rPr>
    </w:lvl>
    <w:lvl w:ilvl="2" w:tplc="17D6AD3A" w:tentative="1">
      <w:start w:val="1"/>
      <w:numFmt w:val="bullet"/>
      <w:lvlText w:val=""/>
      <w:lvlJc w:val="left"/>
      <w:pPr>
        <w:tabs>
          <w:tab w:val="num" w:pos="2160"/>
        </w:tabs>
        <w:ind w:left="2160" w:hanging="360"/>
      </w:pPr>
      <w:rPr>
        <w:rFonts w:ascii="Wingdings" w:hAnsi="Wingdings" w:hint="default"/>
      </w:rPr>
    </w:lvl>
    <w:lvl w:ilvl="3" w:tplc="FEA221B2" w:tentative="1">
      <w:start w:val="1"/>
      <w:numFmt w:val="bullet"/>
      <w:lvlText w:val=""/>
      <w:lvlJc w:val="left"/>
      <w:pPr>
        <w:tabs>
          <w:tab w:val="num" w:pos="2880"/>
        </w:tabs>
        <w:ind w:left="2880" w:hanging="360"/>
      </w:pPr>
      <w:rPr>
        <w:rFonts w:ascii="Symbol" w:hAnsi="Symbol" w:hint="default"/>
      </w:rPr>
    </w:lvl>
    <w:lvl w:ilvl="4" w:tplc="EB305368" w:tentative="1">
      <w:start w:val="1"/>
      <w:numFmt w:val="bullet"/>
      <w:lvlText w:val="o"/>
      <w:lvlJc w:val="left"/>
      <w:pPr>
        <w:tabs>
          <w:tab w:val="num" w:pos="3600"/>
        </w:tabs>
        <w:ind w:left="3600" w:hanging="360"/>
      </w:pPr>
      <w:rPr>
        <w:rFonts w:ascii="Courier New" w:hAnsi="Courier New" w:cs="Courier New" w:hint="default"/>
      </w:rPr>
    </w:lvl>
    <w:lvl w:ilvl="5" w:tplc="1C38E420" w:tentative="1">
      <w:start w:val="1"/>
      <w:numFmt w:val="bullet"/>
      <w:lvlText w:val=""/>
      <w:lvlJc w:val="left"/>
      <w:pPr>
        <w:tabs>
          <w:tab w:val="num" w:pos="4320"/>
        </w:tabs>
        <w:ind w:left="4320" w:hanging="360"/>
      </w:pPr>
      <w:rPr>
        <w:rFonts w:ascii="Wingdings" w:hAnsi="Wingdings" w:hint="default"/>
      </w:rPr>
    </w:lvl>
    <w:lvl w:ilvl="6" w:tplc="58705602" w:tentative="1">
      <w:start w:val="1"/>
      <w:numFmt w:val="bullet"/>
      <w:lvlText w:val=""/>
      <w:lvlJc w:val="left"/>
      <w:pPr>
        <w:tabs>
          <w:tab w:val="num" w:pos="5040"/>
        </w:tabs>
        <w:ind w:left="5040" w:hanging="360"/>
      </w:pPr>
      <w:rPr>
        <w:rFonts w:ascii="Symbol" w:hAnsi="Symbol" w:hint="default"/>
      </w:rPr>
    </w:lvl>
    <w:lvl w:ilvl="7" w:tplc="EE5A94CC" w:tentative="1">
      <w:start w:val="1"/>
      <w:numFmt w:val="bullet"/>
      <w:lvlText w:val="o"/>
      <w:lvlJc w:val="left"/>
      <w:pPr>
        <w:tabs>
          <w:tab w:val="num" w:pos="5760"/>
        </w:tabs>
        <w:ind w:left="5760" w:hanging="360"/>
      </w:pPr>
      <w:rPr>
        <w:rFonts w:ascii="Courier New" w:hAnsi="Courier New" w:cs="Courier New" w:hint="default"/>
      </w:rPr>
    </w:lvl>
    <w:lvl w:ilvl="8" w:tplc="C0A63828"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7816C3A"/>
    <w:multiLevelType w:val="singleLevel"/>
    <w:tmpl w:val="C9E4CA12"/>
    <w:lvl w:ilvl="0">
      <w:start w:val="1"/>
      <w:numFmt w:val="bullet"/>
      <w:pStyle w:val="ListDash3"/>
      <w:lvlText w:val="–"/>
      <w:lvlJc w:val="left"/>
      <w:pPr>
        <w:tabs>
          <w:tab w:val="num" w:pos="2199"/>
        </w:tabs>
        <w:ind w:left="2199" w:hanging="283"/>
      </w:pPr>
      <w:rPr>
        <w:rFonts w:ascii="Times New Roman" w:hAnsi="Times New Roman"/>
      </w:rPr>
    </w:lvl>
  </w:abstractNum>
  <w:abstractNum w:abstractNumId="35" w15:restartNumberingAfterBreak="0">
    <w:nsid w:val="78080A0A"/>
    <w:multiLevelType w:val="singleLevel"/>
    <w:tmpl w:val="3CCA8980"/>
    <w:lvl w:ilvl="0">
      <w:start w:val="1"/>
      <w:numFmt w:val="bullet"/>
      <w:pStyle w:val="ListBullet1"/>
      <w:lvlText w:val=""/>
      <w:lvlJc w:val="left"/>
      <w:pPr>
        <w:tabs>
          <w:tab w:val="num" w:pos="765"/>
        </w:tabs>
        <w:ind w:left="765" w:hanging="283"/>
      </w:pPr>
      <w:rPr>
        <w:rFonts w:ascii="Symbol" w:hAnsi="Symbol"/>
      </w:rPr>
    </w:lvl>
  </w:abstractNum>
  <w:abstractNum w:abstractNumId="36" w15:restartNumberingAfterBreak="0">
    <w:nsid w:val="7ECB7708"/>
    <w:multiLevelType w:val="singleLevel"/>
    <w:tmpl w:val="5EA8E34C"/>
    <w:lvl w:ilvl="0">
      <w:start w:val="1"/>
      <w:numFmt w:val="decimal"/>
      <w:pStyle w:val="ATHeading1"/>
      <w:lvlText w:val="%1."/>
      <w:lvlJc w:val="left"/>
      <w:pPr>
        <w:tabs>
          <w:tab w:val="num" w:pos="360"/>
        </w:tabs>
        <w:ind w:left="360" w:hanging="360"/>
      </w:pPr>
    </w:lvl>
  </w:abstractNum>
  <w:num w:numId="1" w16cid:durableId="1220166569">
    <w:abstractNumId w:val="13"/>
  </w:num>
  <w:num w:numId="2" w16cid:durableId="209342734">
    <w:abstractNumId w:val="5"/>
  </w:num>
  <w:num w:numId="3" w16cid:durableId="148182179">
    <w:abstractNumId w:val="1"/>
  </w:num>
  <w:num w:numId="4" w16cid:durableId="505511010">
    <w:abstractNumId w:val="35"/>
  </w:num>
  <w:num w:numId="5" w16cid:durableId="580018736">
    <w:abstractNumId w:val="14"/>
  </w:num>
  <w:num w:numId="6" w16cid:durableId="221647625">
    <w:abstractNumId w:val="30"/>
  </w:num>
  <w:num w:numId="7" w16cid:durableId="298344620">
    <w:abstractNumId w:val="8"/>
  </w:num>
  <w:num w:numId="8" w16cid:durableId="58093387">
    <w:abstractNumId w:val="4"/>
  </w:num>
  <w:num w:numId="9" w16cid:durableId="1122530581">
    <w:abstractNumId w:val="17"/>
  </w:num>
  <w:num w:numId="10" w16cid:durableId="1479684095">
    <w:abstractNumId w:val="34"/>
  </w:num>
  <w:num w:numId="11" w16cid:durableId="340007303">
    <w:abstractNumId w:val="25"/>
  </w:num>
  <w:num w:numId="12" w16cid:durableId="346519941">
    <w:abstractNumId w:val="28"/>
  </w:num>
  <w:num w:numId="13" w16cid:durableId="691036718">
    <w:abstractNumId w:val="12"/>
  </w:num>
  <w:num w:numId="14" w16cid:durableId="1452093781">
    <w:abstractNumId w:val="19"/>
  </w:num>
  <w:num w:numId="15" w16cid:durableId="906961314">
    <w:abstractNumId w:val="32"/>
  </w:num>
  <w:num w:numId="16" w16cid:durableId="1388455259">
    <w:abstractNumId w:val="16"/>
  </w:num>
  <w:num w:numId="17" w16cid:durableId="1677533267">
    <w:abstractNumId w:val="36"/>
  </w:num>
  <w:num w:numId="18" w16cid:durableId="961619330">
    <w:abstractNumId w:val="33"/>
  </w:num>
  <w:num w:numId="19" w16cid:durableId="1095638383">
    <w:abstractNumId w:val="23"/>
  </w:num>
  <w:num w:numId="20" w16cid:durableId="357776219">
    <w:abstractNumId w:val="24"/>
  </w:num>
  <w:num w:numId="21" w16cid:durableId="1481578588">
    <w:abstractNumId w:val="29"/>
  </w:num>
  <w:num w:numId="22" w16cid:durableId="370300677">
    <w:abstractNumId w:val="3"/>
  </w:num>
  <w:num w:numId="23" w16cid:durableId="1322079617">
    <w:abstractNumId w:val="22"/>
  </w:num>
  <w:num w:numId="24" w16cid:durableId="672880170">
    <w:abstractNumId w:val="31"/>
  </w:num>
  <w:num w:numId="25" w16cid:durableId="231626082">
    <w:abstractNumId w:val="15"/>
  </w:num>
  <w:num w:numId="26" w16cid:durableId="1341394748">
    <w:abstractNumId w:val="10"/>
  </w:num>
  <w:num w:numId="27" w16cid:durableId="1065303951">
    <w:abstractNumId w:val="7"/>
  </w:num>
  <w:num w:numId="28" w16cid:durableId="173149635">
    <w:abstractNumId w:val="2"/>
  </w:num>
  <w:num w:numId="29" w16cid:durableId="779839125">
    <w:abstractNumId w:val="26"/>
  </w:num>
  <w:num w:numId="30" w16cid:durableId="938102828">
    <w:abstractNumId w:val="9"/>
  </w:num>
  <w:num w:numId="31" w16cid:durableId="460921423">
    <w:abstractNumId w:val="9"/>
    <w:lvlOverride w:ilvl="0">
      <w:lvl w:ilvl="0" w:tplc="9A38F3C4">
        <w:start w:val="1"/>
        <w:numFmt w:val="upperRoman"/>
        <w:lvlText w:val="%1."/>
        <w:lvlJc w:val="left"/>
        <w:pPr>
          <w:ind w:left="1080" w:hanging="720"/>
        </w:pPr>
        <w:rPr>
          <w:rFonts w:hint="default"/>
        </w:rPr>
      </w:lvl>
    </w:lvlOverride>
    <w:lvlOverride w:ilvl="1">
      <w:lvl w:ilvl="1" w:tplc="080C0019" w:tentative="1">
        <w:start w:val="1"/>
        <w:numFmt w:val="lowerLetter"/>
        <w:lvlText w:val="%2."/>
        <w:lvlJc w:val="left"/>
        <w:pPr>
          <w:ind w:left="1440" w:hanging="360"/>
        </w:pPr>
      </w:lvl>
    </w:lvlOverride>
    <w:lvlOverride w:ilvl="2">
      <w:lvl w:ilvl="2" w:tplc="080C001B" w:tentative="1">
        <w:start w:val="1"/>
        <w:numFmt w:val="lowerRoman"/>
        <w:lvlText w:val="%3."/>
        <w:lvlJc w:val="right"/>
        <w:pPr>
          <w:ind w:left="2160" w:hanging="180"/>
        </w:pPr>
      </w:lvl>
    </w:lvlOverride>
    <w:lvlOverride w:ilvl="3">
      <w:lvl w:ilvl="3" w:tplc="080C000F" w:tentative="1">
        <w:start w:val="1"/>
        <w:numFmt w:val="decimal"/>
        <w:lvlText w:val="%4."/>
        <w:lvlJc w:val="left"/>
        <w:pPr>
          <w:ind w:left="2880" w:hanging="360"/>
        </w:pPr>
      </w:lvl>
    </w:lvlOverride>
    <w:lvlOverride w:ilvl="4">
      <w:lvl w:ilvl="4" w:tplc="080C0019" w:tentative="1">
        <w:start w:val="1"/>
        <w:numFmt w:val="lowerLetter"/>
        <w:lvlText w:val="%5."/>
        <w:lvlJc w:val="left"/>
        <w:pPr>
          <w:ind w:left="3600" w:hanging="360"/>
        </w:pPr>
      </w:lvl>
    </w:lvlOverride>
    <w:lvlOverride w:ilvl="5">
      <w:lvl w:ilvl="5" w:tplc="080C001B" w:tentative="1">
        <w:start w:val="1"/>
        <w:numFmt w:val="lowerRoman"/>
        <w:lvlText w:val="%6."/>
        <w:lvlJc w:val="right"/>
        <w:pPr>
          <w:ind w:left="4320" w:hanging="180"/>
        </w:pPr>
      </w:lvl>
    </w:lvlOverride>
    <w:lvlOverride w:ilvl="6">
      <w:lvl w:ilvl="6" w:tplc="080C000F" w:tentative="1">
        <w:start w:val="1"/>
        <w:numFmt w:val="decimal"/>
        <w:lvlText w:val="%7."/>
        <w:lvlJc w:val="left"/>
        <w:pPr>
          <w:ind w:left="5040" w:hanging="360"/>
        </w:pPr>
      </w:lvl>
    </w:lvlOverride>
    <w:lvlOverride w:ilvl="7">
      <w:lvl w:ilvl="7" w:tplc="080C0019" w:tentative="1">
        <w:start w:val="1"/>
        <w:numFmt w:val="lowerLetter"/>
        <w:lvlText w:val="%8."/>
        <w:lvlJc w:val="left"/>
        <w:pPr>
          <w:ind w:left="5760" w:hanging="360"/>
        </w:pPr>
      </w:lvl>
    </w:lvlOverride>
    <w:lvlOverride w:ilvl="8">
      <w:lvl w:ilvl="8" w:tplc="080C001B" w:tentative="1">
        <w:start w:val="1"/>
        <w:numFmt w:val="lowerRoman"/>
        <w:lvlText w:val="%9."/>
        <w:lvlJc w:val="right"/>
        <w:pPr>
          <w:ind w:left="6480" w:hanging="180"/>
        </w:pPr>
      </w:lvl>
    </w:lvlOverride>
  </w:num>
  <w:num w:numId="32" w16cid:durableId="1216551106">
    <w:abstractNumId w:val="21"/>
  </w:num>
  <w:num w:numId="33" w16cid:durableId="1909339428">
    <w:abstractNumId w:val="18"/>
  </w:num>
  <w:num w:numId="34" w16cid:durableId="1883245771">
    <w:abstractNumId w:val="20"/>
  </w:num>
  <w:num w:numId="35" w16cid:durableId="166209596">
    <w:abstractNumId w:val="27"/>
  </w:num>
  <w:num w:numId="36" w16cid:durableId="1369721975">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pos w:val="beneathText"/>
    <w:numRestart w:val="eachSect"/>
    <w:footnote w:id="-1"/>
    <w:footnote w:id="0"/>
    <w:footnote w:id="1"/>
  </w:footnotePr>
  <w:endnotePr>
    <w:endnote w:id="-1"/>
    <w:endnote w:id="0"/>
    <w:endnote w:id="1"/>
  </w:endnotePr>
  <w:compat>
    <w:allowSpaceOfSameStyleInTable/>
    <w:compatSetting w:name="compatibilityMode" w:uri="http://schemas.microsoft.com/office/word" w:val="12"/>
    <w:compatSetting w:name="useWord2013TrackBottomHyphenation" w:uri="http://schemas.microsoft.com/office/word" w:val="1"/>
  </w:compat>
  <w:docVars>
    <w:docVar w:name="LW_DocType" w:val="TEL"/>
  </w:docVars>
  <w:rsids>
    <w:rsidRoot w:val="009A3DA0"/>
    <w:rsid w:val="00000039"/>
    <w:rsid w:val="00000080"/>
    <w:rsid w:val="000001DC"/>
    <w:rsid w:val="0000032F"/>
    <w:rsid w:val="00000397"/>
    <w:rsid w:val="00000486"/>
    <w:rsid w:val="0000050D"/>
    <w:rsid w:val="000005E9"/>
    <w:rsid w:val="000006FD"/>
    <w:rsid w:val="0000071A"/>
    <w:rsid w:val="00000795"/>
    <w:rsid w:val="000009FA"/>
    <w:rsid w:val="00000BE2"/>
    <w:rsid w:val="00000C13"/>
    <w:rsid w:val="00000C96"/>
    <w:rsid w:val="00000DBF"/>
    <w:rsid w:val="00001369"/>
    <w:rsid w:val="00001A79"/>
    <w:rsid w:val="00001CDC"/>
    <w:rsid w:val="000021E5"/>
    <w:rsid w:val="000023BA"/>
    <w:rsid w:val="000024E2"/>
    <w:rsid w:val="0000279C"/>
    <w:rsid w:val="00002A45"/>
    <w:rsid w:val="00002CF6"/>
    <w:rsid w:val="000031B6"/>
    <w:rsid w:val="00003423"/>
    <w:rsid w:val="00003511"/>
    <w:rsid w:val="00003652"/>
    <w:rsid w:val="000037A7"/>
    <w:rsid w:val="00003862"/>
    <w:rsid w:val="00003C85"/>
    <w:rsid w:val="00004288"/>
    <w:rsid w:val="0000436C"/>
    <w:rsid w:val="000043BD"/>
    <w:rsid w:val="0000450D"/>
    <w:rsid w:val="000046C1"/>
    <w:rsid w:val="00004798"/>
    <w:rsid w:val="00004A58"/>
    <w:rsid w:val="00004C3F"/>
    <w:rsid w:val="0000525F"/>
    <w:rsid w:val="000054A7"/>
    <w:rsid w:val="00005541"/>
    <w:rsid w:val="000058C9"/>
    <w:rsid w:val="00005961"/>
    <w:rsid w:val="00005D46"/>
    <w:rsid w:val="00005DE3"/>
    <w:rsid w:val="0000606B"/>
    <w:rsid w:val="0000613E"/>
    <w:rsid w:val="00006304"/>
    <w:rsid w:val="000064DB"/>
    <w:rsid w:val="0000679D"/>
    <w:rsid w:val="000068F7"/>
    <w:rsid w:val="00006B10"/>
    <w:rsid w:val="00006BCB"/>
    <w:rsid w:val="00006C43"/>
    <w:rsid w:val="00006C9C"/>
    <w:rsid w:val="00006DB3"/>
    <w:rsid w:val="00006F0E"/>
    <w:rsid w:val="0000741C"/>
    <w:rsid w:val="0000749B"/>
    <w:rsid w:val="000074BB"/>
    <w:rsid w:val="000075DF"/>
    <w:rsid w:val="000078A5"/>
    <w:rsid w:val="00007CED"/>
    <w:rsid w:val="00007D9E"/>
    <w:rsid w:val="00007ECC"/>
    <w:rsid w:val="0001009B"/>
    <w:rsid w:val="0001047E"/>
    <w:rsid w:val="0001064E"/>
    <w:rsid w:val="00010AC9"/>
    <w:rsid w:val="00011281"/>
    <w:rsid w:val="0001134B"/>
    <w:rsid w:val="00011376"/>
    <w:rsid w:val="000113AB"/>
    <w:rsid w:val="0001140F"/>
    <w:rsid w:val="0001153B"/>
    <w:rsid w:val="00011589"/>
    <w:rsid w:val="00011615"/>
    <w:rsid w:val="00011727"/>
    <w:rsid w:val="000117D8"/>
    <w:rsid w:val="0001183E"/>
    <w:rsid w:val="00011A9B"/>
    <w:rsid w:val="00011B30"/>
    <w:rsid w:val="00011B78"/>
    <w:rsid w:val="00011D79"/>
    <w:rsid w:val="0001228B"/>
    <w:rsid w:val="000122B5"/>
    <w:rsid w:val="0001250D"/>
    <w:rsid w:val="00012680"/>
    <w:rsid w:val="00012EFD"/>
    <w:rsid w:val="00013030"/>
    <w:rsid w:val="000130BE"/>
    <w:rsid w:val="00013716"/>
    <w:rsid w:val="00013997"/>
    <w:rsid w:val="000139D8"/>
    <w:rsid w:val="00013D92"/>
    <w:rsid w:val="00013EE5"/>
    <w:rsid w:val="0001448B"/>
    <w:rsid w:val="000145A2"/>
    <w:rsid w:val="000146F4"/>
    <w:rsid w:val="000149EF"/>
    <w:rsid w:val="00014A71"/>
    <w:rsid w:val="00014CE1"/>
    <w:rsid w:val="00015264"/>
    <w:rsid w:val="000152CA"/>
    <w:rsid w:val="00015341"/>
    <w:rsid w:val="000153FE"/>
    <w:rsid w:val="00015452"/>
    <w:rsid w:val="0001589A"/>
    <w:rsid w:val="000158AA"/>
    <w:rsid w:val="00015A65"/>
    <w:rsid w:val="00015B9E"/>
    <w:rsid w:val="00015C38"/>
    <w:rsid w:val="00015EB6"/>
    <w:rsid w:val="00015ECC"/>
    <w:rsid w:val="00015F13"/>
    <w:rsid w:val="0001612D"/>
    <w:rsid w:val="000162A0"/>
    <w:rsid w:val="00016354"/>
    <w:rsid w:val="00016438"/>
    <w:rsid w:val="000164BD"/>
    <w:rsid w:val="000166D5"/>
    <w:rsid w:val="00016A8D"/>
    <w:rsid w:val="00016C72"/>
    <w:rsid w:val="000170C1"/>
    <w:rsid w:val="00017265"/>
    <w:rsid w:val="0001730F"/>
    <w:rsid w:val="00017430"/>
    <w:rsid w:val="000174AF"/>
    <w:rsid w:val="00017668"/>
    <w:rsid w:val="0001776A"/>
    <w:rsid w:val="00017883"/>
    <w:rsid w:val="00017A67"/>
    <w:rsid w:val="00017AA9"/>
    <w:rsid w:val="00017BE3"/>
    <w:rsid w:val="00017C25"/>
    <w:rsid w:val="00017F27"/>
    <w:rsid w:val="00017F3D"/>
    <w:rsid w:val="00020E26"/>
    <w:rsid w:val="00020EDC"/>
    <w:rsid w:val="000214B9"/>
    <w:rsid w:val="000218F1"/>
    <w:rsid w:val="00021AEC"/>
    <w:rsid w:val="00021B43"/>
    <w:rsid w:val="00021BCD"/>
    <w:rsid w:val="00021EF0"/>
    <w:rsid w:val="00021FA4"/>
    <w:rsid w:val="0002207D"/>
    <w:rsid w:val="0002216F"/>
    <w:rsid w:val="000221F2"/>
    <w:rsid w:val="00022538"/>
    <w:rsid w:val="00022669"/>
    <w:rsid w:val="00022775"/>
    <w:rsid w:val="00022776"/>
    <w:rsid w:val="000227DE"/>
    <w:rsid w:val="00022903"/>
    <w:rsid w:val="00022B33"/>
    <w:rsid w:val="00022C38"/>
    <w:rsid w:val="00022E91"/>
    <w:rsid w:val="00022FAA"/>
    <w:rsid w:val="00023162"/>
    <w:rsid w:val="000232A5"/>
    <w:rsid w:val="00023424"/>
    <w:rsid w:val="00023451"/>
    <w:rsid w:val="00023626"/>
    <w:rsid w:val="00023AF3"/>
    <w:rsid w:val="00023C78"/>
    <w:rsid w:val="00023E4D"/>
    <w:rsid w:val="000240AC"/>
    <w:rsid w:val="000241F9"/>
    <w:rsid w:val="00024204"/>
    <w:rsid w:val="000242C9"/>
    <w:rsid w:val="0002435B"/>
    <w:rsid w:val="0002452D"/>
    <w:rsid w:val="00024671"/>
    <w:rsid w:val="00024685"/>
    <w:rsid w:val="000248D3"/>
    <w:rsid w:val="000248D5"/>
    <w:rsid w:val="000249F6"/>
    <w:rsid w:val="00024BE2"/>
    <w:rsid w:val="00024C5F"/>
    <w:rsid w:val="00024F7A"/>
    <w:rsid w:val="000250B7"/>
    <w:rsid w:val="00025341"/>
    <w:rsid w:val="00025501"/>
    <w:rsid w:val="0002561D"/>
    <w:rsid w:val="00025CA4"/>
    <w:rsid w:val="00025D8A"/>
    <w:rsid w:val="00025EB9"/>
    <w:rsid w:val="000260DC"/>
    <w:rsid w:val="000261DA"/>
    <w:rsid w:val="0002630E"/>
    <w:rsid w:val="000265AD"/>
    <w:rsid w:val="000265DD"/>
    <w:rsid w:val="00026679"/>
    <w:rsid w:val="00026B29"/>
    <w:rsid w:val="00026CA1"/>
    <w:rsid w:val="00026D00"/>
    <w:rsid w:val="00026E21"/>
    <w:rsid w:val="0002715D"/>
    <w:rsid w:val="0002725A"/>
    <w:rsid w:val="00027F70"/>
    <w:rsid w:val="00030058"/>
    <w:rsid w:val="000300B4"/>
    <w:rsid w:val="00030317"/>
    <w:rsid w:val="000305C7"/>
    <w:rsid w:val="00030676"/>
    <w:rsid w:val="00030996"/>
    <w:rsid w:val="00030E3E"/>
    <w:rsid w:val="000310AA"/>
    <w:rsid w:val="000310E8"/>
    <w:rsid w:val="000315BD"/>
    <w:rsid w:val="00031637"/>
    <w:rsid w:val="00031793"/>
    <w:rsid w:val="00031A4C"/>
    <w:rsid w:val="00031BDA"/>
    <w:rsid w:val="00031CA2"/>
    <w:rsid w:val="00031D00"/>
    <w:rsid w:val="00031DA3"/>
    <w:rsid w:val="00031F4C"/>
    <w:rsid w:val="0003204C"/>
    <w:rsid w:val="0003243D"/>
    <w:rsid w:val="000326E6"/>
    <w:rsid w:val="00032766"/>
    <w:rsid w:val="0003277F"/>
    <w:rsid w:val="00032792"/>
    <w:rsid w:val="000328B1"/>
    <w:rsid w:val="00032DC3"/>
    <w:rsid w:val="00032E4F"/>
    <w:rsid w:val="00032EDB"/>
    <w:rsid w:val="000332FE"/>
    <w:rsid w:val="000337C2"/>
    <w:rsid w:val="00033EA1"/>
    <w:rsid w:val="00033F57"/>
    <w:rsid w:val="000340CA"/>
    <w:rsid w:val="000341FA"/>
    <w:rsid w:val="0003483E"/>
    <w:rsid w:val="000348CA"/>
    <w:rsid w:val="0003496F"/>
    <w:rsid w:val="00034992"/>
    <w:rsid w:val="00034B24"/>
    <w:rsid w:val="00034CA0"/>
    <w:rsid w:val="00034EB6"/>
    <w:rsid w:val="00034FAF"/>
    <w:rsid w:val="00034FFC"/>
    <w:rsid w:val="0003501A"/>
    <w:rsid w:val="0003509D"/>
    <w:rsid w:val="000350BB"/>
    <w:rsid w:val="0003513E"/>
    <w:rsid w:val="000351DA"/>
    <w:rsid w:val="00035357"/>
    <w:rsid w:val="000355A7"/>
    <w:rsid w:val="000356EC"/>
    <w:rsid w:val="00035999"/>
    <w:rsid w:val="00035B81"/>
    <w:rsid w:val="00035CE3"/>
    <w:rsid w:val="00035DFD"/>
    <w:rsid w:val="00035FDE"/>
    <w:rsid w:val="00036009"/>
    <w:rsid w:val="00036106"/>
    <w:rsid w:val="00036177"/>
    <w:rsid w:val="0003633B"/>
    <w:rsid w:val="00037004"/>
    <w:rsid w:val="00037224"/>
    <w:rsid w:val="000372EF"/>
    <w:rsid w:val="0003737B"/>
    <w:rsid w:val="0003745C"/>
    <w:rsid w:val="0003758E"/>
    <w:rsid w:val="000375BA"/>
    <w:rsid w:val="00037990"/>
    <w:rsid w:val="00037C5D"/>
    <w:rsid w:val="00040060"/>
    <w:rsid w:val="00040281"/>
    <w:rsid w:val="00040A13"/>
    <w:rsid w:val="00040A43"/>
    <w:rsid w:val="00040C7A"/>
    <w:rsid w:val="00040E6E"/>
    <w:rsid w:val="0004105D"/>
    <w:rsid w:val="0004146E"/>
    <w:rsid w:val="000414BC"/>
    <w:rsid w:val="0004189C"/>
    <w:rsid w:val="0004193F"/>
    <w:rsid w:val="0004195A"/>
    <w:rsid w:val="00041A87"/>
    <w:rsid w:val="00041C4F"/>
    <w:rsid w:val="00041F1F"/>
    <w:rsid w:val="0004209B"/>
    <w:rsid w:val="000420DB"/>
    <w:rsid w:val="000421A1"/>
    <w:rsid w:val="000423C1"/>
    <w:rsid w:val="00042508"/>
    <w:rsid w:val="00042A8B"/>
    <w:rsid w:val="00042F4E"/>
    <w:rsid w:val="000434BD"/>
    <w:rsid w:val="00043563"/>
    <w:rsid w:val="000436A8"/>
    <w:rsid w:val="00043B7B"/>
    <w:rsid w:val="00043E36"/>
    <w:rsid w:val="000443C3"/>
    <w:rsid w:val="0004455F"/>
    <w:rsid w:val="000447DD"/>
    <w:rsid w:val="00044806"/>
    <w:rsid w:val="00044857"/>
    <w:rsid w:val="00044A42"/>
    <w:rsid w:val="00044AB8"/>
    <w:rsid w:val="000454B2"/>
    <w:rsid w:val="000458F9"/>
    <w:rsid w:val="00045976"/>
    <w:rsid w:val="00045E41"/>
    <w:rsid w:val="00046550"/>
    <w:rsid w:val="0004656A"/>
    <w:rsid w:val="000466E7"/>
    <w:rsid w:val="000468E2"/>
    <w:rsid w:val="00046A3E"/>
    <w:rsid w:val="00046C6A"/>
    <w:rsid w:val="00046D8E"/>
    <w:rsid w:val="0004701B"/>
    <w:rsid w:val="00047124"/>
    <w:rsid w:val="00047444"/>
    <w:rsid w:val="00047661"/>
    <w:rsid w:val="000476C0"/>
    <w:rsid w:val="00047734"/>
    <w:rsid w:val="000477EA"/>
    <w:rsid w:val="00047936"/>
    <w:rsid w:val="0004798E"/>
    <w:rsid w:val="00047BB5"/>
    <w:rsid w:val="00047D53"/>
    <w:rsid w:val="00047F34"/>
    <w:rsid w:val="00047FE0"/>
    <w:rsid w:val="000502A5"/>
    <w:rsid w:val="000504A8"/>
    <w:rsid w:val="0005052B"/>
    <w:rsid w:val="000506A1"/>
    <w:rsid w:val="000508EC"/>
    <w:rsid w:val="000509DA"/>
    <w:rsid w:val="00050AFA"/>
    <w:rsid w:val="00051333"/>
    <w:rsid w:val="00051E3C"/>
    <w:rsid w:val="000520B1"/>
    <w:rsid w:val="00052241"/>
    <w:rsid w:val="00052672"/>
    <w:rsid w:val="00052814"/>
    <w:rsid w:val="000529E9"/>
    <w:rsid w:val="00053766"/>
    <w:rsid w:val="00053BE0"/>
    <w:rsid w:val="00053CB9"/>
    <w:rsid w:val="00053FAD"/>
    <w:rsid w:val="00054170"/>
    <w:rsid w:val="000541A5"/>
    <w:rsid w:val="0005422C"/>
    <w:rsid w:val="000549CF"/>
    <w:rsid w:val="00054C6E"/>
    <w:rsid w:val="00054DF3"/>
    <w:rsid w:val="00055034"/>
    <w:rsid w:val="000550B3"/>
    <w:rsid w:val="0005513C"/>
    <w:rsid w:val="00055234"/>
    <w:rsid w:val="00055406"/>
    <w:rsid w:val="00055569"/>
    <w:rsid w:val="00055881"/>
    <w:rsid w:val="00055974"/>
    <w:rsid w:val="00055D53"/>
    <w:rsid w:val="00055DF6"/>
    <w:rsid w:val="00055ED8"/>
    <w:rsid w:val="00056594"/>
    <w:rsid w:val="000565F7"/>
    <w:rsid w:val="000568D7"/>
    <w:rsid w:val="000568F4"/>
    <w:rsid w:val="00056C02"/>
    <w:rsid w:val="00057006"/>
    <w:rsid w:val="00057285"/>
    <w:rsid w:val="0005742E"/>
    <w:rsid w:val="00057439"/>
    <w:rsid w:val="000574AC"/>
    <w:rsid w:val="0005753C"/>
    <w:rsid w:val="00057745"/>
    <w:rsid w:val="00057902"/>
    <w:rsid w:val="00057E1C"/>
    <w:rsid w:val="00057EA9"/>
    <w:rsid w:val="00060742"/>
    <w:rsid w:val="0006088F"/>
    <w:rsid w:val="00060C03"/>
    <w:rsid w:val="00060C06"/>
    <w:rsid w:val="00060C9D"/>
    <w:rsid w:val="00060CB2"/>
    <w:rsid w:val="00060D87"/>
    <w:rsid w:val="00060EF5"/>
    <w:rsid w:val="00060F44"/>
    <w:rsid w:val="00060F73"/>
    <w:rsid w:val="000611E6"/>
    <w:rsid w:val="0006140F"/>
    <w:rsid w:val="00061482"/>
    <w:rsid w:val="00061530"/>
    <w:rsid w:val="00061536"/>
    <w:rsid w:val="000615E8"/>
    <w:rsid w:val="0006176E"/>
    <w:rsid w:val="000617E7"/>
    <w:rsid w:val="00061822"/>
    <w:rsid w:val="000619C8"/>
    <w:rsid w:val="000619ED"/>
    <w:rsid w:val="00061FAC"/>
    <w:rsid w:val="00061FD0"/>
    <w:rsid w:val="00062240"/>
    <w:rsid w:val="000622F5"/>
    <w:rsid w:val="0006248D"/>
    <w:rsid w:val="00062703"/>
    <w:rsid w:val="00062893"/>
    <w:rsid w:val="00062919"/>
    <w:rsid w:val="0006296B"/>
    <w:rsid w:val="000629E6"/>
    <w:rsid w:val="00062BE7"/>
    <w:rsid w:val="00063101"/>
    <w:rsid w:val="00063857"/>
    <w:rsid w:val="000638EE"/>
    <w:rsid w:val="0006396A"/>
    <w:rsid w:val="00063A60"/>
    <w:rsid w:val="00063AEF"/>
    <w:rsid w:val="00063B1D"/>
    <w:rsid w:val="00063C33"/>
    <w:rsid w:val="00063DCE"/>
    <w:rsid w:val="00063F33"/>
    <w:rsid w:val="00064178"/>
    <w:rsid w:val="0006443B"/>
    <w:rsid w:val="000644A8"/>
    <w:rsid w:val="000647C3"/>
    <w:rsid w:val="00064C35"/>
    <w:rsid w:val="00064D3D"/>
    <w:rsid w:val="00064F90"/>
    <w:rsid w:val="00065096"/>
    <w:rsid w:val="0006524C"/>
    <w:rsid w:val="00065445"/>
    <w:rsid w:val="00065739"/>
    <w:rsid w:val="00065A4F"/>
    <w:rsid w:val="00065ABF"/>
    <w:rsid w:val="00065BA5"/>
    <w:rsid w:val="00065D4F"/>
    <w:rsid w:val="00065D7A"/>
    <w:rsid w:val="00065E7F"/>
    <w:rsid w:val="0006634A"/>
    <w:rsid w:val="000664BE"/>
    <w:rsid w:val="00066554"/>
    <w:rsid w:val="0006680F"/>
    <w:rsid w:val="0006686C"/>
    <w:rsid w:val="00066D35"/>
    <w:rsid w:val="00067155"/>
    <w:rsid w:val="00067567"/>
    <w:rsid w:val="00067B07"/>
    <w:rsid w:val="00067C20"/>
    <w:rsid w:val="00067C33"/>
    <w:rsid w:val="00067FB5"/>
    <w:rsid w:val="00068B1E"/>
    <w:rsid w:val="000703CB"/>
    <w:rsid w:val="000703FE"/>
    <w:rsid w:val="000705DD"/>
    <w:rsid w:val="00070677"/>
    <w:rsid w:val="000706D4"/>
    <w:rsid w:val="000707FE"/>
    <w:rsid w:val="000713EE"/>
    <w:rsid w:val="00071470"/>
    <w:rsid w:val="00071695"/>
    <w:rsid w:val="000717D6"/>
    <w:rsid w:val="00071956"/>
    <w:rsid w:val="00071A79"/>
    <w:rsid w:val="00071BD3"/>
    <w:rsid w:val="00071DDA"/>
    <w:rsid w:val="00071E13"/>
    <w:rsid w:val="00071E87"/>
    <w:rsid w:val="00071FC6"/>
    <w:rsid w:val="00072134"/>
    <w:rsid w:val="00072D12"/>
    <w:rsid w:val="00072E6E"/>
    <w:rsid w:val="00072F6B"/>
    <w:rsid w:val="00073100"/>
    <w:rsid w:val="00073283"/>
    <w:rsid w:val="000732A8"/>
    <w:rsid w:val="00073445"/>
    <w:rsid w:val="0007349A"/>
    <w:rsid w:val="000735B6"/>
    <w:rsid w:val="000736A0"/>
    <w:rsid w:val="00073725"/>
    <w:rsid w:val="00073D03"/>
    <w:rsid w:val="0007403A"/>
    <w:rsid w:val="000744AE"/>
    <w:rsid w:val="000744BA"/>
    <w:rsid w:val="000746BE"/>
    <w:rsid w:val="000749C1"/>
    <w:rsid w:val="00074A10"/>
    <w:rsid w:val="00074BA2"/>
    <w:rsid w:val="00074D75"/>
    <w:rsid w:val="00074DB5"/>
    <w:rsid w:val="00074E52"/>
    <w:rsid w:val="00074FA3"/>
    <w:rsid w:val="000750D4"/>
    <w:rsid w:val="000751AC"/>
    <w:rsid w:val="000752DB"/>
    <w:rsid w:val="0007575A"/>
    <w:rsid w:val="00075847"/>
    <w:rsid w:val="00075908"/>
    <w:rsid w:val="00075952"/>
    <w:rsid w:val="00075C60"/>
    <w:rsid w:val="00076A71"/>
    <w:rsid w:val="00076E5D"/>
    <w:rsid w:val="00077252"/>
    <w:rsid w:val="000776B1"/>
    <w:rsid w:val="000776D8"/>
    <w:rsid w:val="00077912"/>
    <w:rsid w:val="00077B88"/>
    <w:rsid w:val="00077BFB"/>
    <w:rsid w:val="00077EDE"/>
    <w:rsid w:val="000800AF"/>
    <w:rsid w:val="000800FC"/>
    <w:rsid w:val="00080191"/>
    <w:rsid w:val="0008029D"/>
    <w:rsid w:val="0008040A"/>
    <w:rsid w:val="000804D5"/>
    <w:rsid w:val="000807AE"/>
    <w:rsid w:val="000807B5"/>
    <w:rsid w:val="00080B91"/>
    <w:rsid w:val="00080CE2"/>
    <w:rsid w:val="00080F35"/>
    <w:rsid w:val="000811A4"/>
    <w:rsid w:val="000811D4"/>
    <w:rsid w:val="00081259"/>
    <w:rsid w:val="000815AF"/>
    <w:rsid w:val="00081792"/>
    <w:rsid w:val="0008187A"/>
    <w:rsid w:val="0008189D"/>
    <w:rsid w:val="0008216A"/>
    <w:rsid w:val="0008217D"/>
    <w:rsid w:val="0008246E"/>
    <w:rsid w:val="000825F0"/>
    <w:rsid w:val="000827CD"/>
    <w:rsid w:val="00082B1C"/>
    <w:rsid w:val="00083121"/>
    <w:rsid w:val="00083469"/>
    <w:rsid w:val="000834CD"/>
    <w:rsid w:val="000835B0"/>
    <w:rsid w:val="000835F5"/>
    <w:rsid w:val="0008378A"/>
    <w:rsid w:val="00083B96"/>
    <w:rsid w:val="00083FD0"/>
    <w:rsid w:val="00084044"/>
    <w:rsid w:val="0008411F"/>
    <w:rsid w:val="00084211"/>
    <w:rsid w:val="00084419"/>
    <w:rsid w:val="0008449C"/>
    <w:rsid w:val="000845D7"/>
    <w:rsid w:val="000846F8"/>
    <w:rsid w:val="00084B71"/>
    <w:rsid w:val="00084D1E"/>
    <w:rsid w:val="00084DFB"/>
    <w:rsid w:val="00084F9C"/>
    <w:rsid w:val="0008526A"/>
    <w:rsid w:val="000853F0"/>
    <w:rsid w:val="00085484"/>
    <w:rsid w:val="00085847"/>
    <w:rsid w:val="00085BE8"/>
    <w:rsid w:val="00085DFA"/>
    <w:rsid w:val="00085E04"/>
    <w:rsid w:val="0008608A"/>
    <w:rsid w:val="000862DD"/>
    <w:rsid w:val="000863ED"/>
    <w:rsid w:val="00086514"/>
    <w:rsid w:val="00086911"/>
    <w:rsid w:val="00086C30"/>
    <w:rsid w:val="00086D5D"/>
    <w:rsid w:val="00086DA6"/>
    <w:rsid w:val="000875B9"/>
    <w:rsid w:val="000875DD"/>
    <w:rsid w:val="00087C2A"/>
    <w:rsid w:val="00087E0A"/>
    <w:rsid w:val="00090055"/>
    <w:rsid w:val="000901A8"/>
    <w:rsid w:val="000901F1"/>
    <w:rsid w:val="0009096A"/>
    <w:rsid w:val="00090B6B"/>
    <w:rsid w:val="00090D4B"/>
    <w:rsid w:val="00090EA4"/>
    <w:rsid w:val="000910D7"/>
    <w:rsid w:val="00091363"/>
    <w:rsid w:val="0009151E"/>
    <w:rsid w:val="0009166A"/>
    <w:rsid w:val="000918B2"/>
    <w:rsid w:val="00091CE2"/>
    <w:rsid w:val="00091D54"/>
    <w:rsid w:val="00091F06"/>
    <w:rsid w:val="0009205D"/>
    <w:rsid w:val="00092442"/>
    <w:rsid w:val="0009257A"/>
    <w:rsid w:val="00092914"/>
    <w:rsid w:val="00092B44"/>
    <w:rsid w:val="00092C2D"/>
    <w:rsid w:val="00092EB9"/>
    <w:rsid w:val="0009343D"/>
    <w:rsid w:val="000934A0"/>
    <w:rsid w:val="00093617"/>
    <w:rsid w:val="00093E98"/>
    <w:rsid w:val="00093FDF"/>
    <w:rsid w:val="00094051"/>
    <w:rsid w:val="000942B9"/>
    <w:rsid w:val="00094353"/>
    <w:rsid w:val="000945D6"/>
    <w:rsid w:val="00094600"/>
    <w:rsid w:val="00094AC0"/>
    <w:rsid w:val="00094B2F"/>
    <w:rsid w:val="0009571A"/>
    <w:rsid w:val="000957A2"/>
    <w:rsid w:val="0009587A"/>
    <w:rsid w:val="00095892"/>
    <w:rsid w:val="00095A1A"/>
    <w:rsid w:val="00095A8C"/>
    <w:rsid w:val="00095C0B"/>
    <w:rsid w:val="00095C79"/>
    <w:rsid w:val="00096552"/>
    <w:rsid w:val="00096607"/>
    <w:rsid w:val="00096700"/>
    <w:rsid w:val="0009691F"/>
    <w:rsid w:val="00096925"/>
    <w:rsid w:val="0009694F"/>
    <w:rsid w:val="00096B06"/>
    <w:rsid w:val="0009706D"/>
    <w:rsid w:val="000971EE"/>
    <w:rsid w:val="00097551"/>
    <w:rsid w:val="000975A5"/>
    <w:rsid w:val="00097833"/>
    <w:rsid w:val="000978DD"/>
    <w:rsid w:val="00097A89"/>
    <w:rsid w:val="00097E80"/>
    <w:rsid w:val="00097F2B"/>
    <w:rsid w:val="00097FB7"/>
    <w:rsid w:val="000A0424"/>
    <w:rsid w:val="000A05BC"/>
    <w:rsid w:val="000A06AB"/>
    <w:rsid w:val="000A07F3"/>
    <w:rsid w:val="000A0849"/>
    <w:rsid w:val="000A09F3"/>
    <w:rsid w:val="000A0BAF"/>
    <w:rsid w:val="000A0D7C"/>
    <w:rsid w:val="000A1105"/>
    <w:rsid w:val="000A134D"/>
    <w:rsid w:val="000A1418"/>
    <w:rsid w:val="000A148F"/>
    <w:rsid w:val="000A1760"/>
    <w:rsid w:val="000A176D"/>
    <w:rsid w:val="000A19A2"/>
    <w:rsid w:val="000A1BDC"/>
    <w:rsid w:val="000A1CD5"/>
    <w:rsid w:val="000A1E0A"/>
    <w:rsid w:val="000A1E8A"/>
    <w:rsid w:val="000A227F"/>
    <w:rsid w:val="000A22C0"/>
    <w:rsid w:val="000A2388"/>
    <w:rsid w:val="000A2AC3"/>
    <w:rsid w:val="000A2CC6"/>
    <w:rsid w:val="000A30BD"/>
    <w:rsid w:val="000A31EB"/>
    <w:rsid w:val="000A3320"/>
    <w:rsid w:val="000A3563"/>
    <w:rsid w:val="000A3935"/>
    <w:rsid w:val="000A3E2D"/>
    <w:rsid w:val="000A3F03"/>
    <w:rsid w:val="000A44D4"/>
    <w:rsid w:val="000A4524"/>
    <w:rsid w:val="000A4554"/>
    <w:rsid w:val="000A46B2"/>
    <w:rsid w:val="000A4A38"/>
    <w:rsid w:val="000A4B5D"/>
    <w:rsid w:val="000A4B74"/>
    <w:rsid w:val="000A508F"/>
    <w:rsid w:val="000A52E7"/>
    <w:rsid w:val="000A5446"/>
    <w:rsid w:val="000A544B"/>
    <w:rsid w:val="000A591E"/>
    <w:rsid w:val="000A5A20"/>
    <w:rsid w:val="000A5A43"/>
    <w:rsid w:val="000A5D40"/>
    <w:rsid w:val="000A5DAF"/>
    <w:rsid w:val="000A5E08"/>
    <w:rsid w:val="000A5F6B"/>
    <w:rsid w:val="000A6107"/>
    <w:rsid w:val="000A6195"/>
    <w:rsid w:val="000A64E1"/>
    <w:rsid w:val="000A6500"/>
    <w:rsid w:val="000A65ED"/>
    <w:rsid w:val="000A6903"/>
    <w:rsid w:val="000A6ADD"/>
    <w:rsid w:val="000A6ECC"/>
    <w:rsid w:val="000A716D"/>
    <w:rsid w:val="000A74FC"/>
    <w:rsid w:val="000A77D0"/>
    <w:rsid w:val="000A7823"/>
    <w:rsid w:val="000A79F0"/>
    <w:rsid w:val="000A7A88"/>
    <w:rsid w:val="000A7A8B"/>
    <w:rsid w:val="000A7C1F"/>
    <w:rsid w:val="000A7C9B"/>
    <w:rsid w:val="000A7F9D"/>
    <w:rsid w:val="000B01AF"/>
    <w:rsid w:val="000B0467"/>
    <w:rsid w:val="000B055C"/>
    <w:rsid w:val="000B09D0"/>
    <w:rsid w:val="000B0F74"/>
    <w:rsid w:val="000B1471"/>
    <w:rsid w:val="000B16FC"/>
    <w:rsid w:val="000B1845"/>
    <w:rsid w:val="000B19B9"/>
    <w:rsid w:val="000B1B92"/>
    <w:rsid w:val="000B1CA5"/>
    <w:rsid w:val="000B1DE5"/>
    <w:rsid w:val="000B250E"/>
    <w:rsid w:val="000B25E8"/>
    <w:rsid w:val="000B281C"/>
    <w:rsid w:val="000B29E5"/>
    <w:rsid w:val="000B2A6D"/>
    <w:rsid w:val="000B2C0D"/>
    <w:rsid w:val="000B2C17"/>
    <w:rsid w:val="000B2CE1"/>
    <w:rsid w:val="000B2FAD"/>
    <w:rsid w:val="000B307A"/>
    <w:rsid w:val="000B30CD"/>
    <w:rsid w:val="000B3373"/>
    <w:rsid w:val="000B3478"/>
    <w:rsid w:val="000B37E6"/>
    <w:rsid w:val="000B3A4B"/>
    <w:rsid w:val="000B3BA4"/>
    <w:rsid w:val="000B3BDA"/>
    <w:rsid w:val="000B3E6B"/>
    <w:rsid w:val="000B3FC1"/>
    <w:rsid w:val="000B414C"/>
    <w:rsid w:val="000B41C6"/>
    <w:rsid w:val="000B43C6"/>
    <w:rsid w:val="000B47A7"/>
    <w:rsid w:val="000B48FF"/>
    <w:rsid w:val="000B497E"/>
    <w:rsid w:val="000B4C09"/>
    <w:rsid w:val="000B4C66"/>
    <w:rsid w:val="000B4D57"/>
    <w:rsid w:val="000B4EBD"/>
    <w:rsid w:val="000B54AE"/>
    <w:rsid w:val="000B58B6"/>
    <w:rsid w:val="000B595A"/>
    <w:rsid w:val="000B5A34"/>
    <w:rsid w:val="000B5C5B"/>
    <w:rsid w:val="000B5FF0"/>
    <w:rsid w:val="000B607D"/>
    <w:rsid w:val="000B6139"/>
    <w:rsid w:val="000B61AA"/>
    <w:rsid w:val="000B61F1"/>
    <w:rsid w:val="000B641A"/>
    <w:rsid w:val="000B64EA"/>
    <w:rsid w:val="000B66DF"/>
    <w:rsid w:val="000B67EE"/>
    <w:rsid w:val="000B6A5E"/>
    <w:rsid w:val="000B6D49"/>
    <w:rsid w:val="000B6D6D"/>
    <w:rsid w:val="000B70BC"/>
    <w:rsid w:val="000B739A"/>
    <w:rsid w:val="000B73B7"/>
    <w:rsid w:val="000B7631"/>
    <w:rsid w:val="000B776B"/>
    <w:rsid w:val="000B7910"/>
    <w:rsid w:val="000B7A33"/>
    <w:rsid w:val="000B7AF5"/>
    <w:rsid w:val="000B7B36"/>
    <w:rsid w:val="000B7E37"/>
    <w:rsid w:val="000C0100"/>
    <w:rsid w:val="000C027E"/>
    <w:rsid w:val="000C0681"/>
    <w:rsid w:val="000C0999"/>
    <w:rsid w:val="000C0E3A"/>
    <w:rsid w:val="000C0EAA"/>
    <w:rsid w:val="000C0FF7"/>
    <w:rsid w:val="000C109C"/>
    <w:rsid w:val="000C112C"/>
    <w:rsid w:val="000C1898"/>
    <w:rsid w:val="000C1978"/>
    <w:rsid w:val="000C1A64"/>
    <w:rsid w:val="000C1ADA"/>
    <w:rsid w:val="000C1B81"/>
    <w:rsid w:val="000C1E86"/>
    <w:rsid w:val="000C1EEB"/>
    <w:rsid w:val="000C1F70"/>
    <w:rsid w:val="000C2003"/>
    <w:rsid w:val="000C2046"/>
    <w:rsid w:val="000C286E"/>
    <w:rsid w:val="000C2A98"/>
    <w:rsid w:val="000C2CC9"/>
    <w:rsid w:val="000C2E50"/>
    <w:rsid w:val="000C3067"/>
    <w:rsid w:val="000C30A9"/>
    <w:rsid w:val="000C30DD"/>
    <w:rsid w:val="000C323C"/>
    <w:rsid w:val="000C34F0"/>
    <w:rsid w:val="000C3512"/>
    <w:rsid w:val="000C3534"/>
    <w:rsid w:val="000C3BFA"/>
    <w:rsid w:val="000C3E3B"/>
    <w:rsid w:val="000C4015"/>
    <w:rsid w:val="000C405D"/>
    <w:rsid w:val="000C4440"/>
    <w:rsid w:val="000C45D5"/>
    <w:rsid w:val="000C4733"/>
    <w:rsid w:val="000C4791"/>
    <w:rsid w:val="000C4804"/>
    <w:rsid w:val="000C4821"/>
    <w:rsid w:val="000C486E"/>
    <w:rsid w:val="000C4BEC"/>
    <w:rsid w:val="000C4CD3"/>
    <w:rsid w:val="000C52B2"/>
    <w:rsid w:val="000C53D4"/>
    <w:rsid w:val="000C5518"/>
    <w:rsid w:val="000C5720"/>
    <w:rsid w:val="000C5898"/>
    <w:rsid w:val="000C5EBA"/>
    <w:rsid w:val="000C5F44"/>
    <w:rsid w:val="000C6008"/>
    <w:rsid w:val="000C61AB"/>
    <w:rsid w:val="000C62BC"/>
    <w:rsid w:val="000C63F5"/>
    <w:rsid w:val="000C64C9"/>
    <w:rsid w:val="000C6577"/>
    <w:rsid w:val="000C6610"/>
    <w:rsid w:val="000C6902"/>
    <w:rsid w:val="000C69CA"/>
    <w:rsid w:val="000C6CF1"/>
    <w:rsid w:val="000C71A3"/>
    <w:rsid w:val="000C728E"/>
    <w:rsid w:val="000C741E"/>
    <w:rsid w:val="000C743C"/>
    <w:rsid w:val="000C755B"/>
    <w:rsid w:val="000C7646"/>
    <w:rsid w:val="000C7708"/>
    <w:rsid w:val="000C7914"/>
    <w:rsid w:val="000C7A75"/>
    <w:rsid w:val="000C7BE4"/>
    <w:rsid w:val="000C7E7C"/>
    <w:rsid w:val="000D02D7"/>
    <w:rsid w:val="000D0536"/>
    <w:rsid w:val="000D057B"/>
    <w:rsid w:val="000D0723"/>
    <w:rsid w:val="000D0814"/>
    <w:rsid w:val="000D082B"/>
    <w:rsid w:val="000D0AEE"/>
    <w:rsid w:val="000D1461"/>
    <w:rsid w:val="000D1C63"/>
    <w:rsid w:val="000D1E25"/>
    <w:rsid w:val="000D20A1"/>
    <w:rsid w:val="000D228B"/>
    <w:rsid w:val="000D23CE"/>
    <w:rsid w:val="000D25EF"/>
    <w:rsid w:val="000D2718"/>
    <w:rsid w:val="000D280C"/>
    <w:rsid w:val="000D2BB5"/>
    <w:rsid w:val="000D2E28"/>
    <w:rsid w:val="000D333F"/>
    <w:rsid w:val="000D34BD"/>
    <w:rsid w:val="000D3537"/>
    <w:rsid w:val="000D37F7"/>
    <w:rsid w:val="000D38B0"/>
    <w:rsid w:val="000D390C"/>
    <w:rsid w:val="000D3A17"/>
    <w:rsid w:val="000D3EA5"/>
    <w:rsid w:val="000D414D"/>
    <w:rsid w:val="000D4395"/>
    <w:rsid w:val="000D45F1"/>
    <w:rsid w:val="000D46FC"/>
    <w:rsid w:val="000D47E4"/>
    <w:rsid w:val="000D4894"/>
    <w:rsid w:val="000D4E86"/>
    <w:rsid w:val="000D4EB1"/>
    <w:rsid w:val="000D51B6"/>
    <w:rsid w:val="000D5487"/>
    <w:rsid w:val="000D5579"/>
    <w:rsid w:val="000D57B7"/>
    <w:rsid w:val="000D5939"/>
    <w:rsid w:val="000D5BB3"/>
    <w:rsid w:val="000D5BD5"/>
    <w:rsid w:val="000D60AC"/>
    <w:rsid w:val="000D60E8"/>
    <w:rsid w:val="000D63FC"/>
    <w:rsid w:val="000D655C"/>
    <w:rsid w:val="000D6660"/>
    <w:rsid w:val="000D66D1"/>
    <w:rsid w:val="000D6895"/>
    <w:rsid w:val="000D6953"/>
    <w:rsid w:val="000D6DC4"/>
    <w:rsid w:val="000D6FA4"/>
    <w:rsid w:val="000D6FE0"/>
    <w:rsid w:val="000D708B"/>
    <w:rsid w:val="000D73E2"/>
    <w:rsid w:val="000D744E"/>
    <w:rsid w:val="000D7527"/>
    <w:rsid w:val="000D7704"/>
    <w:rsid w:val="000D7721"/>
    <w:rsid w:val="000D7802"/>
    <w:rsid w:val="000D7836"/>
    <w:rsid w:val="000D7B79"/>
    <w:rsid w:val="000D7E48"/>
    <w:rsid w:val="000D7F97"/>
    <w:rsid w:val="000E0200"/>
    <w:rsid w:val="000E0223"/>
    <w:rsid w:val="000E0335"/>
    <w:rsid w:val="000E03A7"/>
    <w:rsid w:val="000E07F5"/>
    <w:rsid w:val="000E082D"/>
    <w:rsid w:val="000E0A28"/>
    <w:rsid w:val="000E0C92"/>
    <w:rsid w:val="000E0E67"/>
    <w:rsid w:val="000E1071"/>
    <w:rsid w:val="000E14F3"/>
    <w:rsid w:val="000E18B0"/>
    <w:rsid w:val="000E198B"/>
    <w:rsid w:val="000E1A41"/>
    <w:rsid w:val="000E1A9E"/>
    <w:rsid w:val="000E1BF8"/>
    <w:rsid w:val="000E1D21"/>
    <w:rsid w:val="000E1F34"/>
    <w:rsid w:val="000E1F91"/>
    <w:rsid w:val="000E2609"/>
    <w:rsid w:val="000E26CD"/>
    <w:rsid w:val="000E27EA"/>
    <w:rsid w:val="000E2C4B"/>
    <w:rsid w:val="000E2D27"/>
    <w:rsid w:val="000E2F2B"/>
    <w:rsid w:val="000E2F5A"/>
    <w:rsid w:val="000E3373"/>
    <w:rsid w:val="000E356E"/>
    <w:rsid w:val="000E35F1"/>
    <w:rsid w:val="000E3A04"/>
    <w:rsid w:val="000E3A37"/>
    <w:rsid w:val="000E3A7F"/>
    <w:rsid w:val="000E3B59"/>
    <w:rsid w:val="000E3B7F"/>
    <w:rsid w:val="000E3C1E"/>
    <w:rsid w:val="000E3EC4"/>
    <w:rsid w:val="000E3FBC"/>
    <w:rsid w:val="000E4372"/>
    <w:rsid w:val="000E43CC"/>
    <w:rsid w:val="000E459D"/>
    <w:rsid w:val="000E4750"/>
    <w:rsid w:val="000E4788"/>
    <w:rsid w:val="000E4C9D"/>
    <w:rsid w:val="000E4E61"/>
    <w:rsid w:val="000E51A0"/>
    <w:rsid w:val="000E58E0"/>
    <w:rsid w:val="000E59FD"/>
    <w:rsid w:val="000E5C16"/>
    <w:rsid w:val="000E6201"/>
    <w:rsid w:val="000E6844"/>
    <w:rsid w:val="000E68CA"/>
    <w:rsid w:val="000E690A"/>
    <w:rsid w:val="000E695D"/>
    <w:rsid w:val="000E699A"/>
    <w:rsid w:val="000E6CA4"/>
    <w:rsid w:val="000E6FA8"/>
    <w:rsid w:val="000E702D"/>
    <w:rsid w:val="000E719A"/>
    <w:rsid w:val="000E72A8"/>
    <w:rsid w:val="000E7303"/>
    <w:rsid w:val="000E75D1"/>
    <w:rsid w:val="000E7C38"/>
    <w:rsid w:val="000E7FD0"/>
    <w:rsid w:val="000F0118"/>
    <w:rsid w:val="000F023F"/>
    <w:rsid w:val="000F0582"/>
    <w:rsid w:val="000F0603"/>
    <w:rsid w:val="000F08AF"/>
    <w:rsid w:val="000F0B16"/>
    <w:rsid w:val="000F0B77"/>
    <w:rsid w:val="000F11FC"/>
    <w:rsid w:val="000F1404"/>
    <w:rsid w:val="000F1480"/>
    <w:rsid w:val="000F1A32"/>
    <w:rsid w:val="000F24AC"/>
    <w:rsid w:val="000F2713"/>
    <w:rsid w:val="000F29DF"/>
    <w:rsid w:val="000F2E1A"/>
    <w:rsid w:val="000F343E"/>
    <w:rsid w:val="000F3813"/>
    <w:rsid w:val="000F3948"/>
    <w:rsid w:val="000F39AA"/>
    <w:rsid w:val="000F3B1E"/>
    <w:rsid w:val="000F3CF6"/>
    <w:rsid w:val="000F3D65"/>
    <w:rsid w:val="000F3D82"/>
    <w:rsid w:val="000F3F15"/>
    <w:rsid w:val="000F4058"/>
    <w:rsid w:val="000F43EC"/>
    <w:rsid w:val="000F454E"/>
    <w:rsid w:val="000F46D8"/>
    <w:rsid w:val="000F47D5"/>
    <w:rsid w:val="000F48A0"/>
    <w:rsid w:val="000F49EA"/>
    <w:rsid w:val="000F4A60"/>
    <w:rsid w:val="000F4B62"/>
    <w:rsid w:val="000F4D76"/>
    <w:rsid w:val="000F4E7E"/>
    <w:rsid w:val="000F4F7A"/>
    <w:rsid w:val="000F514F"/>
    <w:rsid w:val="000F52C9"/>
    <w:rsid w:val="000F54AD"/>
    <w:rsid w:val="000F58A5"/>
    <w:rsid w:val="000F5A73"/>
    <w:rsid w:val="000F5F64"/>
    <w:rsid w:val="000F63D5"/>
    <w:rsid w:val="000F6650"/>
    <w:rsid w:val="000F6C35"/>
    <w:rsid w:val="000F6E53"/>
    <w:rsid w:val="000F7126"/>
    <w:rsid w:val="000F71C7"/>
    <w:rsid w:val="000F7275"/>
    <w:rsid w:val="000F77FE"/>
    <w:rsid w:val="000F78E0"/>
    <w:rsid w:val="000F7AFB"/>
    <w:rsid w:val="000F7BB0"/>
    <w:rsid w:val="000F7CDA"/>
    <w:rsid w:val="000F7D76"/>
    <w:rsid w:val="001002AB"/>
    <w:rsid w:val="00100669"/>
    <w:rsid w:val="0010068B"/>
    <w:rsid w:val="00100830"/>
    <w:rsid w:val="00100D89"/>
    <w:rsid w:val="00100F0B"/>
    <w:rsid w:val="00100F3F"/>
    <w:rsid w:val="00101519"/>
    <w:rsid w:val="00101721"/>
    <w:rsid w:val="0010195B"/>
    <w:rsid w:val="00101B5C"/>
    <w:rsid w:val="00101BA0"/>
    <w:rsid w:val="00101DA2"/>
    <w:rsid w:val="00101E67"/>
    <w:rsid w:val="00101ED4"/>
    <w:rsid w:val="001020E1"/>
    <w:rsid w:val="001021D2"/>
    <w:rsid w:val="0010223A"/>
    <w:rsid w:val="00102311"/>
    <w:rsid w:val="0010247B"/>
    <w:rsid w:val="001026A3"/>
    <w:rsid w:val="001028DE"/>
    <w:rsid w:val="001029C4"/>
    <w:rsid w:val="00102CB5"/>
    <w:rsid w:val="00102E26"/>
    <w:rsid w:val="00102F10"/>
    <w:rsid w:val="00102FEA"/>
    <w:rsid w:val="00103293"/>
    <w:rsid w:val="001033A4"/>
    <w:rsid w:val="00103442"/>
    <w:rsid w:val="00103543"/>
    <w:rsid w:val="001035F6"/>
    <w:rsid w:val="0010374F"/>
    <w:rsid w:val="00103959"/>
    <w:rsid w:val="00103B50"/>
    <w:rsid w:val="00103CCA"/>
    <w:rsid w:val="00103DE9"/>
    <w:rsid w:val="00103FA7"/>
    <w:rsid w:val="00104198"/>
    <w:rsid w:val="0010440E"/>
    <w:rsid w:val="00104824"/>
    <w:rsid w:val="001048AE"/>
    <w:rsid w:val="00104CC5"/>
    <w:rsid w:val="00104E16"/>
    <w:rsid w:val="0010517D"/>
    <w:rsid w:val="0010525A"/>
    <w:rsid w:val="001054F9"/>
    <w:rsid w:val="001055C5"/>
    <w:rsid w:val="0010582B"/>
    <w:rsid w:val="00105A47"/>
    <w:rsid w:val="00105ABA"/>
    <w:rsid w:val="00105C4F"/>
    <w:rsid w:val="0010606B"/>
    <w:rsid w:val="0010634A"/>
    <w:rsid w:val="00106376"/>
    <w:rsid w:val="0010650A"/>
    <w:rsid w:val="001069D6"/>
    <w:rsid w:val="00106ABE"/>
    <w:rsid w:val="00106D10"/>
    <w:rsid w:val="00106D1A"/>
    <w:rsid w:val="00106D90"/>
    <w:rsid w:val="00107244"/>
    <w:rsid w:val="0010748A"/>
    <w:rsid w:val="001074E6"/>
    <w:rsid w:val="00107718"/>
    <w:rsid w:val="00107A15"/>
    <w:rsid w:val="00107EB5"/>
    <w:rsid w:val="00110012"/>
    <w:rsid w:val="00110052"/>
    <w:rsid w:val="0011006F"/>
    <w:rsid w:val="00110158"/>
    <w:rsid w:val="001106DA"/>
    <w:rsid w:val="001107B9"/>
    <w:rsid w:val="00110C86"/>
    <w:rsid w:val="00110CFF"/>
    <w:rsid w:val="00110DE1"/>
    <w:rsid w:val="00110F5F"/>
    <w:rsid w:val="001111EF"/>
    <w:rsid w:val="00111223"/>
    <w:rsid w:val="00111350"/>
    <w:rsid w:val="0011142F"/>
    <w:rsid w:val="00111643"/>
    <w:rsid w:val="0011166B"/>
    <w:rsid w:val="00111A81"/>
    <w:rsid w:val="00111D10"/>
    <w:rsid w:val="00112203"/>
    <w:rsid w:val="00112486"/>
    <w:rsid w:val="00112539"/>
    <w:rsid w:val="00112579"/>
    <w:rsid w:val="0011279F"/>
    <w:rsid w:val="00112A1C"/>
    <w:rsid w:val="00112ADF"/>
    <w:rsid w:val="00112ED5"/>
    <w:rsid w:val="00113072"/>
    <w:rsid w:val="0011325C"/>
    <w:rsid w:val="001137A6"/>
    <w:rsid w:val="0011381F"/>
    <w:rsid w:val="00113B42"/>
    <w:rsid w:val="00113E69"/>
    <w:rsid w:val="00113F1A"/>
    <w:rsid w:val="00113FDC"/>
    <w:rsid w:val="00114480"/>
    <w:rsid w:val="00114568"/>
    <w:rsid w:val="0011485F"/>
    <w:rsid w:val="001148C2"/>
    <w:rsid w:val="00114954"/>
    <w:rsid w:val="00114C21"/>
    <w:rsid w:val="00115521"/>
    <w:rsid w:val="0011582E"/>
    <w:rsid w:val="001158F2"/>
    <w:rsid w:val="00115A7B"/>
    <w:rsid w:val="00115B02"/>
    <w:rsid w:val="00115D93"/>
    <w:rsid w:val="00115E85"/>
    <w:rsid w:val="00116169"/>
    <w:rsid w:val="001163D1"/>
    <w:rsid w:val="00116539"/>
    <w:rsid w:val="001166A1"/>
    <w:rsid w:val="00116823"/>
    <w:rsid w:val="00116AC9"/>
    <w:rsid w:val="00116B75"/>
    <w:rsid w:val="00116E10"/>
    <w:rsid w:val="00116FE8"/>
    <w:rsid w:val="001174FC"/>
    <w:rsid w:val="001176DE"/>
    <w:rsid w:val="001177B2"/>
    <w:rsid w:val="001178DE"/>
    <w:rsid w:val="0011799C"/>
    <w:rsid w:val="00117D9F"/>
    <w:rsid w:val="00117E41"/>
    <w:rsid w:val="00117F86"/>
    <w:rsid w:val="00120043"/>
    <w:rsid w:val="00120230"/>
    <w:rsid w:val="00120411"/>
    <w:rsid w:val="0012079D"/>
    <w:rsid w:val="00120876"/>
    <w:rsid w:val="00120ADC"/>
    <w:rsid w:val="00120C26"/>
    <w:rsid w:val="00120E34"/>
    <w:rsid w:val="00120E8D"/>
    <w:rsid w:val="0012110D"/>
    <w:rsid w:val="0012121E"/>
    <w:rsid w:val="00121335"/>
    <w:rsid w:val="00121382"/>
    <w:rsid w:val="00121541"/>
    <w:rsid w:val="00121A56"/>
    <w:rsid w:val="00121B5E"/>
    <w:rsid w:val="00121E93"/>
    <w:rsid w:val="00121EDE"/>
    <w:rsid w:val="00121F5D"/>
    <w:rsid w:val="00122706"/>
    <w:rsid w:val="00122B44"/>
    <w:rsid w:val="00123167"/>
    <w:rsid w:val="00123681"/>
    <w:rsid w:val="001238F5"/>
    <w:rsid w:val="00123957"/>
    <w:rsid w:val="001239AA"/>
    <w:rsid w:val="00123AB0"/>
    <w:rsid w:val="00123BDF"/>
    <w:rsid w:val="0012410B"/>
    <w:rsid w:val="00124328"/>
    <w:rsid w:val="0012440C"/>
    <w:rsid w:val="00124462"/>
    <w:rsid w:val="001245F3"/>
    <w:rsid w:val="0012465E"/>
    <w:rsid w:val="001246EC"/>
    <w:rsid w:val="0012482B"/>
    <w:rsid w:val="00124A0A"/>
    <w:rsid w:val="00124A7A"/>
    <w:rsid w:val="00124E68"/>
    <w:rsid w:val="00125393"/>
    <w:rsid w:val="00125666"/>
    <w:rsid w:val="001257EB"/>
    <w:rsid w:val="00125AD3"/>
    <w:rsid w:val="00125B17"/>
    <w:rsid w:val="00125D3A"/>
    <w:rsid w:val="001260EA"/>
    <w:rsid w:val="001261A4"/>
    <w:rsid w:val="001261BA"/>
    <w:rsid w:val="00126295"/>
    <w:rsid w:val="00126493"/>
    <w:rsid w:val="0012657B"/>
    <w:rsid w:val="00126CB0"/>
    <w:rsid w:val="00126CFB"/>
    <w:rsid w:val="00126F0C"/>
    <w:rsid w:val="00126F64"/>
    <w:rsid w:val="00127008"/>
    <w:rsid w:val="0012713C"/>
    <w:rsid w:val="00127307"/>
    <w:rsid w:val="00127422"/>
    <w:rsid w:val="001275A6"/>
    <w:rsid w:val="00127654"/>
    <w:rsid w:val="00127678"/>
    <w:rsid w:val="00127CE6"/>
    <w:rsid w:val="00130335"/>
    <w:rsid w:val="001304C4"/>
    <w:rsid w:val="00130541"/>
    <w:rsid w:val="00130719"/>
    <w:rsid w:val="00130B37"/>
    <w:rsid w:val="00130B64"/>
    <w:rsid w:val="00130E70"/>
    <w:rsid w:val="00130FF4"/>
    <w:rsid w:val="001312DE"/>
    <w:rsid w:val="001315A5"/>
    <w:rsid w:val="001315EB"/>
    <w:rsid w:val="001317F7"/>
    <w:rsid w:val="00131B2B"/>
    <w:rsid w:val="00131B4D"/>
    <w:rsid w:val="00131BB3"/>
    <w:rsid w:val="001320D2"/>
    <w:rsid w:val="001322C9"/>
    <w:rsid w:val="001323E0"/>
    <w:rsid w:val="00132432"/>
    <w:rsid w:val="0013245F"/>
    <w:rsid w:val="0013247B"/>
    <w:rsid w:val="00132665"/>
    <w:rsid w:val="001327A2"/>
    <w:rsid w:val="00132DA0"/>
    <w:rsid w:val="00132E24"/>
    <w:rsid w:val="00132F4C"/>
    <w:rsid w:val="00132F88"/>
    <w:rsid w:val="001331B5"/>
    <w:rsid w:val="001332BB"/>
    <w:rsid w:val="001332DE"/>
    <w:rsid w:val="001334FF"/>
    <w:rsid w:val="00133885"/>
    <w:rsid w:val="00133938"/>
    <w:rsid w:val="0013397A"/>
    <w:rsid w:val="00133BE8"/>
    <w:rsid w:val="00133BEA"/>
    <w:rsid w:val="00133FAD"/>
    <w:rsid w:val="00134114"/>
    <w:rsid w:val="001341EF"/>
    <w:rsid w:val="001343DF"/>
    <w:rsid w:val="0013462F"/>
    <w:rsid w:val="0013494F"/>
    <w:rsid w:val="001349BA"/>
    <w:rsid w:val="00134AAE"/>
    <w:rsid w:val="00134DB4"/>
    <w:rsid w:val="00134E51"/>
    <w:rsid w:val="00134F5D"/>
    <w:rsid w:val="00134FA5"/>
    <w:rsid w:val="0013524C"/>
    <w:rsid w:val="001354C7"/>
    <w:rsid w:val="00135DC8"/>
    <w:rsid w:val="00135F3C"/>
    <w:rsid w:val="001363A8"/>
    <w:rsid w:val="001363F1"/>
    <w:rsid w:val="001364BC"/>
    <w:rsid w:val="001366A2"/>
    <w:rsid w:val="00136D26"/>
    <w:rsid w:val="001370BE"/>
    <w:rsid w:val="00137319"/>
    <w:rsid w:val="00137470"/>
    <w:rsid w:val="00137515"/>
    <w:rsid w:val="00137AB8"/>
    <w:rsid w:val="00140405"/>
    <w:rsid w:val="00140505"/>
    <w:rsid w:val="001409FC"/>
    <w:rsid w:val="00140A06"/>
    <w:rsid w:val="00140B17"/>
    <w:rsid w:val="00140B5B"/>
    <w:rsid w:val="00140B81"/>
    <w:rsid w:val="00140C28"/>
    <w:rsid w:val="00140F94"/>
    <w:rsid w:val="00141418"/>
    <w:rsid w:val="001416BD"/>
    <w:rsid w:val="0014174F"/>
    <w:rsid w:val="00141796"/>
    <w:rsid w:val="00141A02"/>
    <w:rsid w:val="00141C08"/>
    <w:rsid w:val="00141CA1"/>
    <w:rsid w:val="0014201B"/>
    <w:rsid w:val="00142062"/>
    <w:rsid w:val="0014210A"/>
    <w:rsid w:val="00142485"/>
    <w:rsid w:val="001424F2"/>
    <w:rsid w:val="00142942"/>
    <w:rsid w:val="0014296A"/>
    <w:rsid w:val="00143061"/>
    <w:rsid w:val="00143335"/>
    <w:rsid w:val="00143391"/>
    <w:rsid w:val="00143611"/>
    <w:rsid w:val="0014367F"/>
    <w:rsid w:val="001438FC"/>
    <w:rsid w:val="00143D92"/>
    <w:rsid w:val="00143DDE"/>
    <w:rsid w:val="00143F3D"/>
    <w:rsid w:val="0014413D"/>
    <w:rsid w:val="00144C94"/>
    <w:rsid w:val="00144EA0"/>
    <w:rsid w:val="00144F48"/>
    <w:rsid w:val="00145AB8"/>
    <w:rsid w:val="00145BBD"/>
    <w:rsid w:val="00145D24"/>
    <w:rsid w:val="00145D7D"/>
    <w:rsid w:val="00145F7E"/>
    <w:rsid w:val="001463CA"/>
    <w:rsid w:val="001463F6"/>
    <w:rsid w:val="00146572"/>
    <w:rsid w:val="00146971"/>
    <w:rsid w:val="0014708A"/>
    <w:rsid w:val="00147197"/>
    <w:rsid w:val="0014776E"/>
    <w:rsid w:val="00147784"/>
    <w:rsid w:val="00147791"/>
    <w:rsid w:val="001477F4"/>
    <w:rsid w:val="00147B3E"/>
    <w:rsid w:val="00147E99"/>
    <w:rsid w:val="00150056"/>
    <w:rsid w:val="0015007A"/>
    <w:rsid w:val="001501AF"/>
    <w:rsid w:val="00150819"/>
    <w:rsid w:val="0015095B"/>
    <w:rsid w:val="00150A4F"/>
    <w:rsid w:val="00150D9B"/>
    <w:rsid w:val="00150F85"/>
    <w:rsid w:val="00151028"/>
    <w:rsid w:val="0015144C"/>
    <w:rsid w:val="00151521"/>
    <w:rsid w:val="00151572"/>
    <w:rsid w:val="00151969"/>
    <w:rsid w:val="00151B26"/>
    <w:rsid w:val="00151B77"/>
    <w:rsid w:val="00151CD3"/>
    <w:rsid w:val="00151F5E"/>
    <w:rsid w:val="00151F7E"/>
    <w:rsid w:val="001520FA"/>
    <w:rsid w:val="0015220F"/>
    <w:rsid w:val="00152B3C"/>
    <w:rsid w:val="00152D6E"/>
    <w:rsid w:val="00152E1C"/>
    <w:rsid w:val="00153005"/>
    <w:rsid w:val="001538A6"/>
    <w:rsid w:val="00153952"/>
    <w:rsid w:val="00153AD9"/>
    <w:rsid w:val="00153C3E"/>
    <w:rsid w:val="00153E72"/>
    <w:rsid w:val="00153F3C"/>
    <w:rsid w:val="001540D4"/>
    <w:rsid w:val="00154153"/>
    <w:rsid w:val="00154223"/>
    <w:rsid w:val="00154492"/>
    <w:rsid w:val="001545E0"/>
    <w:rsid w:val="00154908"/>
    <w:rsid w:val="00154A50"/>
    <w:rsid w:val="00154D72"/>
    <w:rsid w:val="00154E3C"/>
    <w:rsid w:val="00155050"/>
    <w:rsid w:val="00155265"/>
    <w:rsid w:val="001559B7"/>
    <w:rsid w:val="00155C22"/>
    <w:rsid w:val="00155DAE"/>
    <w:rsid w:val="0015615D"/>
    <w:rsid w:val="001561D4"/>
    <w:rsid w:val="00156236"/>
    <w:rsid w:val="00156301"/>
    <w:rsid w:val="001565BD"/>
    <w:rsid w:val="00156775"/>
    <w:rsid w:val="00156A67"/>
    <w:rsid w:val="00156BB9"/>
    <w:rsid w:val="00157383"/>
    <w:rsid w:val="0015754F"/>
    <w:rsid w:val="00157606"/>
    <w:rsid w:val="00157717"/>
    <w:rsid w:val="00157768"/>
    <w:rsid w:val="001577FE"/>
    <w:rsid w:val="00157826"/>
    <w:rsid w:val="001579E7"/>
    <w:rsid w:val="00157B10"/>
    <w:rsid w:val="00160197"/>
    <w:rsid w:val="00160355"/>
    <w:rsid w:val="00160A27"/>
    <w:rsid w:val="00160A74"/>
    <w:rsid w:val="00160B1A"/>
    <w:rsid w:val="00160EB3"/>
    <w:rsid w:val="001616F0"/>
    <w:rsid w:val="00161826"/>
    <w:rsid w:val="00161B04"/>
    <w:rsid w:val="00161C91"/>
    <w:rsid w:val="00161DD3"/>
    <w:rsid w:val="00162094"/>
    <w:rsid w:val="001623A4"/>
    <w:rsid w:val="001625B7"/>
    <w:rsid w:val="0016261F"/>
    <w:rsid w:val="00162B1A"/>
    <w:rsid w:val="00162BBD"/>
    <w:rsid w:val="00162E0F"/>
    <w:rsid w:val="00162EA2"/>
    <w:rsid w:val="001630F8"/>
    <w:rsid w:val="0016323F"/>
    <w:rsid w:val="00163676"/>
    <w:rsid w:val="001636EE"/>
    <w:rsid w:val="001637E5"/>
    <w:rsid w:val="001638B6"/>
    <w:rsid w:val="00163961"/>
    <w:rsid w:val="00163A47"/>
    <w:rsid w:val="00163BF8"/>
    <w:rsid w:val="00163F92"/>
    <w:rsid w:val="001642FB"/>
    <w:rsid w:val="00164681"/>
    <w:rsid w:val="00164721"/>
    <w:rsid w:val="00164785"/>
    <w:rsid w:val="00164CE6"/>
    <w:rsid w:val="00164DD5"/>
    <w:rsid w:val="001650A6"/>
    <w:rsid w:val="00165345"/>
    <w:rsid w:val="00165465"/>
    <w:rsid w:val="00165769"/>
    <w:rsid w:val="0016582E"/>
    <w:rsid w:val="00165A0B"/>
    <w:rsid w:val="00165C19"/>
    <w:rsid w:val="00165C20"/>
    <w:rsid w:val="00165D60"/>
    <w:rsid w:val="001661B4"/>
    <w:rsid w:val="001661D6"/>
    <w:rsid w:val="00166332"/>
    <w:rsid w:val="001663A4"/>
    <w:rsid w:val="001663DB"/>
    <w:rsid w:val="001664C3"/>
    <w:rsid w:val="001666E5"/>
    <w:rsid w:val="0016679D"/>
    <w:rsid w:val="00166919"/>
    <w:rsid w:val="00166C29"/>
    <w:rsid w:val="00166E70"/>
    <w:rsid w:val="001674CC"/>
    <w:rsid w:val="00167650"/>
    <w:rsid w:val="001676ED"/>
    <w:rsid w:val="0016773B"/>
    <w:rsid w:val="001700A5"/>
    <w:rsid w:val="001700B5"/>
    <w:rsid w:val="001702E0"/>
    <w:rsid w:val="0017051F"/>
    <w:rsid w:val="00170544"/>
    <w:rsid w:val="001705FC"/>
    <w:rsid w:val="0017076B"/>
    <w:rsid w:val="00170888"/>
    <w:rsid w:val="00170A07"/>
    <w:rsid w:val="00170AFC"/>
    <w:rsid w:val="00170BD3"/>
    <w:rsid w:val="00171263"/>
    <w:rsid w:val="00171357"/>
    <w:rsid w:val="001716AB"/>
    <w:rsid w:val="00171872"/>
    <w:rsid w:val="001718D9"/>
    <w:rsid w:val="001719EA"/>
    <w:rsid w:val="001725DB"/>
    <w:rsid w:val="0017264A"/>
    <w:rsid w:val="001729CE"/>
    <w:rsid w:val="00172D10"/>
    <w:rsid w:val="00172D59"/>
    <w:rsid w:val="00172ED9"/>
    <w:rsid w:val="00172F37"/>
    <w:rsid w:val="00172F62"/>
    <w:rsid w:val="00173099"/>
    <w:rsid w:val="001730C2"/>
    <w:rsid w:val="001730D9"/>
    <w:rsid w:val="00173799"/>
    <w:rsid w:val="001738A9"/>
    <w:rsid w:val="001738EF"/>
    <w:rsid w:val="00173BC9"/>
    <w:rsid w:val="00173BFF"/>
    <w:rsid w:val="00173E07"/>
    <w:rsid w:val="00174654"/>
    <w:rsid w:val="001747EB"/>
    <w:rsid w:val="00174CB3"/>
    <w:rsid w:val="00174CD1"/>
    <w:rsid w:val="00174F6E"/>
    <w:rsid w:val="00175068"/>
    <w:rsid w:val="001750CD"/>
    <w:rsid w:val="00175160"/>
    <w:rsid w:val="001752C8"/>
    <w:rsid w:val="001752E5"/>
    <w:rsid w:val="0017543A"/>
    <w:rsid w:val="001754EE"/>
    <w:rsid w:val="00175520"/>
    <w:rsid w:val="001755D6"/>
    <w:rsid w:val="001755FC"/>
    <w:rsid w:val="00175935"/>
    <w:rsid w:val="00175A18"/>
    <w:rsid w:val="00175C34"/>
    <w:rsid w:val="0017633D"/>
    <w:rsid w:val="001763B3"/>
    <w:rsid w:val="0017648C"/>
    <w:rsid w:val="001764A5"/>
    <w:rsid w:val="00176697"/>
    <w:rsid w:val="001766DB"/>
    <w:rsid w:val="00176734"/>
    <w:rsid w:val="00176748"/>
    <w:rsid w:val="001767A3"/>
    <w:rsid w:val="00176AFC"/>
    <w:rsid w:val="00176B7A"/>
    <w:rsid w:val="00176E31"/>
    <w:rsid w:val="001772C8"/>
    <w:rsid w:val="00177404"/>
    <w:rsid w:val="001774B6"/>
    <w:rsid w:val="001774D3"/>
    <w:rsid w:val="00177510"/>
    <w:rsid w:val="001777B7"/>
    <w:rsid w:val="001777D3"/>
    <w:rsid w:val="00177816"/>
    <w:rsid w:val="00177996"/>
    <w:rsid w:val="00177AE0"/>
    <w:rsid w:val="00177AFD"/>
    <w:rsid w:val="00177B86"/>
    <w:rsid w:val="00177CE2"/>
    <w:rsid w:val="00177CF4"/>
    <w:rsid w:val="00177F1E"/>
    <w:rsid w:val="00180121"/>
    <w:rsid w:val="001807A9"/>
    <w:rsid w:val="00180812"/>
    <w:rsid w:val="0018082C"/>
    <w:rsid w:val="00180C02"/>
    <w:rsid w:val="00180C73"/>
    <w:rsid w:val="00180CA5"/>
    <w:rsid w:val="00180DB8"/>
    <w:rsid w:val="00180DD5"/>
    <w:rsid w:val="001810AC"/>
    <w:rsid w:val="00181453"/>
    <w:rsid w:val="0018161C"/>
    <w:rsid w:val="0018176E"/>
    <w:rsid w:val="001818CE"/>
    <w:rsid w:val="0018192C"/>
    <w:rsid w:val="00181D50"/>
    <w:rsid w:val="00181DFD"/>
    <w:rsid w:val="001820FB"/>
    <w:rsid w:val="001821DE"/>
    <w:rsid w:val="00182429"/>
    <w:rsid w:val="001824D3"/>
    <w:rsid w:val="001824FF"/>
    <w:rsid w:val="00182D7D"/>
    <w:rsid w:val="00182F24"/>
    <w:rsid w:val="001831CD"/>
    <w:rsid w:val="001832C4"/>
    <w:rsid w:val="00183592"/>
    <w:rsid w:val="0018363F"/>
    <w:rsid w:val="00183764"/>
    <w:rsid w:val="001839A0"/>
    <w:rsid w:val="00183A22"/>
    <w:rsid w:val="00183EF3"/>
    <w:rsid w:val="001843EF"/>
    <w:rsid w:val="001844BB"/>
    <w:rsid w:val="001844C3"/>
    <w:rsid w:val="0018481D"/>
    <w:rsid w:val="00184870"/>
    <w:rsid w:val="00184950"/>
    <w:rsid w:val="00184FD0"/>
    <w:rsid w:val="00185069"/>
    <w:rsid w:val="001852B6"/>
    <w:rsid w:val="00185546"/>
    <w:rsid w:val="001856E0"/>
    <w:rsid w:val="00185816"/>
    <w:rsid w:val="0018594C"/>
    <w:rsid w:val="00185B0C"/>
    <w:rsid w:val="00185CCB"/>
    <w:rsid w:val="00185D07"/>
    <w:rsid w:val="001864D1"/>
    <w:rsid w:val="00186B84"/>
    <w:rsid w:val="00186CA2"/>
    <w:rsid w:val="00186CD2"/>
    <w:rsid w:val="0018707E"/>
    <w:rsid w:val="00187095"/>
    <w:rsid w:val="001870AB"/>
    <w:rsid w:val="00187102"/>
    <w:rsid w:val="00187221"/>
    <w:rsid w:val="001872B2"/>
    <w:rsid w:val="00187488"/>
    <w:rsid w:val="001876ED"/>
    <w:rsid w:val="00187749"/>
    <w:rsid w:val="00187849"/>
    <w:rsid w:val="0018789B"/>
    <w:rsid w:val="0018792D"/>
    <w:rsid w:val="00187997"/>
    <w:rsid w:val="00187A56"/>
    <w:rsid w:val="00187B9B"/>
    <w:rsid w:val="00187E15"/>
    <w:rsid w:val="00187E5B"/>
    <w:rsid w:val="00187E74"/>
    <w:rsid w:val="00187F9D"/>
    <w:rsid w:val="00187FBE"/>
    <w:rsid w:val="00190163"/>
    <w:rsid w:val="001907C7"/>
    <w:rsid w:val="00190838"/>
    <w:rsid w:val="001908F8"/>
    <w:rsid w:val="00190A1E"/>
    <w:rsid w:val="001912E2"/>
    <w:rsid w:val="00191664"/>
    <w:rsid w:val="001919B1"/>
    <w:rsid w:val="00191A2A"/>
    <w:rsid w:val="00191B79"/>
    <w:rsid w:val="00191BF5"/>
    <w:rsid w:val="00191C56"/>
    <w:rsid w:val="00191DD2"/>
    <w:rsid w:val="00191E0F"/>
    <w:rsid w:val="00191EC5"/>
    <w:rsid w:val="001920C5"/>
    <w:rsid w:val="001922AC"/>
    <w:rsid w:val="001922FE"/>
    <w:rsid w:val="0019262E"/>
    <w:rsid w:val="001927C4"/>
    <w:rsid w:val="00192DC8"/>
    <w:rsid w:val="00192E36"/>
    <w:rsid w:val="00192ED2"/>
    <w:rsid w:val="001930E1"/>
    <w:rsid w:val="001930FC"/>
    <w:rsid w:val="0019311C"/>
    <w:rsid w:val="0019313A"/>
    <w:rsid w:val="001932A6"/>
    <w:rsid w:val="0019344A"/>
    <w:rsid w:val="00193567"/>
    <w:rsid w:val="001939BF"/>
    <w:rsid w:val="00193D1E"/>
    <w:rsid w:val="00193FA0"/>
    <w:rsid w:val="00194098"/>
    <w:rsid w:val="001946EE"/>
    <w:rsid w:val="0019484D"/>
    <w:rsid w:val="00194A0F"/>
    <w:rsid w:val="00195267"/>
    <w:rsid w:val="001952D5"/>
    <w:rsid w:val="00195512"/>
    <w:rsid w:val="00195793"/>
    <w:rsid w:val="00195B70"/>
    <w:rsid w:val="00196088"/>
    <w:rsid w:val="001962D1"/>
    <w:rsid w:val="00196902"/>
    <w:rsid w:val="00196B55"/>
    <w:rsid w:val="00196BE4"/>
    <w:rsid w:val="00196CC1"/>
    <w:rsid w:val="001970C6"/>
    <w:rsid w:val="00197294"/>
    <w:rsid w:val="001973D1"/>
    <w:rsid w:val="00197522"/>
    <w:rsid w:val="001976A1"/>
    <w:rsid w:val="0019786E"/>
    <w:rsid w:val="00197A34"/>
    <w:rsid w:val="00197A47"/>
    <w:rsid w:val="001A01B9"/>
    <w:rsid w:val="001A02EB"/>
    <w:rsid w:val="001A0303"/>
    <w:rsid w:val="001A03B3"/>
    <w:rsid w:val="001A090B"/>
    <w:rsid w:val="001A0B34"/>
    <w:rsid w:val="001A0C22"/>
    <w:rsid w:val="001A0CB3"/>
    <w:rsid w:val="001A0D6D"/>
    <w:rsid w:val="001A102F"/>
    <w:rsid w:val="001A12D8"/>
    <w:rsid w:val="001A14A4"/>
    <w:rsid w:val="001A1572"/>
    <w:rsid w:val="001A183D"/>
    <w:rsid w:val="001A1CA7"/>
    <w:rsid w:val="001A1DC1"/>
    <w:rsid w:val="001A2019"/>
    <w:rsid w:val="001A2024"/>
    <w:rsid w:val="001A2787"/>
    <w:rsid w:val="001A29B4"/>
    <w:rsid w:val="001A2A80"/>
    <w:rsid w:val="001A2C40"/>
    <w:rsid w:val="001A2D05"/>
    <w:rsid w:val="001A3205"/>
    <w:rsid w:val="001A3266"/>
    <w:rsid w:val="001A332F"/>
    <w:rsid w:val="001A3424"/>
    <w:rsid w:val="001A3653"/>
    <w:rsid w:val="001A3A1C"/>
    <w:rsid w:val="001A3A62"/>
    <w:rsid w:val="001A3C4B"/>
    <w:rsid w:val="001A4016"/>
    <w:rsid w:val="001A407C"/>
    <w:rsid w:val="001A4259"/>
    <w:rsid w:val="001A446E"/>
    <w:rsid w:val="001A45AB"/>
    <w:rsid w:val="001A4C2D"/>
    <w:rsid w:val="001A4D24"/>
    <w:rsid w:val="001A4FE4"/>
    <w:rsid w:val="001A53AC"/>
    <w:rsid w:val="001A5720"/>
    <w:rsid w:val="001A58FB"/>
    <w:rsid w:val="001A59BE"/>
    <w:rsid w:val="001A5A55"/>
    <w:rsid w:val="001A5DF4"/>
    <w:rsid w:val="001A5EB0"/>
    <w:rsid w:val="001A5EFC"/>
    <w:rsid w:val="001A5FC1"/>
    <w:rsid w:val="001A5FCA"/>
    <w:rsid w:val="001A602A"/>
    <w:rsid w:val="001A61A3"/>
    <w:rsid w:val="001A63A1"/>
    <w:rsid w:val="001A63A2"/>
    <w:rsid w:val="001A65C7"/>
    <w:rsid w:val="001A67C7"/>
    <w:rsid w:val="001A6852"/>
    <w:rsid w:val="001A68DD"/>
    <w:rsid w:val="001A695B"/>
    <w:rsid w:val="001A6B5F"/>
    <w:rsid w:val="001A6BBB"/>
    <w:rsid w:val="001A6ED0"/>
    <w:rsid w:val="001A6F52"/>
    <w:rsid w:val="001A7123"/>
    <w:rsid w:val="001A7453"/>
    <w:rsid w:val="001A7460"/>
    <w:rsid w:val="001A7968"/>
    <w:rsid w:val="001A79CF"/>
    <w:rsid w:val="001A7A26"/>
    <w:rsid w:val="001A7F9C"/>
    <w:rsid w:val="001B001A"/>
    <w:rsid w:val="001B0178"/>
    <w:rsid w:val="001B03A0"/>
    <w:rsid w:val="001B0427"/>
    <w:rsid w:val="001B051B"/>
    <w:rsid w:val="001B061B"/>
    <w:rsid w:val="001B079F"/>
    <w:rsid w:val="001B07D6"/>
    <w:rsid w:val="001B0814"/>
    <w:rsid w:val="001B0918"/>
    <w:rsid w:val="001B0A5B"/>
    <w:rsid w:val="001B0ADD"/>
    <w:rsid w:val="001B0FAC"/>
    <w:rsid w:val="001B100D"/>
    <w:rsid w:val="001B1034"/>
    <w:rsid w:val="001B1499"/>
    <w:rsid w:val="001B15A6"/>
    <w:rsid w:val="001B17DA"/>
    <w:rsid w:val="001B19EA"/>
    <w:rsid w:val="001B1A64"/>
    <w:rsid w:val="001B1B45"/>
    <w:rsid w:val="001B1BC5"/>
    <w:rsid w:val="001B1C3B"/>
    <w:rsid w:val="001B1C41"/>
    <w:rsid w:val="001B1CD7"/>
    <w:rsid w:val="001B296B"/>
    <w:rsid w:val="001B2A14"/>
    <w:rsid w:val="001B31D0"/>
    <w:rsid w:val="001B31FB"/>
    <w:rsid w:val="001B320E"/>
    <w:rsid w:val="001B324E"/>
    <w:rsid w:val="001B35F9"/>
    <w:rsid w:val="001B3705"/>
    <w:rsid w:val="001B3734"/>
    <w:rsid w:val="001B3A7C"/>
    <w:rsid w:val="001B3EB5"/>
    <w:rsid w:val="001B400F"/>
    <w:rsid w:val="001B4075"/>
    <w:rsid w:val="001B42A3"/>
    <w:rsid w:val="001B43E8"/>
    <w:rsid w:val="001B4508"/>
    <w:rsid w:val="001B459A"/>
    <w:rsid w:val="001B4792"/>
    <w:rsid w:val="001B4D25"/>
    <w:rsid w:val="001B4D98"/>
    <w:rsid w:val="001B5070"/>
    <w:rsid w:val="001B51CB"/>
    <w:rsid w:val="001B533B"/>
    <w:rsid w:val="001B54BE"/>
    <w:rsid w:val="001B567E"/>
    <w:rsid w:val="001B572C"/>
    <w:rsid w:val="001B57D4"/>
    <w:rsid w:val="001B5E4C"/>
    <w:rsid w:val="001B627A"/>
    <w:rsid w:val="001B6448"/>
    <w:rsid w:val="001B6B7E"/>
    <w:rsid w:val="001B6BAD"/>
    <w:rsid w:val="001B6F81"/>
    <w:rsid w:val="001B70A1"/>
    <w:rsid w:val="001B76B5"/>
    <w:rsid w:val="001B7802"/>
    <w:rsid w:val="001B7D87"/>
    <w:rsid w:val="001B7E7B"/>
    <w:rsid w:val="001C0463"/>
    <w:rsid w:val="001C04FE"/>
    <w:rsid w:val="001C0608"/>
    <w:rsid w:val="001C062C"/>
    <w:rsid w:val="001C0CC9"/>
    <w:rsid w:val="001C0D11"/>
    <w:rsid w:val="001C10DE"/>
    <w:rsid w:val="001C11EB"/>
    <w:rsid w:val="001C120A"/>
    <w:rsid w:val="001C13D8"/>
    <w:rsid w:val="001C15ED"/>
    <w:rsid w:val="001C17B1"/>
    <w:rsid w:val="001C18FB"/>
    <w:rsid w:val="001C19DF"/>
    <w:rsid w:val="001C1B45"/>
    <w:rsid w:val="001C1FB2"/>
    <w:rsid w:val="001C1FCF"/>
    <w:rsid w:val="001C2232"/>
    <w:rsid w:val="001C25DA"/>
    <w:rsid w:val="001C2644"/>
    <w:rsid w:val="001C2668"/>
    <w:rsid w:val="001C2734"/>
    <w:rsid w:val="001C2D6D"/>
    <w:rsid w:val="001C2EEF"/>
    <w:rsid w:val="001C31B9"/>
    <w:rsid w:val="001C3321"/>
    <w:rsid w:val="001C3575"/>
    <w:rsid w:val="001C394A"/>
    <w:rsid w:val="001C3D04"/>
    <w:rsid w:val="001C3EC5"/>
    <w:rsid w:val="001C4737"/>
    <w:rsid w:val="001C4833"/>
    <w:rsid w:val="001C48DA"/>
    <w:rsid w:val="001C4C09"/>
    <w:rsid w:val="001C4FDC"/>
    <w:rsid w:val="001C5123"/>
    <w:rsid w:val="001C580F"/>
    <w:rsid w:val="001C58C0"/>
    <w:rsid w:val="001C5A80"/>
    <w:rsid w:val="001C5C8A"/>
    <w:rsid w:val="001C6197"/>
    <w:rsid w:val="001C680C"/>
    <w:rsid w:val="001C68EB"/>
    <w:rsid w:val="001C6B35"/>
    <w:rsid w:val="001C6E36"/>
    <w:rsid w:val="001C6ECF"/>
    <w:rsid w:val="001C7433"/>
    <w:rsid w:val="001C77DB"/>
    <w:rsid w:val="001C79E6"/>
    <w:rsid w:val="001C7BBA"/>
    <w:rsid w:val="001C7C3D"/>
    <w:rsid w:val="001C7C96"/>
    <w:rsid w:val="001C7CF5"/>
    <w:rsid w:val="001C7D9C"/>
    <w:rsid w:val="001D00BA"/>
    <w:rsid w:val="001D0142"/>
    <w:rsid w:val="001D0217"/>
    <w:rsid w:val="001D03B9"/>
    <w:rsid w:val="001D091B"/>
    <w:rsid w:val="001D0AC4"/>
    <w:rsid w:val="001D0C4E"/>
    <w:rsid w:val="001D0D78"/>
    <w:rsid w:val="001D0F62"/>
    <w:rsid w:val="001D0FE7"/>
    <w:rsid w:val="001D112C"/>
    <w:rsid w:val="001D11F0"/>
    <w:rsid w:val="001D1587"/>
    <w:rsid w:val="001D27B6"/>
    <w:rsid w:val="001D2BA0"/>
    <w:rsid w:val="001D30E0"/>
    <w:rsid w:val="001D35D5"/>
    <w:rsid w:val="001D3722"/>
    <w:rsid w:val="001D3813"/>
    <w:rsid w:val="001D39D7"/>
    <w:rsid w:val="001D3D12"/>
    <w:rsid w:val="001D3DAC"/>
    <w:rsid w:val="001D4080"/>
    <w:rsid w:val="001D4188"/>
    <w:rsid w:val="001D41D1"/>
    <w:rsid w:val="001D41E2"/>
    <w:rsid w:val="001D437D"/>
    <w:rsid w:val="001D45BA"/>
    <w:rsid w:val="001D4679"/>
    <w:rsid w:val="001D48E3"/>
    <w:rsid w:val="001D4A5B"/>
    <w:rsid w:val="001D4B50"/>
    <w:rsid w:val="001D4B5A"/>
    <w:rsid w:val="001D4D43"/>
    <w:rsid w:val="001D4D89"/>
    <w:rsid w:val="001D4F82"/>
    <w:rsid w:val="001D4FDD"/>
    <w:rsid w:val="001D51BE"/>
    <w:rsid w:val="001D5301"/>
    <w:rsid w:val="001D5466"/>
    <w:rsid w:val="001D56EA"/>
    <w:rsid w:val="001D585C"/>
    <w:rsid w:val="001D5903"/>
    <w:rsid w:val="001D595B"/>
    <w:rsid w:val="001D59BC"/>
    <w:rsid w:val="001D5B41"/>
    <w:rsid w:val="001D5BC9"/>
    <w:rsid w:val="001D5C65"/>
    <w:rsid w:val="001D5D1B"/>
    <w:rsid w:val="001D5D3A"/>
    <w:rsid w:val="001D670F"/>
    <w:rsid w:val="001D68E1"/>
    <w:rsid w:val="001D68FE"/>
    <w:rsid w:val="001D6923"/>
    <w:rsid w:val="001D6C21"/>
    <w:rsid w:val="001D6DC1"/>
    <w:rsid w:val="001D72EF"/>
    <w:rsid w:val="001D7541"/>
    <w:rsid w:val="001D7715"/>
    <w:rsid w:val="001D7DA1"/>
    <w:rsid w:val="001E0243"/>
    <w:rsid w:val="001E0259"/>
    <w:rsid w:val="001E02EB"/>
    <w:rsid w:val="001E035B"/>
    <w:rsid w:val="001E03CE"/>
    <w:rsid w:val="001E05B7"/>
    <w:rsid w:val="001E0A98"/>
    <w:rsid w:val="001E0B9A"/>
    <w:rsid w:val="001E0C41"/>
    <w:rsid w:val="001E0CEF"/>
    <w:rsid w:val="001E0F6D"/>
    <w:rsid w:val="001E15FE"/>
    <w:rsid w:val="001E161D"/>
    <w:rsid w:val="001E17B2"/>
    <w:rsid w:val="001E1BB8"/>
    <w:rsid w:val="001E1F79"/>
    <w:rsid w:val="001E2351"/>
    <w:rsid w:val="001E24CD"/>
    <w:rsid w:val="001E2525"/>
    <w:rsid w:val="001E2729"/>
    <w:rsid w:val="001E2862"/>
    <w:rsid w:val="001E295A"/>
    <w:rsid w:val="001E2A37"/>
    <w:rsid w:val="001E2C18"/>
    <w:rsid w:val="001E3584"/>
    <w:rsid w:val="001E3A51"/>
    <w:rsid w:val="001E3B09"/>
    <w:rsid w:val="001E3B15"/>
    <w:rsid w:val="001E3C0D"/>
    <w:rsid w:val="001E436A"/>
    <w:rsid w:val="001E44C6"/>
    <w:rsid w:val="001E45D5"/>
    <w:rsid w:val="001E462A"/>
    <w:rsid w:val="001E4A2C"/>
    <w:rsid w:val="001E4C0D"/>
    <w:rsid w:val="001E506B"/>
    <w:rsid w:val="001E509F"/>
    <w:rsid w:val="001E519F"/>
    <w:rsid w:val="001E5308"/>
    <w:rsid w:val="001E5462"/>
    <w:rsid w:val="001E5475"/>
    <w:rsid w:val="001E549E"/>
    <w:rsid w:val="001E58C1"/>
    <w:rsid w:val="001E59B7"/>
    <w:rsid w:val="001E5CE5"/>
    <w:rsid w:val="001E5D29"/>
    <w:rsid w:val="001E5E9C"/>
    <w:rsid w:val="001E60BD"/>
    <w:rsid w:val="001E6125"/>
    <w:rsid w:val="001E63C7"/>
    <w:rsid w:val="001E6428"/>
    <w:rsid w:val="001E65C4"/>
    <w:rsid w:val="001E6634"/>
    <w:rsid w:val="001E6847"/>
    <w:rsid w:val="001E69E0"/>
    <w:rsid w:val="001E6C6F"/>
    <w:rsid w:val="001E6DD6"/>
    <w:rsid w:val="001E74CA"/>
    <w:rsid w:val="001E7518"/>
    <w:rsid w:val="001E758F"/>
    <w:rsid w:val="001E765C"/>
    <w:rsid w:val="001E7741"/>
    <w:rsid w:val="001E77A4"/>
    <w:rsid w:val="001E77D1"/>
    <w:rsid w:val="001E787B"/>
    <w:rsid w:val="001E79DD"/>
    <w:rsid w:val="001E79E2"/>
    <w:rsid w:val="001E7C26"/>
    <w:rsid w:val="001F0008"/>
    <w:rsid w:val="001F00BC"/>
    <w:rsid w:val="001F04D8"/>
    <w:rsid w:val="001F08E5"/>
    <w:rsid w:val="001F09AF"/>
    <w:rsid w:val="001F0A12"/>
    <w:rsid w:val="001F0B89"/>
    <w:rsid w:val="001F0C8D"/>
    <w:rsid w:val="001F0D48"/>
    <w:rsid w:val="001F11D9"/>
    <w:rsid w:val="001F1458"/>
    <w:rsid w:val="001F16F1"/>
    <w:rsid w:val="001F1A7E"/>
    <w:rsid w:val="001F1ACF"/>
    <w:rsid w:val="001F1F32"/>
    <w:rsid w:val="001F201C"/>
    <w:rsid w:val="001F219E"/>
    <w:rsid w:val="001F2403"/>
    <w:rsid w:val="001F25EF"/>
    <w:rsid w:val="001F27C1"/>
    <w:rsid w:val="001F28BF"/>
    <w:rsid w:val="001F28DC"/>
    <w:rsid w:val="001F2F7D"/>
    <w:rsid w:val="001F30CA"/>
    <w:rsid w:val="001F3380"/>
    <w:rsid w:val="001F34E1"/>
    <w:rsid w:val="001F37CE"/>
    <w:rsid w:val="001F3B91"/>
    <w:rsid w:val="001F3D7C"/>
    <w:rsid w:val="001F4229"/>
    <w:rsid w:val="001F4355"/>
    <w:rsid w:val="001F452E"/>
    <w:rsid w:val="001F475C"/>
    <w:rsid w:val="001F4A26"/>
    <w:rsid w:val="001F4BD7"/>
    <w:rsid w:val="001F4C53"/>
    <w:rsid w:val="001F4D28"/>
    <w:rsid w:val="001F4E1E"/>
    <w:rsid w:val="001F4F9A"/>
    <w:rsid w:val="001F51CB"/>
    <w:rsid w:val="001F53C5"/>
    <w:rsid w:val="001F5646"/>
    <w:rsid w:val="001F56D3"/>
    <w:rsid w:val="001F57FF"/>
    <w:rsid w:val="001F58F5"/>
    <w:rsid w:val="001F5956"/>
    <w:rsid w:val="001F5993"/>
    <w:rsid w:val="001F5A25"/>
    <w:rsid w:val="001F5A4A"/>
    <w:rsid w:val="001F5AE6"/>
    <w:rsid w:val="001F5B4A"/>
    <w:rsid w:val="001F5C00"/>
    <w:rsid w:val="001F5C54"/>
    <w:rsid w:val="001F5D90"/>
    <w:rsid w:val="001F5FA7"/>
    <w:rsid w:val="001F61D7"/>
    <w:rsid w:val="001F6B23"/>
    <w:rsid w:val="001F6BCF"/>
    <w:rsid w:val="001F6D8B"/>
    <w:rsid w:val="001F7077"/>
    <w:rsid w:val="001F72B2"/>
    <w:rsid w:val="001F75DE"/>
    <w:rsid w:val="001F7666"/>
    <w:rsid w:val="001F7668"/>
    <w:rsid w:val="001F7CC6"/>
    <w:rsid w:val="001F7DD5"/>
    <w:rsid w:val="00200026"/>
    <w:rsid w:val="002001E3"/>
    <w:rsid w:val="0020021A"/>
    <w:rsid w:val="00200333"/>
    <w:rsid w:val="002003F9"/>
    <w:rsid w:val="00200544"/>
    <w:rsid w:val="0020057E"/>
    <w:rsid w:val="00200D4F"/>
    <w:rsid w:val="00200D57"/>
    <w:rsid w:val="00200D7A"/>
    <w:rsid w:val="00200EC8"/>
    <w:rsid w:val="0020101D"/>
    <w:rsid w:val="00201119"/>
    <w:rsid w:val="0020185B"/>
    <w:rsid w:val="00201DC2"/>
    <w:rsid w:val="0020232A"/>
    <w:rsid w:val="002026BF"/>
    <w:rsid w:val="00202A30"/>
    <w:rsid w:val="00202A5F"/>
    <w:rsid w:val="00202DA7"/>
    <w:rsid w:val="00202F74"/>
    <w:rsid w:val="0020318B"/>
    <w:rsid w:val="002031AB"/>
    <w:rsid w:val="00203310"/>
    <w:rsid w:val="0020347A"/>
    <w:rsid w:val="00203B39"/>
    <w:rsid w:val="00203B3C"/>
    <w:rsid w:val="00203D52"/>
    <w:rsid w:val="00203E7E"/>
    <w:rsid w:val="002040C7"/>
    <w:rsid w:val="002044AA"/>
    <w:rsid w:val="00204551"/>
    <w:rsid w:val="00204843"/>
    <w:rsid w:val="00204B36"/>
    <w:rsid w:val="00204BAA"/>
    <w:rsid w:val="00204CEC"/>
    <w:rsid w:val="00204CFB"/>
    <w:rsid w:val="00204F0E"/>
    <w:rsid w:val="00205236"/>
    <w:rsid w:val="0020559E"/>
    <w:rsid w:val="00205B3A"/>
    <w:rsid w:val="0020610A"/>
    <w:rsid w:val="002061F6"/>
    <w:rsid w:val="002064C9"/>
    <w:rsid w:val="00206676"/>
    <w:rsid w:val="0020687E"/>
    <w:rsid w:val="00206A85"/>
    <w:rsid w:val="00206CA4"/>
    <w:rsid w:val="002070EA"/>
    <w:rsid w:val="00207700"/>
    <w:rsid w:val="00207853"/>
    <w:rsid w:val="002079D9"/>
    <w:rsid w:val="00207BCC"/>
    <w:rsid w:val="0020B3D8"/>
    <w:rsid w:val="0020CBFD"/>
    <w:rsid w:val="00210269"/>
    <w:rsid w:val="002105BF"/>
    <w:rsid w:val="00210F5F"/>
    <w:rsid w:val="00210FDF"/>
    <w:rsid w:val="00210FF4"/>
    <w:rsid w:val="002111C6"/>
    <w:rsid w:val="00211279"/>
    <w:rsid w:val="00211408"/>
    <w:rsid w:val="002118CB"/>
    <w:rsid w:val="0021193D"/>
    <w:rsid w:val="00211B2F"/>
    <w:rsid w:val="00211B32"/>
    <w:rsid w:val="00211B74"/>
    <w:rsid w:val="00211D11"/>
    <w:rsid w:val="00211D71"/>
    <w:rsid w:val="00211FFF"/>
    <w:rsid w:val="002120C0"/>
    <w:rsid w:val="002120D7"/>
    <w:rsid w:val="00212222"/>
    <w:rsid w:val="00212541"/>
    <w:rsid w:val="002126AE"/>
    <w:rsid w:val="00212706"/>
    <w:rsid w:val="002128AE"/>
    <w:rsid w:val="00212B11"/>
    <w:rsid w:val="00212B99"/>
    <w:rsid w:val="00212FD8"/>
    <w:rsid w:val="0021304A"/>
    <w:rsid w:val="002130AE"/>
    <w:rsid w:val="00213489"/>
    <w:rsid w:val="002134DA"/>
    <w:rsid w:val="0021353E"/>
    <w:rsid w:val="0021365E"/>
    <w:rsid w:val="00213696"/>
    <w:rsid w:val="002136AD"/>
    <w:rsid w:val="0021393D"/>
    <w:rsid w:val="00213A2B"/>
    <w:rsid w:val="00213AA0"/>
    <w:rsid w:val="00213D55"/>
    <w:rsid w:val="002141CA"/>
    <w:rsid w:val="002142D3"/>
    <w:rsid w:val="0021443E"/>
    <w:rsid w:val="002144DE"/>
    <w:rsid w:val="002146CF"/>
    <w:rsid w:val="002147CD"/>
    <w:rsid w:val="002147D6"/>
    <w:rsid w:val="00214A3D"/>
    <w:rsid w:val="00214E34"/>
    <w:rsid w:val="00214EEC"/>
    <w:rsid w:val="00215065"/>
    <w:rsid w:val="002150B5"/>
    <w:rsid w:val="00215329"/>
    <w:rsid w:val="0021540F"/>
    <w:rsid w:val="00215619"/>
    <w:rsid w:val="00215821"/>
    <w:rsid w:val="00215A04"/>
    <w:rsid w:val="00215C09"/>
    <w:rsid w:val="00215CD9"/>
    <w:rsid w:val="00215D24"/>
    <w:rsid w:val="00215DA9"/>
    <w:rsid w:val="0021653C"/>
    <w:rsid w:val="0021686E"/>
    <w:rsid w:val="00216DD8"/>
    <w:rsid w:val="0021709E"/>
    <w:rsid w:val="002171ED"/>
    <w:rsid w:val="00217254"/>
    <w:rsid w:val="0021726E"/>
    <w:rsid w:val="002172CA"/>
    <w:rsid w:val="002178CA"/>
    <w:rsid w:val="00217919"/>
    <w:rsid w:val="002179F6"/>
    <w:rsid w:val="00217D07"/>
    <w:rsid w:val="00217E30"/>
    <w:rsid w:val="00217E33"/>
    <w:rsid w:val="00217E48"/>
    <w:rsid w:val="0022050B"/>
    <w:rsid w:val="00220E4A"/>
    <w:rsid w:val="00220EC6"/>
    <w:rsid w:val="002210AF"/>
    <w:rsid w:val="002212B8"/>
    <w:rsid w:val="002216B1"/>
    <w:rsid w:val="00221B95"/>
    <w:rsid w:val="00221C0C"/>
    <w:rsid w:val="00221CDB"/>
    <w:rsid w:val="00221CDE"/>
    <w:rsid w:val="00221D83"/>
    <w:rsid w:val="00221FFB"/>
    <w:rsid w:val="0022203A"/>
    <w:rsid w:val="00222570"/>
    <w:rsid w:val="00222764"/>
    <w:rsid w:val="00222E0F"/>
    <w:rsid w:val="0022357E"/>
    <w:rsid w:val="00223715"/>
    <w:rsid w:val="002238D6"/>
    <w:rsid w:val="00223C56"/>
    <w:rsid w:val="00223E4D"/>
    <w:rsid w:val="00223EE8"/>
    <w:rsid w:val="00224042"/>
    <w:rsid w:val="00224502"/>
    <w:rsid w:val="00224537"/>
    <w:rsid w:val="0022467C"/>
    <w:rsid w:val="0022491A"/>
    <w:rsid w:val="00224A14"/>
    <w:rsid w:val="00224A5D"/>
    <w:rsid w:val="00224B2E"/>
    <w:rsid w:val="00224D7F"/>
    <w:rsid w:val="00224E28"/>
    <w:rsid w:val="00224FBC"/>
    <w:rsid w:val="00225067"/>
    <w:rsid w:val="0022509F"/>
    <w:rsid w:val="002250A7"/>
    <w:rsid w:val="002250AE"/>
    <w:rsid w:val="002252C1"/>
    <w:rsid w:val="002256F7"/>
    <w:rsid w:val="002258B4"/>
    <w:rsid w:val="00225AAA"/>
    <w:rsid w:val="00225AEA"/>
    <w:rsid w:val="00225C2F"/>
    <w:rsid w:val="0022613D"/>
    <w:rsid w:val="002263AF"/>
    <w:rsid w:val="00226521"/>
    <w:rsid w:val="0022658F"/>
    <w:rsid w:val="0022663F"/>
    <w:rsid w:val="00226668"/>
    <w:rsid w:val="002267B2"/>
    <w:rsid w:val="002268EA"/>
    <w:rsid w:val="00226C21"/>
    <w:rsid w:val="00227056"/>
    <w:rsid w:val="002272EF"/>
    <w:rsid w:val="00227400"/>
    <w:rsid w:val="00227511"/>
    <w:rsid w:val="0022757C"/>
    <w:rsid w:val="002276B7"/>
    <w:rsid w:val="00227749"/>
    <w:rsid w:val="00227794"/>
    <w:rsid w:val="00227EC2"/>
    <w:rsid w:val="0023022F"/>
    <w:rsid w:val="00230277"/>
    <w:rsid w:val="0023029C"/>
    <w:rsid w:val="002302FC"/>
    <w:rsid w:val="002303C6"/>
    <w:rsid w:val="00230429"/>
    <w:rsid w:val="00230665"/>
    <w:rsid w:val="0023068C"/>
    <w:rsid w:val="00230D30"/>
    <w:rsid w:val="00230DC9"/>
    <w:rsid w:val="00230E38"/>
    <w:rsid w:val="00230F07"/>
    <w:rsid w:val="0023153C"/>
    <w:rsid w:val="002318E4"/>
    <w:rsid w:val="0023194F"/>
    <w:rsid w:val="002319B1"/>
    <w:rsid w:val="00231DFE"/>
    <w:rsid w:val="00232166"/>
    <w:rsid w:val="00232359"/>
    <w:rsid w:val="00232BAA"/>
    <w:rsid w:val="00232DF2"/>
    <w:rsid w:val="00232E14"/>
    <w:rsid w:val="00232E5E"/>
    <w:rsid w:val="00233144"/>
    <w:rsid w:val="0023315F"/>
    <w:rsid w:val="0023356F"/>
    <w:rsid w:val="00233656"/>
    <w:rsid w:val="00233749"/>
    <w:rsid w:val="002338E8"/>
    <w:rsid w:val="00233B5C"/>
    <w:rsid w:val="00233E26"/>
    <w:rsid w:val="00233E5C"/>
    <w:rsid w:val="00233ED8"/>
    <w:rsid w:val="00233FD6"/>
    <w:rsid w:val="002346D9"/>
    <w:rsid w:val="00234E56"/>
    <w:rsid w:val="00234EB2"/>
    <w:rsid w:val="0023552E"/>
    <w:rsid w:val="00235643"/>
    <w:rsid w:val="00235968"/>
    <w:rsid w:val="00235B35"/>
    <w:rsid w:val="00235BFB"/>
    <w:rsid w:val="00235D31"/>
    <w:rsid w:val="00236008"/>
    <w:rsid w:val="00236124"/>
    <w:rsid w:val="00236259"/>
    <w:rsid w:val="00236570"/>
    <w:rsid w:val="00236722"/>
    <w:rsid w:val="002367F0"/>
    <w:rsid w:val="00237015"/>
    <w:rsid w:val="00237507"/>
    <w:rsid w:val="0023752E"/>
    <w:rsid w:val="0023757C"/>
    <w:rsid w:val="00237677"/>
    <w:rsid w:val="00237701"/>
    <w:rsid w:val="00237C25"/>
    <w:rsid w:val="00237C85"/>
    <w:rsid w:val="00237D02"/>
    <w:rsid w:val="00237EEE"/>
    <w:rsid w:val="002401D1"/>
    <w:rsid w:val="0024032B"/>
    <w:rsid w:val="002406E1"/>
    <w:rsid w:val="00240932"/>
    <w:rsid w:val="00240A59"/>
    <w:rsid w:val="00240A9E"/>
    <w:rsid w:val="00240D88"/>
    <w:rsid w:val="0024116F"/>
    <w:rsid w:val="00241806"/>
    <w:rsid w:val="002419E1"/>
    <w:rsid w:val="00241AD7"/>
    <w:rsid w:val="00241BC3"/>
    <w:rsid w:val="00241C6C"/>
    <w:rsid w:val="002422D1"/>
    <w:rsid w:val="00242379"/>
    <w:rsid w:val="002425C0"/>
    <w:rsid w:val="002426FA"/>
    <w:rsid w:val="00242766"/>
    <w:rsid w:val="00242878"/>
    <w:rsid w:val="002429EF"/>
    <w:rsid w:val="00242B66"/>
    <w:rsid w:val="00242CCC"/>
    <w:rsid w:val="00242EB7"/>
    <w:rsid w:val="00243051"/>
    <w:rsid w:val="00243274"/>
    <w:rsid w:val="002432D1"/>
    <w:rsid w:val="00243799"/>
    <w:rsid w:val="002437AD"/>
    <w:rsid w:val="002437F7"/>
    <w:rsid w:val="00243AFA"/>
    <w:rsid w:val="00243CEF"/>
    <w:rsid w:val="00243D04"/>
    <w:rsid w:val="00243E8B"/>
    <w:rsid w:val="0024431C"/>
    <w:rsid w:val="0024456F"/>
    <w:rsid w:val="00244969"/>
    <w:rsid w:val="00244EA6"/>
    <w:rsid w:val="00244EAE"/>
    <w:rsid w:val="00245245"/>
    <w:rsid w:val="00245424"/>
    <w:rsid w:val="0024543B"/>
    <w:rsid w:val="0024573A"/>
    <w:rsid w:val="002457C1"/>
    <w:rsid w:val="00245846"/>
    <w:rsid w:val="0024588B"/>
    <w:rsid w:val="00245B98"/>
    <w:rsid w:val="00245BF1"/>
    <w:rsid w:val="00245F0C"/>
    <w:rsid w:val="00245F73"/>
    <w:rsid w:val="002465C5"/>
    <w:rsid w:val="002465CE"/>
    <w:rsid w:val="00246682"/>
    <w:rsid w:val="0024668D"/>
    <w:rsid w:val="00246ABF"/>
    <w:rsid w:val="00246D5F"/>
    <w:rsid w:val="002474CC"/>
    <w:rsid w:val="002474F0"/>
    <w:rsid w:val="00247599"/>
    <w:rsid w:val="0024773E"/>
    <w:rsid w:val="0024780E"/>
    <w:rsid w:val="002479FD"/>
    <w:rsid w:val="00247A12"/>
    <w:rsid w:val="00247A18"/>
    <w:rsid w:val="00247BEA"/>
    <w:rsid w:val="00247C95"/>
    <w:rsid w:val="0024F0B6"/>
    <w:rsid w:val="00250018"/>
    <w:rsid w:val="0025015C"/>
    <w:rsid w:val="002501C7"/>
    <w:rsid w:val="00250482"/>
    <w:rsid w:val="0025093D"/>
    <w:rsid w:val="002509CE"/>
    <w:rsid w:val="002509FE"/>
    <w:rsid w:val="00250A36"/>
    <w:rsid w:val="00250E62"/>
    <w:rsid w:val="002512AA"/>
    <w:rsid w:val="00251401"/>
    <w:rsid w:val="00251693"/>
    <w:rsid w:val="002516B7"/>
    <w:rsid w:val="002517BC"/>
    <w:rsid w:val="002519D3"/>
    <w:rsid w:val="00251AAC"/>
    <w:rsid w:val="00251E29"/>
    <w:rsid w:val="00252029"/>
    <w:rsid w:val="00252072"/>
    <w:rsid w:val="0025219B"/>
    <w:rsid w:val="00252497"/>
    <w:rsid w:val="00252528"/>
    <w:rsid w:val="00252584"/>
    <w:rsid w:val="00252719"/>
    <w:rsid w:val="00252890"/>
    <w:rsid w:val="00252898"/>
    <w:rsid w:val="002529C1"/>
    <w:rsid w:val="00252CC6"/>
    <w:rsid w:val="00252F33"/>
    <w:rsid w:val="00252FE9"/>
    <w:rsid w:val="00253A58"/>
    <w:rsid w:val="00253D1B"/>
    <w:rsid w:val="00253F47"/>
    <w:rsid w:val="00253F7D"/>
    <w:rsid w:val="00253FB8"/>
    <w:rsid w:val="00253FDA"/>
    <w:rsid w:val="00254470"/>
    <w:rsid w:val="0025459C"/>
    <w:rsid w:val="002546A9"/>
    <w:rsid w:val="00255137"/>
    <w:rsid w:val="00255578"/>
    <w:rsid w:val="002556B3"/>
    <w:rsid w:val="002556E1"/>
    <w:rsid w:val="00255A78"/>
    <w:rsid w:val="00255BF8"/>
    <w:rsid w:val="00255C80"/>
    <w:rsid w:val="0025616F"/>
    <w:rsid w:val="002563EC"/>
    <w:rsid w:val="0025664F"/>
    <w:rsid w:val="0025668E"/>
    <w:rsid w:val="002566AB"/>
    <w:rsid w:val="002568E7"/>
    <w:rsid w:val="00256ADD"/>
    <w:rsid w:val="00256BE4"/>
    <w:rsid w:val="00256D78"/>
    <w:rsid w:val="00256F85"/>
    <w:rsid w:val="002571BB"/>
    <w:rsid w:val="002576C5"/>
    <w:rsid w:val="00257D10"/>
    <w:rsid w:val="00257D45"/>
    <w:rsid w:val="00257D71"/>
    <w:rsid w:val="00257F05"/>
    <w:rsid w:val="00260268"/>
    <w:rsid w:val="00260320"/>
    <w:rsid w:val="00260441"/>
    <w:rsid w:val="0026086F"/>
    <w:rsid w:val="00260AFE"/>
    <w:rsid w:val="00260B9E"/>
    <w:rsid w:val="00260BDC"/>
    <w:rsid w:val="00260BE4"/>
    <w:rsid w:val="00260DDA"/>
    <w:rsid w:val="00261102"/>
    <w:rsid w:val="002612C2"/>
    <w:rsid w:val="002612DF"/>
    <w:rsid w:val="00261486"/>
    <w:rsid w:val="00261624"/>
    <w:rsid w:val="0026196C"/>
    <w:rsid w:val="00261B14"/>
    <w:rsid w:val="00261C78"/>
    <w:rsid w:val="00261D2F"/>
    <w:rsid w:val="00261DD1"/>
    <w:rsid w:val="00261FEE"/>
    <w:rsid w:val="002625B1"/>
    <w:rsid w:val="002625CD"/>
    <w:rsid w:val="0026269C"/>
    <w:rsid w:val="00262AC3"/>
    <w:rsid w:val="00262ACD"/>
    <w:rsid w:val="00262DD9"/>
    <w:rsid w:val="00262F23"/>
    <w:rsid w:val="002630EB"/>
    <w:rsid w:val="002631AE"/>
    <w:rsid w:val="002633CF"/>
    <w:rsid w:val="00263439"/>
    <w:rsid w:val="002637D2"/>
    <w:rsid w:val="0026395B"/>
    <w:rsid w:val="00263CF9"/>
    <w:rsid w:val="00263E22"/>
    <w:rsid w:val="00263F17"/>
    <w:rsid w:val="002640CA"/>
    <w:rsid w:val="00264112"/>
    <w:rsid w:val="002643CA"/>
    <w:rsid w:val="00264448"/>
    <w:rsid w:val="0026454F"/>
    <w:rsid w:val="0026456E"/>
    <w:rsid w:val="002645A8"/>
    <w:rsid w:val="0026461A"/>
    <w:rsid w:val="0026467F"/>
    <w:rsid w:val="002647AF"/>
    <w:rsid w:val="0026483C"/>
    <w:rsid w:val="002648C0"/>
    <w:rsid w:val="00264913"/>
    <w:rsid w:val="00264EEC"/>
    <w:rsid w:val="00265041"/>
    <w:rsid w:val="002650E2"/>
    <w:rsid w:val="002654AF"/>
    <w:rsid w:val="002656F4"/>
    <w:rsid w:val="002658EF"/>
    <w:rsid w:val="00265BA7"/>
    <w:rsid w:val="00265CBE"/>
    <w:rsid w:val="00265CD1"/>
    <w:rsid w:val="00266140"/>
    <w:rsid w:val="0026615E"/>
    <w:rsid w:val="002664D5"/>
    <w:rsid w:val="00266567"/>
    <w:rsid w:val="00266588"/>
    <w:rsid w:val="0026688F"/>
    <w:rsid w:val="0026689A"/>
    <w:rsid w:val="002668EB"/>
    <w:rsid w:val="00266B0F"/>
    <w:rsid w:val="002671AB"/>
    <w:rsid w:val="0026730F"/>
    <w:rsid w:val="002673CC"/>
    <w:rsid w:val="00267B57"/>
    <w:rsid w:val="00267C0D"/>
    <w:rsid w:val="00270014"/>
    <w:rsid w:val="00270017"/>
    <w:rsid w:val="00270131"/>
    <w:rsid w:val="00270719"/>
    <w:rsid w:val="0027096B"/>
    <w:rsid w:val="00270B0A"/>
    <w:rsid w:val="00270E3C"/>
    <w:rsid w:val="00271269"/>
    <w:rsid w:val="002712AD"/>
    <w:rsid w:val="0027150C"/>
    <w:rsid w:val="002717B1"/>
    <w:rsid w:val="002717E9"/>
    <w:rsid w:val="00271C81"/>
    <w:rsid w:val="00271DC1"/>
    <w:rsid w:val="00271E5E"/>
    <w:rsid w:val="00271EC6"/>
    <w:rsid w:val="00271FDE"/>
    <w:rsid w:val="00272266"/>
    <w:rsid w:val="00272751"/>
    <w:rsid w:val="00272A3D"/>
    <w:rsid w:val="00272D3A"/>
    <w:rsid w:val="00272E99"/>
    <w:rsid w:val="00272F67"/>
    <w:rsid w:val="0027312B"/>
    <w:rsid w:val="00273231"/>
    <w:rsid w:val="0027352C"/>
    <w:rsid w:val="0027363F"/>
    <w:rsid w:val="00273907"/>
    <w:rsid w:val="00273A11"/>
    <w:rsid w:val="00273A74"/>
    <w:rsid w:val="00273A98"/>
    <w:rsid w:val="00273C44"/>
    <w:rsid w:val="00273F7F"/>
    <w:rsid w:val="00274104"/>
    <w:rsid w:val="00274933"/>
    <w:rsid w:val="00274C62"/>
    <w:rsid w:val="00274E39"/>
    <w:rsid w:val="00274E49"/>
    <w:rsid w:val="00275026"/>
    <w:rsid w:val="0027504D"/>
    <w:rsid w:val="002750EB"/>
    <w:rsid w:val="0027520D"/>
    <w:rsid w:val="0027528D"/>
    <w:rsid w:val="00275370"/>
    <w:rsid w:val="002756D4"/>
    <w:rsid w:val="00275A6A"/>
    <w:rsid w:val="00275BAA"/>
    <w:rsid w:val="00275E50"/>
    <w:rsid w:val="00276574"/>
    <w:rsid w:val="00276944"/>
    <w:rsid w:val="00276C37"/>
    <w:rsid w:val="00276CAD"/>
    <w:rsid w:val="0027701F"/>
    <w:rsid w:val="00277173"/>
    <w:rsid w:val="00277198"/>
    <w:rsid w:val="002772F2"/>
    <w:rsid w:val="00277399"/>
    <w:rsid w:val="0027779A"/>
    <w:rsid w:val="0027789B"/>
    <w:rsid w:val="00277C97"/>
    <w:rsid w:val="00277DBC"/>
    <w:rsid w:val="00277F8B"/>
    <w:rsid w:val="00280055"/>
    <w:rsid w:val="00280616"/>
    <w:rsid w:val="002806D9"/>
    <w:rsid w:val="0028080A"/>
    <w:rsid w:val="00280966"/>
    <w:rsid w:val="00280C3A"/>
    <w:rsid w:val="00280C5D"/>
    <w:rsid w:val="00280D64"/>
    <w:rsid w:val="00281040"/>
    <w:rsid w:val="002811E7"/>
    <w:rsid w:val="002811FC"/>
    <w:rsid w:val="002814AE"/>
    <w:rsid w:val="002816AF"/>
    <w:rsid w:val="00281957"/>
    <w:rsid w:val="00281C23"/>
    <w:rsid w:val="00281D74"/>
    <w:rsid w:val="002822DD"/>
    <w:rsid w:val="002829CC"/>
    <w:rsid w:val="00282CB4"/>
    <w:rsid w:val="00282E90"/>
    <w:rsid w:val="00282F78"/>
    <w:rsid w:val="00282FDF"/>
    <w:rsid w:val="0028302D"/>
    <w:rsid w:val="0028348D"/>
    <w:rsid w:val="00283730"/>
    <w:rsid w:val="00283B0F"/>
    <w:rsid w:val="00283C63"/>
    <w:rsid w:val="00283D7F"/>
    <w:rsid w:val="00283DD8"/>
    <w:rsid w:val="00284207"/>
    <w:rsid w:val="00284491"/>
    <w:rsid w:val="00284886"/>
    <w:rsid w:val="00284928"/>
    <w:rsid w:val="002849AF"/>
    <w:rsid w:val="00284D1A"/>
    <w:rsid w:val="00284D97"/>
    <w:rsid w:val="00284DD3"/>
    <w:rsid w:val="0028579B"/>
    <w:rsid w:val="00285CB4"/>
    <w:rsid w:val="00285E08"/>
    <w:rsid w:val="00285E27"/>
    <w:rsid w:val="00286105"/>
    <w:rsid w:val="00286420"/>
    <w:rsid w:val="0028663E"/>
    <w:rsid w:val="0028681D"/>
    <w:rsid w:val="0028691E"/>
    <w:rsid w:val="00286980"/>
    <w:rsid w:val="00286B16"/>
    <w:rsid w:val="00286ECA"/>
    <w:rsid w:val="00286F8D"/>
    <w:rsid w:val="00287042"/>
    <w:rsid w:val="0028727C"/>
    <w:rsid w:val="00287310"/>
    <w:rsid w:val="00287367"/>
    <w:rsid w:val="00287486"/>
    <w:rsid w:val="002875AC"/>
    <w:rsid w:val="00287613"/>
    <w:rsid w:val="002876E4"/>
    <w:rsid w:val="002877C0"/>
    <w:rsid w:val="002879FA"/>
    <w:rsid w:val="00287A97"/>
    <w:rsid w:val="00287BDF"/>
    <w:rsid w:val="00287E0E"/>
    <w:rsid w:val="00290099"/>
    <w:rsid w:val="002902EA"/>
    <w:rsid w:val="0029039B"/>
    <w:rsid w:val="00290812"/>
    <w:rsid w:val="0029098C"/>
    <w:rsid w:val="00290AAD"/>
    <w:rsid w:val="00290B60"/>
    <w:rsid w:val="00290E98"/>
    <w:rsid w:val="002910BF"/>
    <w:rsid w:val="002910E0"/>
    <w:rsid w:val="002914DF"/>
    <w:rsid w:val="002914FC"/>
    <w:rsid w:val="00291DA7"/>
    <w:rsid w:val="00292223"/>
    <w:rsid w:val="002922CA"/>
    <w:rsid w:val="002924ED"/>
    <w:rsid w:val="00292578"/>
    <w:rsid w:val="00292604"/>
    <w:rsid w:val="00292752"/>
    <w:rsid w:val="0029277C"/>
    <w:rsid w:val="002927D0"/>
    <w:rsid w:val="002928F4"/>
    <w:rsid w:val="00292977"/>
    <w:rsid w:val="002929EE"/>
    <w:rsid w:val="00292AE0"/>
    <w:rsid w:val="00292D8F"/>
    <w:rsid w:val="00292F25"/>
    <w:rsid w:val="00293046"/>
    <w:rsid w:val="00293106"/>
    <w:rsid w:val="00293131"/>
    <w:rsid w:val="00293138"/>
    <w:rsid w:val="00293291"/>
    <w:rsid w:val="002932AB"/>
    <w:rsid w:val="00293301"/>
    <w:rsid w:val="00293342"/>
    <w:rsid w:val="00293466"/>
    <w:rsid w:val="00293471"/>
    <w:rsid w:val="00293489"/>
    <w:rsid w:val="002937EF"/>
    <w:rsid w:val="00293B9E"/>
    <w:rsid w:val="002940C3"/>
    <w:rsid w:val="0029415D"/>
    <w:rsid w:val="00294170"/>
    <w:rsid w:val="00294327"/>
    <w:rsid w:val="00294809"/>
    <w:rsid w:val="00294A66"/>
    <w:rsid w:val="00294E7D"/>
    <w:rsid w:val="002952D8"/>
    <w:rsid w:val="00295404"/>
    <w:rsid w:val="00295489"/>
    <w:rsid w:val="002954EC"/>
    <w:rsid w:val="0029582E"/>
    <w:rsid w:val="00295995"/>
    <w:rsid w:val="00295A12"/>
    <w:rsid w:val="00295A33"/>
    <w:rsid w:val="00295B63"/>
    <w:rsid w:val="00295D26"/>
    <w:rsid w:val="00296014"/>
    <w:rsid w:val="002962E6"/>
    <w:rsid w:val="002963CD"/>
    <w:rsid w:val="00296CE8"/>
    <w:rsid w:val="00296D2B"/>
    <w:rsid w:val="002972E1"/>
    <w:rsid w:val="00297421"/>
    <w:rsid w:val="002979A7"/>
    <w:rsid w:val="00297A99"/>
    <w:rsid w:val="00297B82"/>
    <w:rsid w:val="00297E5E"/>
    <w:rsid w:val="002A008A"/>
    <w:rsid w:val="002A0317"/>
    <w:rsid w:val="002A03DE"/>
    <w:rsid w:val="002A044D"/>
    <w:rsid w:val="002A07CD"/>
    <w:rsid w:val="002A0858"/>
    <w:rsid w:val="002A0A02"/>
    <w:rsid w:val="002A0A88"/>
    <w:rsid w:val="002A0CD2"/>
    <w:rsid w:val="002A13D1"/>
    <w:rsid w:val="002A1456"/>
    <w:rsid w:val="002A1573"/>
    <w:rsid w:val="002A15D8"/>
    <w:rsid w:val="002A18D2"/>
    <w:rsid w:val="002A19A2"/>
    <w:rsid w:val="002A1B34"/>
    <w:rsid w:val="002A1C16"/>
    <w:rsid w:val="002A22F9"/>
    <w:rsid w:val="002A2787"/>
    <w:rsid w:val="002A2B61"/>
    <w:rsid w:val="002A30D3"/>
    <w:rsid w:val="002A313A"/>
    <w:rsid w:val="002A3179"/>
    <w:rsid w:val="002A3257"/>
    <w:rsid w:val="002A3292"/>
    <w:rsid w:val="002A3A49"/>
    <w:rsid w:val="002A3CFD"/>
    <w:rsid w:val="002A4132"/>
    <w:rsid w:val="002A41C6"/>
    <w:rsid w:val="002A4221"/>
    <w:rsid w:val="002A466C"/>
    <w:rsid w:val="002A46B9"/>
    <w:rsid w:val="002A4E9A"/>
    <w:rsid w:val="002A4EA4"/>
    <w:rsid w:val="002A5068"/>
    <w:rsid w:val="002A50C2"/>
    <w:rsid w:val="002A50CB"/>
    <w:rsid w:val="002A512D"/>
    <w:rsid w:val="002A52D1"/>
    <w:rsid w:val="002A5B34"/>
    <w:rsid w:val="002A5BCC"/>
    <w:rsid w:val="002A62AD"/>
    <w:rsid w:val="002A648C"/>
    <w:rsid w:val="002A6619"/>
    <w:rsid w:val="002A6913"/>
    <w:rsid w:val="002A6A37"/>
    <w:rsid w:val="002A728E"/>
    <w:rsid w:val="002A7347"/>
    <w:rsid w:val="002A75AE"/>
    <w:rsid w:val="002A7744"/>
    <w:rsid w:val="002A79C3"/>
    <w:rsid w:val="002A7A3E"/>
    <w:rsid w:val="002A7B2D"/>
    <w:rsid w:val="002A7B9D"/>
    <w:rsid w:val="002A7F12"/>
    <w:rsid w:val="002A7F42"/>
    <w:rsid w:val="002B038F"/>
    <w:rsid w:val="002B0486"/>
    <w:rsid w:val="002B0766"/>
    <w:rsid w:val="002B0BA4"/>
    <w:rsid w:val="002B0E1C"/>
    <w:rsid w:val="002B0FE7"/>
    <w:rsid w:val="002B165A"/>
    <w:rsid w:val="002B1709"/>
    <w:rsid w:val="002B1740"/>
    <w:rsid w:val="002B1820"/>
    <w:rsid w:val="002B19FE"/>
    <w:rsid w:val="002B1A67"/>
    <w:rsid w:val="002B1BA3"/>
    <w:rsid w:val="002B1E79"/>
    <w:rsid w:val="002B2485"/>
    <w:rsid w:val="002B2627"/>
    <w:rsid w:val="002B26A2"/>
    <w:rsid w:val="002B2711"/>
    <w:rsid w:val="002B2751"/>
    <w:rsid w:val="002B2FF0"/>
    <w:rsid w:val="002B3151"/>
    <w:rsid w:val="002B31C6"/>
    <w:rsid w:val="002B366D"/>
    <w:rsid w:val="002B3BD7"/>
    <w:rsid w:val="002B3C56"/>
    <w:rsid w:val="002B3D3B"/>
    <w:rsid w:val="002B3E4F"/>
    <w:rsid w:val="002B3F77"/>
    <w:rsid w:val="002B402C"/>
    <w:rsid w:val="002B4078"/>
    <w:rsid w:val="002B45F9"/>
    <w:rsid w:val="002B4722"/>
    <w:rsid w:val="002B47A1"/>
    <w:rsid w:val="002B5080"/>
    <w:rsid w:val="002B534A"/>
    <w:rsid w:val="002B558F"/>
    <w:rsid w:val="002B5875"/>
    <w:rsid w:val="002B606D"/>
    <w:rsid w:val="002B60CB"/>
    <w:rsid w:val="002B627D"/>
    <w:rsid w:val="002B649E"/>
    <w:rsid w:val="002B64A3"/>
    <w:rsid w:val="002B65C7"/>
    <w:rsid w:val="002B6882"/>
    <w:rsid w:val="002B6B4F"/>
    <w:rsid w:val="002B6C64"/>
    <w:rsid w:val="002B6C79"/>
    <w:rsid w:val="002B6CFB"/>
    <w:rsid w:val="002B6D3A"/>
    <w:rsid w:val="002B6E97"/>
    <w:rsid w:val="002B72C1"/>
    <w:rsid w:val="002B7ABD"/>
    <w:rsid w:val="002B7AD5"/>
    <w:rsid w:val="002B7BAF"/>
    <w:rsid w:val="002B7BEB"/>
    <w:rsid w:val="002B7CCD"/>
    <w:rsid w:val="002C0046"/>
    <w:rsid w:val="002C00E0"/>
    <w:rsid w:val="002C05F0"/>
    <w:rsid w:val="002C0661"/>
    <w:rsid w:val="002C0667"/>
    <w:rsid w:val="002C089B"/>
    <w:rsid w:val="002C093A"/>
    <w:rsid w:val="002C0C05"/>
    <w:rsid w:val="002C0FF0"/>
    <w:rsid w:val="002C1428"/>
    <w:rsid w:val="002C1656"/>
    <w:rsid w:val="002C17DF"/>
    <w:rsid w:val="002C18E0"/>
    <w:rsid w:val="002C1C93"/>
    <w:rsid w:val="002C1D99"/>
    <w:rsid w:val="002C2151"/>
    <w:rsid w:val="002C230C"/>
    <w:rsid w:val="002C2311"/>
    <w:rsid w:val="002C24F2"/>
    <w:rsid w:val="002C2802"/>
    <w:rsid w:val="002C2880"/>
    <w:rsid w:val="002C2CDB"/>
    <w:rsid w:val="002C2E02"/>
    <w:rsid w:val="002C2ECE"/>
    <w:rsid w:val="002C2F3D"/>
    <w:rsid w:val="002C30C5"/>
    <w:rsid w:val="002C33B4"/>
    <w:rsid w:val="002C33B8"/>
    <w:rsid w:val="002C3623"/>
    <w:rsid w:val="002C3AE6"/>
    <w:rsid w:val="002C3C14"/>
    <w:rsid w:val="002C3CD0"/>
    <w:rsid w:val="002C3FDC"/>
    <w:rsid w:val="002C443F"/>
    <w:rsid w:val="002C4BB7"/>
    <w:rsid w:val="002C4CF3"/>
    <w:rsid w:val="002C530A"/>
    <w:rsid w:val="002C5558"/>
    <w:rsid w:val="002C5771"/>
    <w:rsid w:val="002C57CD"/>
    <w:rsid w:val="002C5A58"/>
    <w:rsid w:val="002C5A7A"/>
    <w:rsid w:val="002C5B07"/>
    <w:rsid w:val="002C5B23"/>
    <w:rsid w:val="002C5E51"/>
    <w:rsid w:val="002C5FCC"/>
    <w:rsid w:val="002C64FE"/>
    <w:rsid w:val="002C655E"/>
    <w:rsid w:val="002C66B2"/>
    <w:rsid w:val="002C69F3"/>
    <w:rsid w:val="002C6A79"/>
    <w:rsid w:val="002C6B27"/>
    <w:rsid w:val="002C6B40"/>
    <w:rsid w:val="002C6CD4"/>
    <w:rsid w:val="002C6DA1"/>
    <w:rsid w:val="002C7857"/>
    <w:rsid w:val="002C7B8E"/>
    <w:rsid w:val="002C7E85"/>
    <w:rsid w:val="002C7F07"/>
    <w:rsid w:val="002C7FA2"/>
    <w:rsid w:val="002C93BE"/>
    <w:rsid w:val="002D00A8"/>
    <w:rsid w:val="002D032B"/>
    <w:rsid w:val="002D0428"/>
    <w:rsid w:val="002D0640"/>
    <w:rsid w:val="002D0AE3"/>
    <w:rsid w:val="002D0C3B"/>
    <w:rsid w:val="002D0C57"/>
    <w:rsid w:val="002D0CEC"/>
    <w:rsid w:val="002D0E6B"/>
    <w:rsid w:val="002D0F86"/>
    <w:rsid w:val="002D0FF2"/>
    <w:rsid w:val="002D1035"/>
    <w:rsid w:val="002D14B9"/>
    <w:rsid w:val="002D176E"/>
    <w:rsid w:val="002D1A52"/>
    <w:rsid w:val="002D1B95"/>
    <w:rsid w:val="002D1FC1"/>
    <w:rsid w:val="002D22B1"/>
    <w:rsid w:val="002D29DA"/>
    <w:rsid w:val="002D2C46"/>
    <w:rsid w:val="002D2C48"/>
    <w:rsid w:val="002D2D7A"/>
    <w:rsid w:val="002D30A9"/>
    <w:rsid w:val="002D3157"/>
    <w:rsid w:val="002D3208"/>
    <w:rsid w:val="002D333B"/>
    <w:rsid w:val="002D347A"/>
    <w:rsid w:val="002D3499"/>
    <w:rsid w:val="002D3704"/>
    <w:rsid w:val="002D385E"/>
    <w:rsid w:val="002D387A"/>
    <w:rsid w:val="002D3A30"/>
    <w:rsid w:val="002D3A51"/>
    <w:rsid w:val="002D3BEB"/>
    <w:rsid w:val="002D3F07"/>
    <w:rsid w:val="002D409F"/>
    <w:rsid w:val="002D40F0"/>
    <w:rsid w:val="002D4205"/>
    <w:rsid w:val="002D4273"/>
    <w:rsid w:val="002D4719"/>
    <w:rsid w:val="002D4D5E"/>
    <w:rsid w:val="002D4FF8"/>
    <w:rsid w:val="002D5184"/>
    <w:rsid w:val="002D55EB"/>
    <w:rsid w:val="002D563C"/>
    <w:rsid w:val="002D58F7"/>
    <w:rsid w:val="002D5C45"/>
    <w:rsid w:val="002D5CF9"/>
    <w:rsid w:val="002D5E62"/>
    <w:rsid w:val="002D5FD3"/>
    <w:rsid w:val="002D5FFF"/>
    <w:rsid w:val="002D6225"/>
    <w:rsid w:val="002D62A4"/>
    <w:rsid w:val="002D62A9"/>
    <w:rsid w:val="002D645C"/>
    <w:rsid w:val="002D68FD"/>
    <w:rsid w:val="002D6B87"/>
    <w:rsid w:val="002D6CF0"/>
    <w:rsid w:val="002D6FFE"/>
    <w:rsid w:val="002D7047"/>
    <w:rsid w:val="002D70C1"/>
    <w:rsid w:val="002D74CB"/>
    <w:rsid w:val="002D784E"/>
    <w:rsid w:val="002D7930"/>
    <w:rsid w:val="002D7B18"/>
    <w:rsid w:val="002D7B49"/>
    <w:rsid w:val="002D7F8C"/>
    <w:rsid w:val="002E05BF"/>
    <w:rsid w:val="002E0642"/>
    <w:rsid w:val="002E090F"/>
    <w:rsid w:val="002E0967"/>
    <w:rsid w:val="002E0CCD"/>
    <w:rsid w:val="002E0F16"/>
    <w:rsid w:val="002E0FA2"/>
    <w:rsid w:val="002E13A0"/>
    <w:rsid w:val="002E1526"/>
    <w:rsid w:val="002E185A"/>
    <w:rsid w:val="002E1C42"/>
    <w:rsid w:val="002E1D2C"/>
    <w:rsid w:val="002E1E08"/>
    <w:rsid w:val="002E1E26"/>
    <w:rsid w:val="002E2185"/>
    <w:rsid w:val="002E2748"/>
    <w:rsid w:val="002E2A70"/>
    <w:rsid w:val="002E2B77"/>
    <w:rsid w:val="002E3412"/>
    <w:rsid w:val="002E3554"/>
    <w:rsid w:val="002E37B5"/>
    <w:rsid w:val="002E380E"/>
    <w:rsid w:val="002E39E5"/>
    <w:rsid w:val="002E3B41"/>
    <w:rsid w:val="002E3DF0"/>
    <w:rsid w:val="002E4608"/>
    <w:rsid w:val="002E4671"/>
    <w:rsid w:val="002E4907"/>
    <w:rsid w:val="002E4E82"/>
    <w:rsid w:val="002E4EE2"/>
    <w:rsid w:val="002E50C8"/>
    <w:rsid w:val="002E5335"/>
    <w:rsid w:val="002E55C1"/>
    <w:rsid w:val="002E5734"/>
    <w:rsid w:val="002E5811"/>
    <w:rsid w:val="002E5AF7"/>
    <w:rsid w:val="002E5CF2"/>
    <w:rsid w:val="002E6147"/>
    <w:rsid w:val="002E660A"/>
    <w:rsid w:val="002E6799"/>
    <w:rsid w:val="002E6C40"/>
    <w:rsid w:val="002E6CCF"/>
    <w:rsid w:val="002E6E72"/>
    <w:rsid w:val="002E706B"/>
    <w:rsid w:val="002E7523"/>
    <w:rsid w:val="002E77D2"/>
    <w:rsid w:val="002E7AA9"/>
    <w:rsid w:val="002E7ABC"/>
    <w:rsid w:val="002E7BCD"/>
    <w:rsid w:val="002F0567"/>
    <w:rsid w:val="002F077D"/>
    <w:rsid w:val="002F08DC"/>
    <w:rsid w:val="002F0A6D"/>
    <w:rsid w:val="002F1017"/>
    <w:rsid w:val="002F121B"/>
    <w:rsid w:val="002F1306"/>
    <w:rsid w:val="002F13EB"/>
    <w:rsid w:val="002F140F"/>
    <w:rsid w:val="002F182E"/>
    <w:rsid w:val="002F1B67"/>
    <w:rsid w:val="002F1BC0"/>
    <w:rsid w:val="002F1C28"/>
    <w:rsid w:val="002F2568"/>
    <w:rsid w:val="002F2624"/>
    <w:rsid w:val="002F29CB"/>
    <w:rsid w:val="002F2B44"/>
    <w:rsid w:val="002F2DA5"/>
    <w:rsid w:val="002F2EEA"/>
    <w:rsid w:val="002F32B9"/>
    <w:rsid w:val="002F3437"/>
    <w:rsid w:val="002F3659"/>
    <w:rsid w:val="002F3A9C"/>
    <w:rsid w:val="002F3BAD"/>
    <w:rsid w:val="002F3E3D"/>
    <w:rsid w:val="002F4122"/>
    <w:rsid w:val="002F41C9"/>
    <w:rsid w:val="002F476D"/>
    <w:rsid w:val="002F47C6"/>
    <w:rsid w:val="002F4893"/>
    <w:rsid w:val="002F48D9"/>
    <w:rsid w:val="002F4A47"/>
    <w:rsid w:val="002F4BDF"/>
    <w:rsid w:val="002F4C97"/>
    <w:rsid w:val="002F4FC1"/>
    <w:rsid w:val="002F50A4"/>
    <w:rsid w:val="002F538A"/>
    <w:rsid w:val="002F5EDF"/>
    <w:rsid w:val="002F6268"/>
    <w:rsid w:val="002F688E"/>
    <w:rsid w:val="002F6B0D"/>
    <w:rsid w:val="002F6B84"/>
    <w:rsid w:val="002F6D2F"/>
    <w:rsid w:val="002F6D5F"/>
    <w:rsid w:val="002F713D"/>
    <w:rsid w:val="002F7309"/>
    <w:rsid w:val="002F76CC"/>
    <w:rsid w:val="002F77CA"/>
    <w:rsid w:val="002F77DD"/>
    <w:rsid w:val="002F78D9"/>
    <w:rsid w:val="002F793B"/>
    <w:rsid w:val="002F7AC3"/>
    <w:rsid w:val="003001EC"/>
    <w:rsid w:val="00300613"/>
    <w:rsid w:val="00300895"/>
    <w:rsid w:val="003008AD"/>
    <w:rsid w:val="003008E3"/>
    <w:rsid w:val="00300C7C"/>
    <w:rsid w:val="00300C85"/>
    <w:rsid w:val="00300EF7"/>
    <w:rsid w:val="00300FF0"/>
    <w:rsid w:val="0030122E"/>
    <w:rsid w:val="00301354"/>
    <w:rsid w:val="0030179B"/>
    <w:rsid w:val="00301953"/>
    <w:rsid w:val="00301BE1"/>
    <w:rsid w:val="00302431"/>
    <w:rsid w:val="003026DD"/>
    <w:rsid w:val="003026F0"/>
    <w:rsid w:val="0030276D"/>
    <w:rsid w:val="00302946"/>
    <w:rsid w:val="00302A86"/>
    <w:rsid w:val="00302B76"/>
    <w:rsid w:val="00302C8D"/>
    <w:rsid w:val="00302D6C"/>
    <w:rsid w:val="00302E3D"/>
    <w:rsid w:val="00302F7C"/>
    <w:rsid w:val="00303307"/>
    <w:rsid w:val="00303524"/>
    <w:rsid w:val="00303BB2"/>
    <w:rsid w:val="00303F41"/>
    <w:rsid w:val="00303F7C"/>
    <w:rsid w:val="003041B9"/>
    <w:rsid w:val="003041DB"/>
    <w:rsid w:val="0030429A"/>
    <w:rsid w:val="003042F3"/>
    <w:rsid w:val="00304447"/>
    <w:rsid w:val="0030452E"/>
    <w:rsid w:val="003047CA"/>
    <w:rsid w:val="003048A6"/>
    <w:rsid w:val="003049D1"/>
    <w:rsid w:val="00304A1C"/>
    <w:rsid w:val="00304AA6"/>
    <w:rsid w:val="00304B2C"/>
    <w:rsid w:val="00304E0B"/>
    <w:rsid w:val="00304E21"/>
    <w:rsid w:val="00304E88"/>
    <w:rsid w:val="00305165"/>
    <w:rsid w:val="003051C3"/>
    <w:rsid w:val="00305253"/>
    <w:rsid w:val="003052FF"/>
    <w:rsid w:val="0030533E"/>
    <w:rsid w:val="003053A5"/>
    <w:rsid w:val="003053C2"/>
    <w:rsid w:val="003054C3"/>
    <w:rsid w:val="0030550F"/>
    <w:rsid w:val="00305895"/>
    <w:rsid w:val="00305BBF"/>
    <w:rsid w:val="00305CA8"/>
    <w:rsid w:val="00305DBB"/>
    <w:rsid w:val="00305DE3"/>
    <w:rsid w:val="0030610E"/>
    <w:rsid w:val="003061A9"/>
    <w:rsid w:val="00306342"/>
    <w:rsid w:val="003066F7"/>
    <w:rsid w:val="0030679B"/>
    <w:rsid w:val="003067B0"/>
    <w:rsid w:val="00306914"/>
    <w:rsid w:val="00306DA0"/>
    <w:rsid w:val="00306FED"/>
    <w:rsid w:val="003072FC"/>
    <w:rsid w:val="003076A7"/>
    <w:rsid w:val="003078FC"/>
    <w:rsid w:val="003079E6"/>
    <w:rsid w:val="00307A0B"/>
    <w:rsid w:val="00307C81"/>
    <w:rsid w:val="003100B4"/>
    <w:rsid w:val="003102B7"/>
    <w:rsid w:val="00310475"/>
    <w:rsid w:val="003107E7"/>
    <w:rsid w:val="0031083B"/>
    <w:rsid w:val="00310A41"/>
    <w:rsid w:val="00310AF1"/>
    <w:rsid w:val="00310AF2"/>
    <w:rsid w:val="00310C9B"/>
    <w:rsid w:val="00310CE4"/>
    <w:rsid w:val="00310F93"/>
    <w:rsid w:val="0031100E"/>
    <w:rsid w:val="00311194"/>
    <w:rsid w:val="0031125F"/>
    <w:rsid w:val="0031136C"/>
    <w:rsid w:val="0031177F"/>
    <w:rsid w:val="00311B7B"/>
    <w:rsid w:val="00311F51"/>
    <w:rsid w:val="00312116"/>
    <w:rsid w:val="003122E8"/>
    <w:rsid w:val="00312635"/>
    <w:rsid w:val="00312B96"/>
    <w:rsid w:val="00312F7C"/>
    <w:rsid w:val="00313B7C"/>
    <w:rsid w:val="00313C32"/>
    <w:rsid w:val="00314017"/>
    <w:rsid w:val="00314034"/>
    <w:rsid w:val="00314129"/>
    <w:rsid w:val="003142E9"/>
    <w:rsid w:val="00314397"/>
    <w:rsid w:val="003144BA"/>
    <w:rsid w:val="00314523"/>
    <w:rsid w:val="00314604"/>
    <w:rsid w:val="00314645"/>
    <w:rsid w:val="003149A3"/>
    <w:rsid w:val="00315000"/>
    <w:rsid w:val="0031550B"/>
    <w:rsid w:val="00315540"/>
    <w:rsid w:val="00315A9D"/>
    <w:rsid w:val="00315E08"/>
    <w:rsid w:val="00315E2C"/>
    <w:rsid w:val="00316755"/>
    <w:rsid w:val="003169B6"/>
    <w:rsid w:val="00316C4B"/>
    <w:rsid w:val="00316C69"/>
    <w:rsid w:val="003171CB"/>
    <w:rsid w:val="00317261"/>
    <w:rsid w:val="0031736F"/>
    <w:rsid w:val="00317423"/>
    <w:rsid w:val="00317766"/>
    <w:rsid w:val="003179CF"/>
    <w:rsid w:val="00317B29"/>
    <w:rsid w:val="00317CEB"/>
    <w:rsid w:val="00317E3D"/>
    <w:rsid w:val="00320010"/>
    <w:rsid w:val="00320059"/>
    <w:rsid w:val="003201FF"/>
    <w:rsid w:val="00320682"/>
    <w:rsid w:val="00320862"/>
    <w:rsid w:val="00320881"/>
    <w:rsid w:val="003214CE"/>
    <w:rsid w:val="00321665"/>
    <w:rsid w:val="00321A5B"/>
    <w:rsid w:val="00321D00"/>
    <w:rsid w:val="00321D56"/>
    <w:rsid w:val="00321F48"/>
    <w:rsid w:val="00321FB7"/>
    <w:rsid w:val="00321FBA"/>
    <w:rsid w:val="003220F3"/>
    <w:rsid w:val="0032220B"/>
    <w:rsid w:val="0032238A"/>
    <w:rsid w:val="00322A19"/>
    <w:rsid w:val="00322B6A"/>
    <w:rsid w:val="00322C92"/>
    <w:rsid w:val="00322CD0"/>
    <w:rsid w:val="00322ED9"/>
    <w:rsid w:val="00322EE0"/>
    <w:rsid w:val="00322FA3"/>
    <w:rsid w:val="00323450"/>
    <w:rsid w:val="0032374A"/>
    <w:rsid w:val="00323A55"/>
    <w:rsid w:val="00323BC5"/>
    <w:rsid w:val="00323BEB"/>
    <w:rsid w:val="00324673"/>
    <w:rsid w:val="00324B9B"/>
    <w:rsid w:val="00324D46"/>
    <w:rsid w:val="00324DE1"/>
    <w:rsid w:val="003250DD"/>
    <w:rsid w:val="003257CD"/>
    <w:rsid w:val="00325B0D"/>
    <w:rsid w:val="00325B56"/>
    <w:rsid w:val="00325DF1"/>
    <w:rsid w:val="0032622C"/>
    <w:rsid w:val="003264E9"/>
    <w:rsid w:val="0032655A"/>
    <w:rsid w:val="003268E8"/>
    <w:rsid w:val="00326C01"/>
    <w:rsid w:val="00326D93"/>
    <w:rsid w:val="003273F4"/>
    <w:rsid w:val="0032744B"/>
    <w:rsid w:val="00327607"/>
    <w:rsid w:val="00327618"/>
    <w:rsid w:val="00327764"/>
    <w:rsid w:val="003279D2"/>
    <w:rsid w:val="00327C5F"/>
    <w:rsid w:val="00327FFA"/>
    <w:rsid w:val="00330315"/>
    <w:rsid w:val="003304CA"/>
    <w:rsid w:val="00330798"/>
    <w:rsid w:val="003308CB"/>
    <w:rsid w:val="00330EAE"/>
    <w:rsid w:val="00330F5F"/>
    <w:rsid w:val="003313FF"/>
    <w:rsid w:val="00331867"/>
    <w:rsid w:val="00331871"/>
    <w:rsid w:val="003319F5"/>
    <w:rsid w:val="00331AB5"/>
    <w:rsid w:val="00331DED"/>
    <w:rsid w:val="0033227C"/>
    <w:rsid w:val="003322F4"/>
    <w:rsid w:val="0033265D"/>
    <w:rsid w:val="00332704"/>
    <w:rsid w:val="0033272D"/>
    <w:rsid w:val="003328DC"/>
    <w:rsid w:val="00332BE1"/>
    <w:rsid w:val="00332D95"/>
    <w:rsid w:val="00333302"/>
    <w:rsid w:val="00333880"/>
    <w:rsid w:val="0033389B"/>
    <w:rsid w:val="003338D8"/>
    <w:rsid w:val="0033391C"/>
    <w:rsid w:val="00333CAD"/>
    <w:rsid w:val="00333F29"/>
    <w:rsid w:val="0033435C"/>
    <w:rsid w:val="00334A73"/>
    <w:rsid w:val="00334AA7"/>
    <w:rsid w:val="00334E6D"/>
    <w:rsid w:val="0033504D"/>
    <w:rsid w:val="003351D9"/>
    <w:rsid w:val="0033532E"/>
    <w:rsid w:val="00335BDA"/>
    <w:rsid w:val="00335CE3"/>
    <w:rsid w:val="00335CE8"/>
    <w:rsid w:val="00335E9E"/>
    <w:rsid w:val="00336146"/>
    <w:rsid w:val="003363EC"/>
    <w:rsid w:val="003364E2"/>
    <w:rsid w:val="00336662"/>
    <w:rsid w:val="003366AE"/>
    <w:rsid w:val="003369EE"/>
    <w:rsid w:val="00336A2E"/>
    <w:rsid w:val="00336A91"/>
    <w:rsid w:val="00336DB6"/>
    <w:rsid w:val="00336F08"/>
    <w:rsid w:val="003370CB"/>
    <w:rsid w:val="0033723E"/>
    <w:rsid w:val="0033735C"/>
    <w:rsid w:val="0033798E"/>
    <w:rsid w:val="00337BE0"/>
    <w:rsid w:val="00337F55"/>
    <w:rsid w:val="00337F79"/>
    <w:rsid w:val="0034027E"/>
    <w:rsid w:val="00340626"/>
    <w:rsid w:val="00340750"/>
    <w:rsid w:val="00340943"/>
    <w:rsid w:val="00340B0D"/>
    <w:rsid w:val="00340B2F"/>
    <w:rsid w:val="00340CA2"/>
    <w:rsid w:val="00340DA9"/>
    <w:rsid w:val="00340ED5"/>
    <w:rsid w:val="00340F9F"/>
    <w:rsid w:val="00341359"/>
    <w:rsid w:val="003413D6"/>
    <w:rsid w:val="0034152B"/>
    <w:rsid w:val="003416C2"/>
    <w:rsid w:val="0034187B"/>
    <w:rsid w:val="00341AA8"/>
    <w:rsid w:val="00341C05"/>
    <w:rsid w:val="00341D0F"/>
    <w:rsid w:val="00341E64"/>
    <w:rsid w:val="00341EF2"/>
    <w:rsid w:val="003420BF"/>
    <w:rsid w:val="003423CA"/>
    <w:rsid w:val="003425BE"/>
    <w:rsid w:val="0034287B"/>
    <w:rsid w:val="00342965"/>
    <w:rsid w:val="003429B5"/>
    <w:rsid w:val="00342BA1"/>
    <w:rsid w:val="00342BE0"/>
    <w:rsid w:val="00342D98"/>
    <w:rsid w:val="00342FDE"/>
    <w:rsid w:val="0034313B"/>
    <w:rsid w:val="003431AA"/>
    <w:rsid w:val="003431F1"/>
    <w:rsid w:val="00343F07"/>
    <w:rsid w:val="003443FB"/>
    <w:rsid w:val="00344488"/>
    <w:rsid w:val="003444CF"/>
    <w:rsid w:val="003445AC"/>
    <w:rsid w:val="00344760"/>
    <w:rsid w:val="003447C1"/>
    <w:rsid w:val="00344B24"/>
    <w:rsid w:val="00344C49"/>
    <w:rsid w:val="00344E5B"/>
    <w:rsid w:val="0034500C"/>
    <w:rsid w:val="003450B8"/>
    <w:rsid w:val="00345185"/>
    <w:rsid w:val="003458B8"/>
    <w:rsid w:val="00345B6E"/>
    <w:rsid w:val="003461F2"/>
    <w:rsid w:val="00346411"/>
    <w:rsid w:val="003466AD"/>
    <w:rsid w:val="003469AA"/>
    <w:rsid w:val="00346BD2"/>
    <w:rsid w:val="00346CE0"/>
    <w:rsid w:val="00346D2A"/>
    <w:rsid w:val="00346F1B"/>
    <w:rsid w:val="00347337"/>
    <w:rsid w:val="003473BB"/>
    <w:rsid w:val="003473FB"/>
    <w:rsid w:val="00347505"/>
    <w:rsid w:val="00347690"/>
    <w:rsid w:val="00347719"/>
    <w:rsid w:val="00347A1E"/>
    <w:rsid w:val="00347C45"/>
    <w:rsid w:val="00347D45"/>
    <w:rsid w:val="00347DF7"/>
    <w:rsid w:val="00347F2F"/>
    <w:rsid w:val="00347F32"/>
    <w:rsid w:val="00347FD5"/>
    <w:rsid w:val="003502F1"/>
    <w:rsid w:val="003503E7"/>
    <w:rsid w:val="00350434"/>
    <w:rsid w:val="00350557"/>
    <w:rsid w:val="0035080D"/>
    <w:rsid w:val="00350967"/>
    <w:rsid w:val="00350D13"/>
    <w:rsid w:val="00350EDC"/>
    <w:rsid w:val="003510D7"/>
    <w:rsid w:val="003514E0"/>
    <w:rsid w:val="0035152F"/>
    <w:rsid w:val="00351630"/>
    <w:rsid w:val="00351C0B"/>
    <w:rsid w:val="00351FC7"/>
    <w:rsid w:val="003520DC"/>
    <w:rsid w:val="0035218F"/>
    <w:rsid w:val="00352337"/>
    <w:rsid w:val="003524DB"/>
    <w:rsid w:val="00352522"/>
    <w:rsid w:val="003525B9"/>
    <w:rsid w:val="003528A2"/>
    <w:rsid w:val="0035296F"/>
    <w:rsid w:val="00352E69"/>
    <w:rsid w:val="00352EE8"/>
    <w:rsid w:val="00352EF6"/>
    <w:rsid w:val="003530CF"/>
    <w:rsid w:val="003530D4"/>
    <w:rsid w:val="00353333"/>
    <w:rsid w:val="003533D7"/>
    <w:rsid w:val="003536C8"/>
    <w:rsid w:val="00353907"/>
    <w:rsid w:val="00353C8B"/>
    <w:rsid w:val="00353E7D"/>
    <w:rsid w:val="003542BB"/>
    <w:rsid w:val="003542D4"/>
    <w:rsid w:val="003543DA"/>
    <w:rsid w:val="00354514"/>
    <w:rsid w:val="0035483F"/>
    <w:rsid w:val="00354B65"/>
    <w:rsid w:val="00354B6B"/>
    <w:rsid w:val="00354B7A"/>
    <w:rsid w:val="00355439"/>
    <w:rsid w:val="003555F5"/>
    <w:rsid w:val="00355B3F"/>
    <w:rsid w:val="0035616C"/>
    <w:rsid w:val="00356450"/>
    <w:rsid w:val="00356A2D"/>
    <w:rsid w:val="00356ADE"/>
    <w:rsid w:val="00356DB8"/>
    <w:rsid w:val="00356EF5"/>
    <w:rsid w:val="00357466"/>
    <w:rsid w:val="0035798B"/>
    <w:rsid w:val="00357999"/>
    <w:rsid w:val="00357A18"/>
    <w:rsid w:val="00357EF9"/>
    <w:rsid w:val="00357FCD"/>
    <w:rsid w:val="00360101"/>
    <w:rsid w:val="00360125"/>
    <w:rsid w:val="00360258"/>
    <w:rsid w:val="0036088E"/>
    <w:rsid w:val="003608DB"/>
    <w:rsid w:val="00360D85"/>
    <w:rsid w:val="00360F07"/>
    <w:rsid w:val="00361109"/>
    <w:rsid w:val="00361864"/>
    <w:rsid w:val="00361A6B"/>
    <w:rsid w:val="00362166"/>
    <w:rsid w:val="00362178"/>
    <w:rsid w:val="003623F6"/>
    <w:rsid w:val="00362556"/>
    <w:rsid w:val="003626EB"/>
    <w:rsid w:val="00362709"/>
    <w:rsid w:val="0036283F"/>
    <w:rsid w:val="00362862"/>
    <w:rsid w:val="00362CBC"/>
    <w:rsid w:val="00362EED"/>
    <w:rsid w:val="00362F6B"/>
    <w:rsid w:val="00362F78"/>
    <w:rsid w:val="00363328"/>
    <w:rsid w:val="0036335B"/>
    <w:rsid w:val="003636C9"/>
    <w:rsid w:val="00363D5D"/>
    <w:rsid w:val="00363F44"/>
    <w:rsid w:val="003640E2"/>
    <w:rsid w:val="003641FE"/>
    <w:rsid w:val="003642E2"/>
    <w:rsid w:val="003644C1"/>
    <w:rsid w:val="0036461E"/>
    <w:rsid w:val="0036495E"/>
    <w:rsid w:val="00364965"/>
    <w:rsid w:val="00364B70"/>
    <w:rsid w:val="00364DAF"/>
    <w:rsid w:val="00364F6F"/>
    <w:rsid w:val="0036509B"/>
    <w:rsid w:val="003652AD"/>
    <w:rsid w:val="0036554A"/>
    <w:rsid w:val="00365565"/>
    <w:rsid w:val="003656AA"/>
    <w:rsid w:val="00365C98"/>
    <w:rsid w:val="00365EE8"/>
    <w:rsid w:val="00365F42"/>
    <w:rsid w:val="00365F6D"/>
    <w:rsid w:val="00366821"/>
    <w:rsid w:val="00366965"/>
    <w:rsid w:val="003671D4"/>
    <w:rsid w:val="00367409"/>
    <w:rsid w:val="00367433"/>
    <w:rsid w:val="0036748C"/>
    <w:rsid w:val="00367716"/>
    <w:rsid w:val="00367745"/>
    <w:rsid w:val="00367816"/>
    <w:rsid w:val="00367ACE"/>
    <w:rsid w:val="00367B01"/>
    <w:rsid w:val="00367DCF"/>
    <w:rsid w:val="00367F9B"/>
    <w:rsid w:val="003700CC"/>
    <w:rsid w:val="003704E1"/>
    <w:rsid w:val="00370536"/>
    <w:rsid w:val="00370E4B"/>
    <w:rsid w:val="00370F6E"/>
    <w:rsid w:val="00371062"/>
    <w:rsid w:val="00371091"/>
    <w:rsid w:val="003714B2"/>
    <w:rsid w:val="00371518"/>
    <w:rsid w:val="0037158B"/>
    <w:rsid w:val="003717F1"/>
    <w:rsid w:val="00371B10"/>
    <w:rsid w:val="00371BC0"/>
    <w:rsid w:val="00371ECA"/>
    <w:rsid w:val="0037209F"/>
    <w:rsid w:val="003726B7"/>
    <w:rsid w:val="00372984"/>
    <w:rsid w:val="00372AE1"/>
    <w:rsid w:val="00372B4A"/>
    <w:rsid w:val="00373254"/>
    <w:rsid w:val="003733D9"/>
    <w:rsid w:val="003734B6"/>
    <w:rsid w:val="00373684"/>
    <w:rsid w:val="003738DA"/>
    <w:rsid w:val="00373AFB"/>
    <w:rsid w:val="00373CCC"/>
    <w:rsid w:val="00373F24"/>
    <w:rsid w:val="00373FE6"/>
    <w:rsid w:val="0037417E"/>
    <w:rsid w:val="00374622"/>
    <w:rsid w:val="0037480E"/>
    <w:rsid w:val="00374E3A"/>
    <w:rsid w:val="00374FE9"/>
    <w:rsid w:val="0037539C"/>
    <w:rsid w:val="00375424"/>
    <w:rsid w:val="003754E1"/>
    <w:rsid w:val="00375597"/>
    <w:rsid w:val="00375630"/>
    <w:rsid w:val="00375BF6"/>
    <w:rsid w:val="00375CBE"/>
    <w:rsid w:val="00375DED"/>
    <w:rsid w:val="00375EE8"/>
    <w:rsid w:val="00375FDA"/>
    <w:rsid w:val="00376585"/>
    <w:rsid w:val="00376651"/>
    <w:rsid w:val="00376816"/>
    <w:rsid w:val="00376844"/>
    <w:rsid w:val="00376C16"/>
    <w:rsid w:val="00376D11"/>
    <w:rsid w:val="00376DE8"/>
    <w:rsid w:val="00376F1D"/>
    <w:rsid w:val="003770C0"/>
    <w:rsid w:val="00377319"/>
    <w:rsid w:val="0037731B"/>
    <w:rsid w:val="0037740F"/>
    <w:rsid w:val="003774D4"/>
    <w:rsid w:val="0037768C"/>
    <w:rsid w:val="0037799A"/>
    <w:rsid w:val="00377A24"/>
    <w:rsid w:val="00377E52"/>
    <w:rsid w:val="0037F875"/>
    <w:rsid w:val="003800DD"/>
    <w:rsid w:val="0038026E"/>
    <w:rsid w:val="0038028B"/>
    <w:rsid w:val="003805D6"/>
    <w:rsid w:val="003806E4"/>
    <w:rsid w:val="00380AC1"/>
    <w:rsid w:val="00380BE4"/>
    <w:rsid w:val="00380E9B"/>
    <w:rsid w:val="00381015"/>
    <w:rsid w:val="0038143B"/>
    <w:rsid w:val="003814F7"/>
    <w:rsid w:val="00381E30"/>
    <w:rsid w:val="0038243E"/>
    <w:rsid w:val="003824AD"/>
    <w:rsid w:val="0038251C"/>
    <w:rsid w:val="0038264C"/>
    <w:rsid w:val="003826D2"/>
    <w:rsid w:val="00382880"/>
    <w:rsid w:val="003829D3"/>
    <w:rsid w:val="00382A18"/>
    <w:rsid w:val="00382AA2"/>
    <w:rsid w:val="00382ACB"/>
    <w:rsid w:val="00382B3E"/>
    <w:rsid w:val="00382C0C"/>
    <w:rsid w:val="00382DAE"/>
    <w:rsid w:val="00382F65"/>
    <w:rsid w:val="003830FC"/>
    <w:rsid w:val="00383902"/>
    <w:rsid w:val="003839CE"/>
    <w:rsid w:val="00383B86"/>
    <w:rsid w:val="00383C9A"/>
    <w:rsid w:val="00383D49"/>
    <w:rsid w:val="00383F4D"/>
    <w:rsid w:val="003843D7"/>
    <w:rsid w:val="0038452B"/>
    <w:rsid w:val="00384552"/>
    <w:rsid w:val="0038459E"/>
    <w:rsid w:val="00384611"/>
    <w:rsid w:val="00384ABB"/>
    <w:rsid w:val="00384AE0"/>
    <w:rsid w:val="00384C20"/>
    <w:rsid w:val="00384E52"/>
    <w:rsid w:val="0038500C"/>
    <w:rsid w:val="00385295"/>
    <w:rsid w:val="0038532C"/>
    <w:rsid w:val="003853F6"/>
    <w:rsid w:val="0038556F"/>
    <w:rsid w:val="0038578E"/>
    <w:rsid w:val="00385CB4"/>
    <w:rsid w:val="00385D1A"/>
    <w:rsid w:val="00385D43"/>
    <w:rsid w:val="00385DBC"/>
    <w:rsid w:val="00385E39"/>
    <w:rsid w:val="00385E59"/>
    <w:rsid w:val="0038630D"/>
    <w:rsid w:val="003864AE"/>
    <w:rsid w:val="003865A8"/>
    <w:rsid w:val="00386A36"/>
    <w:rsid w:val="00386B20"/>
    <w:rsid w:val="00386B7F"/>
    <w:rsid w:val="00386BB5"/>
    <w:rsid w:val="00386D61"/>
    <w:rsid w:val="00386D7C"/>
    <w:rsid w:val="00386F24"/>
    <w:rsid w:val="00386FED"/>
    <w:rsid w:val="00387056"/>
    <w:rsid w:val="0038739C"/>
    <w:rsid w:val="003874E6"/>
    <w:rsid w:val="0038755D"/>
    <w:rsid w:val="003878DE"/>
    <w:rsid w:val="00387AA7"/>
    <w:rsid w:val="00387EA9"/>
    <w:rsid w:val="00387F13"/>
    <w:rsid w:val="00387FA6"/>
    <w:rsid w:val="00390051"/>
    <w:rsid w:val="003902B6"/>
    <w:rsid w:val="003903E6"/>
    <w:rsid w:val="003905C3"/>
    <w:rsid w:val="0039094B"/>
    <w:rsid w:val="00390BF7"/>
    <w:rsid w:val="00390C65"/>
    <w:rsid w:val="003910C9"/>
    <w:rsid w:val="003911BC"/>
    <w:rsid w:val="00391227"/>
    <w:rsid w:val="003912A4"/>
    <w:rsid w:val="003912C4"/>
    <w:rsid w:val="00391378"/>
    <w:rsid w:val="003914C8"/>
    <w:rsid w:val="003915B0"/>
    <w:rsid w:val="003915F3"/>
    <w:rsid w:val="003917A8"/>
    <w:rsid w:val="00391914"/>
    <w:rsid w:val="00391CD1"/>
    <w:rsid w:val="003920B1"/>
    <w:rsid w:val="003922BF"/>
    <w:rsid w:val="00392E4E"/>
    <w:rsid w:val="003930EB"/>
    <w:rsid w:val="003931D8"/>
    <w:rsid w:val="00393229"/>
    <w:rsid w:val="0039345E"/>
    <w:rsid w:val="00393509"/>
    <w:rsid w:val="00393569"/>
    <w:rsid w:val="00393C42"/>
    <w:rsid w:val="00393E53"/>
    <w:rsid w:val="00393EFB"/>
    <w:rsid w:val="00394167"/>
    <w:rsid w:val="00394172"/>
    <w:rsid w:val="003942F1"/>
    <w:rsid w:val="00394705"/>
    <w:rsid w:val="0039480F"/>
    <w:rsid w:val="003949B4"/>
    <w:rsid w:val="00394B28"/>
    <w:rsid w:val="00395151"/>
    <w:rsid w:val="003951BF"/>
    <w:rsid w:val="0039525E"/>
    <w:rsid w:val="00395514"/>
    <w:rsid w:val="0039554E"/>
    <w:rsid w:val="003957BB"/>
    <w:rsid w:val="00395C25"/>
    <w:rsid w:val="00395C2B"/>
    <w:rsid w:val="00395C4B"/>
    <w:rsid w:val="00395C7A"/>
    <w:rsid w:val="00395CC6"/>
    <w:rsid w:val="00395E22"/>
    <w:rsid w:val="00395FEF"/>
    <w:rsid w:val="003961B5"/>
    <w:rsid w:val="0039638D"/>
    <w:rsid w:val="00396828"/>
    <w:rsid w:val="00396E02"/>
    <w:rsid w:val="00397119"/>
    <w:rsid w:val="0039723A"/>
    <w:rsid w:val="003975C0"/>
    <w:rsid w:val="0039789F"/>
    <w:rsid w:val="003979F8"/>
    <w:rsid w:val="00397D6F"/>
    <w:rsid w:val="003A0146"/>
    <w:rsid w:val="003A03F0"/>
    <w:rsid w:val="003A05E7"/>
    <w:rsid w:val="003A0743"/>
    <w:rsid w:val="003A0A23"/>
    <w:rsid w:val="003A0C86"/>
    <w:rsid w:val="003A0EBC"/>
    <w:rsid w:val="003A1743"/>
    <w:rsid w:val="003A193D"/>
    <w:rsid w:val="003A21D7"/>
    <w:rsid w:val="003A24F9"/>
    <w:rsid w:val="003A2534"/>
    <w:rsid w:val="003A25B0"/>
    <w:rsid w:val="003A270F"/>
    <w:rsid w:val="003A2E76"/>
    <w:rsid w:val="003A2EA3"/>
    <w:rsid w:val="003A309A"/>
    <w:rsid w:val="003A3237"/>
    <w:rsid w:val="003A3314"/>
    <w:rsid w:val="003A335C"/>
    <w:rsid w:val="003A36D3"/>
    <w:rsid w:val="003A37AB"/>
    <w:rsid w:val="003A3B8F"/>
    <w:rsid w:val="003A3D68"/>
    <w:rsid w:val="003A3EF6"/>
    <w:rsid w:val="003A4264"/>
    <w:rsid w:val="003A4296"/>
    <w:rsid w:val="003A42CC"/>
    <w:rsid w:val="003A42F5"/>
    <w:rsid w:val="003A4319"/>
    <w:rsid w:val="003A4523"/>
    <w:rsid w:val="003A4954"/>
    <w:rsid w:val="003A4AA7"/>
    <w:rsid w:val="003A4AD7"/>
    <w:rsid w:val="003A4D30"/>
    <w:rsid w:val="003A4F84"/>
    <w:rsid w:val="003A50F8"/>
    <w:rsid w:val="003A52C4"/>
    <w:rsid w:val="003A5735"/>
    <w:rsid w:val="003A58C7"/>
    <w:rsid w:val="003A5ACF"/>
    <w:rsid w:val="003A618E"/>
    <w:rsid w:val="003A66D7"/>
    <w:rsid w:val="003A6C29"/>
    <w:rsid w:val="003A6CDC"/>
    <w:rsid w:val="003A7265"/>
    <w:rsid w:val="003A7367"/>
    <w:rsid w:val="003A797C"/>
    <w:rsid w:val="003A7A6F"/>
    <w:rsid w:val="003A7BD8"/>
    <w:rsid w:val="003A7FF6"/>
    <w:rsid w:val="003B03F4"/>
    <w:rsid w:val="003B0413"/>
    <w:rsid w:val="003B0491"/>
    <w:rsid w:val="003B0677"/>
    <w:rsid w:val="003B083A"/>
    <w:rsid w:val="003B0A0F"/>
    <w:rsid w:val="003B0B9C"/>
    <w:rsid w:val="003B0D40"/>
    <w:rsid w:val="003B0EC1"/>
    <w:rsid w:val="003B12DD"/>
    <w:rsid w:val="003B16D2"/>
    <w:rsid w:val="003B192B"/>
    <w:rsid w:val="003B1B21"/>
    <w:rsid w:val="003B1C17"/>
    <w:rsid w:val="003B1CB6"/>
    <w:rsid w:val="003B202F"/>
    <w:rsid w:val="003B206D"/>
    <w:rsid w:val="003B209A"/>
    <w:rsid w:val="003B20B8"/>
    <w:rsid w:val="003B2198"/>
    <w:rsid w:val="003B23E3"/>
    <w:rsid w:val="003B2498"/>
    <w:rsid w:val="003B27B6"/>
    <w:rsid w:val="003B28BC"/>
    <w:rsid w:val="003B29FE"/>
    <w:rsid w:val="003B32F5"/>
    <w:rsid w:val="003B3552"/>
    <w:rsid w:val="003B38CD"/>
    <w:rsid w:val="003B3A56"/>
    <w:rsid w:val="003B3D10"/>
    <w:rsid w:val="003B3F0A"/>
    <w:rsid w:val="003B44FE"/>
    <w:rsid w:val="003B46B5"/>
    <w:rsid w:val="003B4849"/>
    <w:rsid w:val="003B4A40"/>
    <w:rsid w:val="003B4A70"/>
    <w:rsid w:val="003B4D70"/>
    <w:rsid w:val="003B4EDF"/>
    <w:rsid w:val="003B4F2E"/>
    <w:rsid w:val="003B55EE"/>
    <w:rsid w:val="003B580A"/>
    <w:rsid w:val="003B58B3"/>
    <w:rsid w:val="003B5B16"/>
    <w:rsid w:val="003B5B68"/>
    <w:rsid w:val="003B5C09"/>
    <w:rsid w:val="003B5C97"/>
    <w:rsid w:val="003B5D35"/>
    <w:rsid w:val="003B605D"/>
    <w:rsid w:val="003B6110"/>
    <w:rsid w:val="003B6255"/>
    <w:rsid w:val="003B632F"/>
    <w:rsid w:val="003B6346"/>
    <w:rsid w:val="003B6427"/>
    <w:rsid w:val="003B65D2"/>
    <w:rsid w:val="003B68ED"/>
    <w:rsid w:val="003B6960"/>
    <w:rsid w:val="003B6A9C"/>
    <w:rsid w:val="003B6B94"/>
    <w:rsid w:val="003B6C95"/>
    <w:rsid w:val="003B6DB5"/>
    <w:rsid w:val="003B6E55"/>
    <w:rsid w:val="003B7014"/>
    <w:rsid w:val="003B76BF"/>
    <w:rsid w:val="003B7716"/>
    <w:rsid w:val="003B7A53"/>
    <w:rsid w:val="003B7B24"/>
    <w:rsid w:val="003B7BB9"/>
    <w:rsid w:val="003B7BEB"/>
    <w:rsid w:val="003B7C53"/>
    <w:rsid w:val="003B7E31"/>
    <w:rsid w:val="003B7ECE"/>
    <w:rsid w:val="003C00AB"/>
    <w:rsid w:val="003C041C"/>
    <w:rsid w:val="003C0F40"/>
    <w:rsid w:val="003C0F54"/>
    <w:rsid w:val="003C0FEF"/>
    <w:rsid w:val="003C121D"/>
    <w:rsid w:val="003C133F"/>
    <w:rsid w:val="003C1658"/>
    <w:rsid w:val="003C1867"/>
    <w:rsid w:val="003C188E"/>
    <w:rsid w:val="003C1937"/>
    <w:rsid w:val="003C1E7C"/>
    <w:rsid w:val="003C1F0B"/>
    <w:rsid w:val="003C21B2"/>
    <w:rsid w:val="003C260C"/>
    <w:rsid w:val="003C277F"/>
    <w:rsid w:val="003C281D"/>
    <w:rsid w:val="003C2897"/>
    <w:rsid w:val="003C292B"/>
    <w:rsid w:val="003C29EE"/>
    <w:rsid w:val="003C2C8D"/>
    <w:rsid w:val="003C2E50"/>
    <w:rsid w:val="003C3016"/>
    <w:rsid w:val="003C319E"/>
    <w:rsid w:val="003C33A3"/>
    <w:rsid w:val="003C387E"/>
    <w:rsid w:val="003C3ACE"/>
    <w:rsid w:val="003C3CCD"/>
    <w:rsid w:val="003C3D25"/>
    <w:rsid w:val="003C3DAF"/>
    <w:rsid w:val="003C3DB9"/>
    <w:rsid w:val="003C3F26"/>
    <w:rsid w:val="003C40A4"/>
    <w:rsid w:val="003C4308"/>
    <w:rsid w:val="003C44E3"/>
    <w:rsid w:val="003C45A6"/>
    <w:rsid w:val="003C4DC1"/>
    <w:rsid w:val="003C4ED1"/>
    <w:rsid w:val="003C4EEA"/>
    <w:rsid w:val="003C511B"/>
    <w:rsid w:val="003C53A9"/>
    <w:rsid w:val="003C587F"/>
    <w:rsid w:val="003C5A7A"/>
    <w:rsid w:val="003C6073"/>
    <w:rsid w:val="003C60AF"/>
    <w:rsid w:val="003C60B2"/>
    <w:rsid w:val="003C64B5"/>
    <w:rsid w:val="003C64F7"/>
    <w:rsid w:val="003C660F"/>
    <w:rsid w:val="003C675B"/>
    <w:rsid w:val="003C690E"/>
    <w:rsid w:val="003C6C49"/>
    <w:rsid w:val="003C6D10"/>
    <w:rsid w:val="003C6D72"/>
    <w:rsid w:val="003C6FBE"/>
    <w:rsid w:val="003C6FFB"/>
    <w:rsid w:val="003C74C2"/>
    <w:rsid w:val="003C757F"/>
    <w:rsid w:val="003C75B1"/>
    <w:rsid w:val="003C75B4"/>
    <w:rsid w:val="003C7820"/>
    <w:rsid w:val="003C79A3"/>
    <w:rsid w:val="003CC041"/>
    <w:rsid w:val="003D00D2"/>
    <w:rsid w:val="003D056E"/>
    <w:rsid w:val="003D0AE2"/>
    <w:rsid w:val="003D0AFB"/>
    <w:rsid w:val="003D0BD2"/>
    <w:rsid w:val="003D0BE3"/>
    <w:rsid w:val="003D1331"/>
    <w:rsid w:val="003D1730"/>
    <w:rsid w:val="003D184B"/>
    <w:rsid w:val="003D1C0A"/>
    <w:rsid w:val="003D1C91"/>
    <w:rsid w:val="003D20D5"/>
    <w:rsid w:val="003D21F7"/>
    <w:rsid w:val="003D228D"/>
    <w:rsid w:val="003D23EE"/>
    <w:rsid w:val="003D2589"/>
    <w:rsid w:val="003D25F4"/>
    <w:rsid w:val="003D26A3"/>
    <w:rsid w:val="003D26D5"/>
    <w:rsid w:val="003D26F7"/>
    <w:rsid w:val="003D2CD5"/>
    <w:rsid w:val="003D2CEE"/>
    <w:rsid w:val="003D2F99"/>
    <w:rsid w:val="003D30D6"/>
    <w:rsid w:val="003D3325"/>
    <w:rsid w:val="003D34E8"/>
    <w:rsid w:val="003D3A0C"/>
    <w:rsid w:val="003D3E70"/>
    <w:rsid w:val="003D413F"/>
    <w:rsid w:val="003D41F2"/>
    <w:rsid w:val="003D4937"/>
    <w:rsid w:val="003D4B9D"/>
    <w:rsid w:val="003D4E2B"/>
    <w:rsid w:val="003D4F92"/>
    <w:rsid w:val="003D576D"/>
    <w:rsid w:val="003D5A5D"/>
    <w:rsid w:val="003D5CD5"/>
    <w:rsid w:val="003D5DAD"/>
    <w:rsid w:val="003D5E46"/>
    <w:rsid w:val="003D6151"/>
    <w:rsid w:val="003D61CE"/>
    <w:rsid w:val="003D6235"/>
    <w:rsid w:val="003D630E"/>
    <w:rsid w:val="003D6672"/>
    <w:rsid w:val="003D670E"/>
    <w:rsid w:val="003D684E"/>
    <w:rsid w:val="003D690B"/>
    <w:rsid w:val="003D69FF"/>
    <w:rsid w:val="003D6CA1"/>
    <w:rsid w:val="003D6EE8"/>
    <w:rsid w:val="003D6F6F"/>
    <w:rsid w:val="003D728F"/>
    <w:rsid w:val="003D746B"/>
    <w:rsid w:val="003D76CD"/>
    <w:rsid w:val="003D76F9"/>
    <w:rsid w:val="003D7B0C"/>
    <w:rsid w:val="003D7CF1"/>
    <w:rsid w:val="003E025F"/>
    <w:rsid w:val="003E02EF"/>
    <w:rsid w:val="003E0438"/>
    <w:rsid w:val="003E0730"/>
    <w:rsid w:val="003E0A59"/>
    <w:rsid w:val="003E0E48"/>
    <w:rsid w:val="003E0EDC"/>
    <w:rsid w:val="003E1178"/>
    <w:rsid w:val="003E131D"/>
    <w:rsid w:val="003E1723"/>
    <w:rsid w:val="003E1769"/>
    <w:rsid w:val="003E17EC"/>
    <w:rsid w:val="003E1A3A"/>
    <w:rsid w:val="003E1A8D"/>
    <w:rsid w:val="003E1B7B"/>
    <w:rsid w:val="003E1BC0"/>
    <w:rsid w:val="003E1BC4"/>
    <w:rsid w:val="003E1D15"/>
    <w:rsid w:val="003E1D48"/>
    <w:rsid w:val="003E1D49"/>
    <w:rsid w:val="003E1EE5"/>
    <w:rsid w:val="003E1F00"/>
    <w:rsid w:val="003E2078"/>
    <w:rsid w:val="003E23F6"/>
    <w:rsid w:val="003E24A4"/>
    <w:rsid w:val="003E2540"/>
    <w:rsid w:val="003E2AA8"/>
    <w:rsid w:val="003E2D9E"/>
    <w:rsid w:val="003E2ED0"/>
    <w:rsid w:val="003E3331"/>
    <w:rsid w:val="003E33DF"/>
    <w:rsid w:val="003E35BF"/>
    <w:rsid w:val="003E3637"/>
    <w:rsid w:val="003E37EE"/>
    <w:rsid w:val="003E3860"/>
    <w:rsid w:val="003E3A1D"/>
    <w:rsid w:val="003E3A8B"/>
    <w:rsid w:val="003E3B82"/>
    <w:rsid w:val="003E3CC2"/>
    <w:rsid w:val="003E4096"/>
    <w:rsid w:val="003E4527"/>
    <w:rsid w:val="003E4927"/>
    <w:rsid w:val="003E49A2"/>
    <w:rsid w:val="003E49B0"/>
    <w:rsid w:val="003E4B26"/>
    <w:rsid w:val="003E4CF4"/>
    <w:rsid w:val="003E4FA2"/>
    <w:rsid w:val="003E5103"/>
    <w:rsid w:val="003E5330"/>
    <w:rsid w:val="003E53B6"/>
    <w:rsid w:val="003E542C"/>
    <w:rsid w:val="003E5B22"/>
    <w:rsid w:val="003E5D70"/>
    <w:rsid w:val="003E5FD6"/>
    <w:rsid w:val="003E603E"/>
    <w:rsid w:val="003E61D8"/>
    <w:rsid w:val="003E629E"/>
    <w:rsid w:val="003E6517"/>
    <w:rsid w:val="003E6906"/>
    <w:rsid w:val="003E6985"/>
    <w:rsid w:val="003E69C9"/>
    <w:rsid w:val="003E6BF2"/>
    <w:rsid w:val="003E6D22"/>
    <w:rsid w:val="003E6D70"/>
    <w:rsid w:val="003E6FA0"/>
    <w:rsid w:val="003E7016"/>
    <w:rsid w:val="003E71CD"/>
    <w:rsid w:val="003F01F6"/>
    <w:rsid w:val="003F020C"/>
    <w:rsid w:val="003F033C"/>
    <w:rsid w:val="003F03C4"/>
    <w:rsid w:val="003F04C5"/>
    <w:rsid w:val="003F066F"/>
    <w:rsid w:val="003F0761"/>
    <w:rsid w:val="003F07C3"/>
    <w:rsid w:val="003F09F5"/>
    <w:rsid w:val="003F0C0D"/>
    <w:rsid w:val="003F0C9B"/>
    <w:rsid w:val="003F110B"/>
    <w:rsid w:val="003F1152"/>
    <w:rsid w:val="003F1299"/>
    <w:rsid w:val="003F1C0F"/>
    <w:rsid w:val="003F1F1D"/>
    <w:rsid w:val="003F22A8"/>
    <w:rsid w:val="003F232B"/>
    <w:rsid w:val="003F253E"/>
    <w:rsid w:val="003F281A"/>
    <w:rsid w:val="003F2A8C"/>
    <w:rsid w:val="003F2CEF"/>
    <w:rsid w:val="003F2DEE"/>
    <w:rsid w:val="003F307C"/>
    <w:rsid w:val="003F31AE"/>
    <w:rsid w:val="003F325F"/>
    <w:rsid w:val="003F3282"/>
    <w:rsid w:val="003F34C8"/>
    <w:rsid w:val="003F35AC"/>
    <w:rsid w:val="003F3650"/>
    <w:rsid w:val="003F3733"/>
    <w:rsid w:val="003F3919"/>
    <w:rsid w:val="003F39F1"/>
    <w:rsid w:val="003F3B8F"/>
    <w:rsid w:val="003F3CE3"/>
    <w:rsid w:val="003F416F"/>
    <w:rsid w:val="003F41F2"/>
    <w:rsid w:val="003F438C"/>
    <w:rsid w:val="003F441C"/>
    <w:rsid w:val="003F443F"/>
    <w:rsid w:val="003F44C8"/>
    <w:rsid w:val="003F45EB"/>
    <w:rsid w:val="003F46B8"/>
    <w:rsid w:val="003F48A6"/>
    <w:rsid w:val="003F4D21"/>
    <w:rsid w:val="003F4DA7"/>
    <w:rsid w:val="003F54AE"/>
    <w:rsid w:val="003F576C"/>
    <w:rsid w:val="003F57F4"/>
    <w:rsid w:val="003F5AD3"/>
    <w:rsid w:val="003F5BB3"/>
    <w:rsid w:val="003F5C88"/>
    <w:rsid w:val="003F62DB"/>
    <w:rsid w:val="003F62DE"/>
    <w:rsid w:val="003F62ED"/>
    <w:rsid w:val="003F6321"/>
    <w:rsid w:val="003F647C"/>
    <w:rsid w:val="003F6545"/>
    <w:rsid w:val="003F66F8"/>
    <w:rsid w:val="003F6ABD"/>
    <w:rsid w:val="003F6B6C"/>
    <w:rsid w:val="003F6EDD"/>
    <w:rsid w:val="003F6F06"/>
    <w:rsid w:val="003F6F6C"/>
    <w:rsid w:val="003F703F"/>
    <w:rsid w:val="003F711F"/>
    <w:rsid w:val="003F7546"/>
    <w:rsid w:val="003F77D2"/>
    <w:rsid w:val="003F77F7"/>
    <w:rsid w:val="003F78D8"/>
    <w:rsid w:val="004000F9"/>
    <w:rsid w:val="004001FC"/>
    <w:rsid w:val="00400398"/>
    <w:rsid w:val="004003A6"/>
    <w:rsid w:val="004007D0"/>
    <w:rsid w:val="0040082E"/>
    <w:rsid w:val="00400A90"/>
    <w:rsid w:val="00400B2C"/>
    <w:rsid w:val="00400D42"/>
    <w:rsid w:val="00400D7D"/>
    <w:rsid w:val="00401094"/>
    <w:rsid w:val="004010A5"/>
    <w:rsid w:val="004013E1"/>
    <w:rsid w:val="00401471"/>
    <w:rsid w:val="00401A04"/>
    <w:rsid w:val="00401A6B"/>
    <w:rsid w:val="00401C60"/>
    <w:rsid w:val="00401D05"/>
    <w:rsid w:val="00401FCB"/>
    <w:rsid w:val="0040203A"/>
    <w:rsid w:val="00402B30"/>
    <w:rsid w:val="00402C69"/>
    <w:rsid w:val="00402D94"/>
    <w:rsid w:val="0040305F"/>
    <w:rsid w:val="004030CE"/>
    <w:rsid w:val="004034C1"/>
    <w:rsid w:val="004034E5"/>
    <w:rsid w:val="00403504"/>
    <w:rsid w:val="00403518"/>
    <w:rsid w:val="00403633"/>
    <w:rsid w:val="00403812"/>
    <w:rsid w:val="00403959"/>
    <w:rsid w:val="00403B3C"/>
    <w:rsid w:val="00403DE5"/>
    <w:rsid w:val="00404053"/>
    <w:rsid w:val="004046CF"/>
    <w:rsid w:val="00404744"/>
    <w:rsid w:val="004047F2"/>
    <w:rsid w:val="0040483C"/>
    <w:rsid w:val="00404BD5"/>
    <w:rsid w:val="00404CC4"/>
    <w:rsid w:val="00404F0C"/>
    <w:rsid w:val="00404FF8"/>
    <w:rsid w:val="00405095"/>
    <w:rsid w:val="0040521E"/>
    <w:rsid w:val="00405329"/>
    <w:rsid w:val="00405562"/>
    <w:rsid w:val="004059E0"/>
    <w:rsid w:val="00405C11"/>
    <w:rsid w:val="00406009"/>
    <w:rsid w:val="00406180"/>
    <w:rsid w:val="004065C4"/>
    <w:rsid w:val="004066EE"/>
    <w:rsid w:val="00406765"/>
    <w:rsid w:val="00406934"/>
    <w:rsid w:val="00406B99"/>
    <w:rsid w:val="00406BB2"/>
    <w:rsid w:val="00406F6F"/>
    <w:rsid w:val="004073A8"/>
    <w:rsid w:val="00407428"/>
    <w:rsid w:val="004074FF"/>
    <w:rsid w:val="004077F4"/>
    <w:rsid w:val="00407840"/>
    <w:rsid w:val="0040796E"/>
    <w:rsid w:val="004079E9"/>
    <w:rsid w:val="00407FBC"/>
    <w:rsid w:val="0041021F"/>
    <w:rsid w:val="004103F2"/>
    <w:rsid w:val="00410619"/>
    <w:rsid w:val="0041073C"/>
    <w:rsid w:val="004107D2"/>
    <w:rsid w:val="0041081B"/>
    <w:rsid w:val="0041098D"/>
    <w:rsid w:val="00410AB1"/>
    <w:rsid w:val="00410B23"/>
    <w:rsid w:val="00410C75"/>
    <w:rsid w:val="004111BA"/>
    <w:rsid w:val="00411296"/>
    <w:rsid w:val="004112AE"/>
    <w:rsid w:val="0041178A"/>
    <w:rsid w:val="00411903"/>
    <w:rsid w:val="00411CCB"/>
    <w:rsid w:val="00411E7E"/>
    <w:rsid w:val="00411F4F"/>
    <w:rsid w:val="00412042"/>
    <w:rsid w:val="004121A1"/>
    <w:rsid w:val="00412384"/>
    <w:rsid w:val="004124B3"/>
    <w:rsid w:val="00412535"/>
    <w:rsid w:val="004126DB"/>
    <w:rsid w:val="00412A7B"/>
    <w:rsid w:val="00412B5E"/>
    <w:rsid w:val="00412C90"/>
    <w:rsid w:val="00412D0B"/>
    <w:rsid w:val="0041303A"/>
    <w:rsid w:val="00413097"/>
    <w:rsid w:val="004134C0"/>
    <w:rsid w:val="00413C08"/>
    <w:rsid w:val="00413FFE"/>
    <w:rsid w:val="00414127"/>
    <w:rsid w:val="00414299"/>
    <w:rsid w:val="0041435D"/>
    <w:rsid w:val="004145B4"/>
    <w:rsid w:val="00414967"/>
    <w:rsid w:val="00414B5B"/>
    <w:rsid w:val="00414C19"/>
    <w:rsid w:val="00414CAD"/>
    <w:rsid w:val="004150F4"/>
    <w:rsid w:val="00415563"/>
    <w:rsid w:val="00415583"/>
    <w:rsid w:val="00415714"/>
    <w:rsid w:val="00415BC5"/>
    <w:rsid w:val="00415DB8"/>
    <w:rsid w:val="00415EE3"/>
    <w:rsid w:val="00415F40"/>
    <w:rsid w:val="0041604E"/>
    <w:rsid w:val="004161DD"/>
    <w:rsid w:val="00416341"/>
    <w:rsid w:val="00416867"/>
    <w:rsid w:val="004173EB"/>
    <w:rsid w:val="0041765F"/>
    <w:rsid w:val="004176F3"/>
    <w:rsid w:val="00417849"/>
    <w:rsid w:val="00417B31"/>
    <w:rsid w:val="0042018B"/>
    <w:rsid w:val="004203E3"/>
    <w:rsid w:val="0042053B"/>
    <w:rsid w:val="0042055A"/>
    <w:rsid w:val="00420BD0"/>
    <w:rsid w:val="00420CB0"/>
    <w:rsid w:val="00420F40"/>
    <w:rsid w:val="0042114F"/>
    <w:rsid w:val="004214C5"/>
    <w:rsid w:val="00421840"/>
    <w:rsid w:val="00421975"/>
    <w:rsid w:val="00421B08"/>
    <w:rsid w:val="00421BB3"/>
    <w:rsid w:val="00421F35"/>
    <w:rsid w:val="0042208B"/>
    <w:rsid w:val="00422404"/>
    <w:rsid w:val="00422959"/>
    <w:rsid w:val="004229AD"/>
    <w:rsid w:val="004229D7"/>
    <w:rsid w:val="00422C05"/>
    <w:rsid w:val="0042304A"/>
    <w:rsid w:val="004232DA"/>
    <w:rsid w:val="004233A2"/>
    <w:rsid w:val="004238F9"/>
    <w:rsid w:val="00423967"/>
    <w:rsid w:val="00423B8D"/>
    <w:rsid w:val="00423F71"/>
    <w:rsid w:val="004240E0"/>
    <w:rsid w:val="00424879"/>
    <w:rsid w:val="00424A3B"/>
    <w:rsid w:val="00424B6C"/>
    <w:rsid w:val="00424BC8"/>
    <w:rsid w:val="00424C9B"/>
    <w:rsid w:val="00424E33"/>
    <w:rsid w:val="00424E78"/>
    <w:rsid w:val="00424F79"/>
    <w:rsid w:val="0042523D"/>
    <w:rsid w:val="0042527E"/>
    <w:rsid w:val="004252FB"/>
    <w:rsid w:val="00425683"/>
    <w:rsid w:val="00425907"/>
    <w:rsid w:val="00425987"/>
    <w:rsid w:val="00425A69"/>
    <w:rsid w:val="00425B72"/>
    <w:rsid w:val="00425E08"/>
    <w:rsid w:val="00425F1B"/>
    <w:rsid w:val="004260FD"/>
    <w:rsid w:val="004266A3"/>
    <w:rsid w:val="004266B1"/>
    <w:rsid w:val="00426BE3"/>
    <w:rsid w:val="004273F4"/>
    <w:rsid w:val="004275D0"/>
    <w:rsid w:val="00427696"/>
    <w:rsid w:val="00427865"/>
    <w:rsid w:val="00427876"/>
    <w:rsid w:val="004278E6"/>
    <w:rsid w:val="00427D09"/>
    <w:rsid w:val="00430012"/>
    <w:rsid w:val="004302B7"/>
    <w:rsid w:val="0043054F"/>
    <w:rsid w:val="00430567"/>
    <w:rsid w:val="004308E5"/>
    <w:rsid w:val="004309E8"/>
    <w:rsid w:val="00430DFD"/>
    <w:rsid w:val="00431096"/>
    <w:rsid w:val="004314F8"/>
    <w:rsid w:val="004321B4"/>
    <w:rsid w:val="004322D4"/>
    <w:rsid w:val="00432570"/>
    <w:rsid w:val="0043269D"/>
    <w:rsid w:val="00432815"/>
    <w:rsid w:val="00432A76"/>
    <w:rsid w:val="00432C11"/>
    <w:rsid w:val="00432E02"/>
    <w:rsid w:val="00432F05"/>
    <w:rsid w:val="004330BC"/>
    <w:rsid w:val="00433783"/>
    <w:rsid w:val="0043396B"/>
    <w:rsid w:val="00433AD1"/>
    <w:rsid w:val="00433C0B"/>
    <w:rsid w:val="00433D27"/>
    <w:rsid w:val="00434174"/>
    <w:rsid w:val="0043417D"/>
    <w:rsid w:val="004342B9"/>
    <w:rsid w:val="00434627"/>
    <w:rsid w:val="004346D7"/>
    <w:rsid w:val="0043479C"/>
    <w:rsid w:val="00434A59"/>
    <w:rsid w:val="00434BB8"/>
    <w:rsid w:val="00434E88"/>
    <w:rsid w:val="00434FA1"/>
    <w:rsid w:val="00435099"/>
    <w:rsid w:val="004350A2"/>
    <w:rsid w:val="00435101"/>
    <w:rsid w:val="004351AE"/>
    <w:rsid w:val="00435632"/>
    <w:rsid w:val="0043567B"/>
    <w:rsid w:val="00435734"/>
    <w:rsid w:val="0043584E"/>
    <w:rsid w:val="004358C5"/>
    <w:rsid w:val="0043594B"/>
    <w:rsid w:val="004359C0"/>
    <w:rsid w:val="004359E9"/>
    <w:rsid w:val="00435CFF"/>
    <w:rsid w:val="00435D10"/>
    <w:rsid w:val="004362BB"/>
    <w:rsid w:val="004368AE"/>
    <w:rsid w:val="004369C6"/>
    <w:rsid w:val="00436CDF"/>
    <w:rsid w:val="00436D5B"/>
    <w:rsid w:val="0043713A"/>
    <w:rsid w:val="00437243"/>
    <w:rsid w:val="00437330"/>
    <w:rsid w:val="004378EC"/>
    <w:rsid w:val="004379D0"/>
    <w:rsid w:val="00440018"/>
    <w:rsid w:val="0044040B"/>
    <w:rsid w:val="00440604"/>
    <w:rsid w:val="00440DFC"/>
    <w:rsid w:val="00440E5B"/>
    <w:rsid w:val="00440FD7"/>
    <w:rsid w:val="0044129B"/>
    <w:rsid w:val="004412D1"/>
    <w:rsid w:val="0044130F"/>
    <w:rsid w:val="00441AFE"/>
    <w:rsid w:val="00441C3C"/>
    <w:rsid w:val="0044216D"/>
    <w:rsid w:val="00442386"/>
    <w:rsid w:val="004428A9"/>
    <w:rsid w:val="00442B2E"/>
    <w:rsid w:val="00442BD9"/>
    <w:rsid w:val="00442D21"/>
    <w:rsid w:val="00442DC8"/>
    <w:rsid w:val="00442F3E"/>
    <w:rsid w:val="00443182"/>
    <w:rsid w:val="004431E9"/>
    <w:rsid w:val="00443287"/>
    <w:rsid w:val="00443392"/>
    <w:rsid w:val="004433C5"/>
    <w:rsid w:val="00443630"/>
    <w:rsid w:val="0044365B"/>
    <w:rsid w:val="0044368D"/>
    <w:rsid w:val="00443ADC"/>
    <w:rsid w:val="004440DE"/>
    <w:rsid w:val="004442DD"/>
    <w:rsid w:val="004443AF"/>
    <w:rsid w:val="00444631"/>
    <w:rsid w:val="004448D4"/>
    <w:rsid w:val="00444B3D"/>
    <w:rsid w:val="00444C12"/>
    <w:rsid w:val="00444CBF"/>
    <w:rsid w:val="00444D1D"/>
    <w:rsid w:val="00444E76"/>
    <w:rsid w:val="00444EA8"/>
    <w:rsid w:val="00445002"/>
    <w:rsid w:val="0044503B"/>
    <w:rsid w:val="00445089"/>
    <w:rsid w:val="00445144"/>
    <w:rsid w:val="0044536C"/>
    <w:rsid w:val="00445832"/>
    <w:rsid w:val="00445B21"/>
    <w:rsid w:val="00445CC2"/>
    <w:rsid w:val="00445CCE"/>
    <w:rsid w:val="00445E44"/>
    <w:rsid w:val="00446095"/>
    <w:rsid w:val="004460FE"/>
    <w:rsid w:val="00446446"/>
    <w:rsid w:val="0044680C"/>
    <w:rsid w:val="00446A40"/>
    <w:rsid w:val="00446CE8"/>
    <w:rsid w:val="004477EF"/>
    <w:rsid w:val="00447895"/>
    <w:rsid w:val="00447A38"/>
    <w:rsid w:val="00447BCF"/>
    <w:rsid w:val="0045007C"/>
    <w:rsid w:val="00450446"/>
    <w:rsid w:val="004504D6"/>
    <w:rsid w:val="004507E5"/>
    <w:rsid w:val="0045087D"/>
    <w:rsid w:val="00450AC0"/>
    <w:rsid w:val="00450D71"/>
    <w:rsid w:val="004512E4"/>
    <w:rsid w:val="004514EA"/>
    <w:rsid w:val="004516D6"/>
    <w:rsid w:val="004516F2"/>
    <w:rsid w:val="004519F1"/>
    <w:rsid w:val="00451ED2"/>
    <w:rsid w:val="00451F78"/>
    <w:rsid w:val="004525C1"/>
    <w:rsid w:val="004525D1"/>
    <w:rsid w:val="004526DF"/>
    <w:rsid w:val="00452946"/>
    <w:rsid w:val="00452A17"/>
    <w:rsid w:val="00452C0A"/>
    <w:rsid w:val="00452C4A"/>
    <w:rsid w:val="00452E1E"/>
    <w:rsid w:val="00452E70"/>
    <w:rsid w:val="00453037"/>
    <w:rsid w:val="00453106"/>
    <w:rsid w:val="00453314"/>
    <w:rsid w:val="0045334B"/>
    <w:rsid w:val="00453A19"/>
    <w:rsid w:val="00453B7D"/>
    <w:rsid w:val="0045437C"/>
    <w:rsid w:val="004543BB"/>
    <w:rsid w:val="00454739"/>
    <w:rsid w:val="00454A14"/>
    <w:rsid w:val="00454A30"/>
    <w:rsid w:val="00454C6D"/>
    <w:rsid w:val="00454D6E"/>
    <w:rsid w:val="00454F63"/>
    <w:rsid w:val="00454F87"/>
    <w:rsid w:val="0045588B"/>
    <w:rsid w:val="00455F9E"/>
    <w:rsid w:val="004563D6"/>
    <w:rsid w:val="00456654"/>
    <w:rsid w:val="00456C43"/>
    <w:rsid w:val="00456EC9"/>
    <w:rsid w:val="00456EEE"/>
    <w:rsid w:val="00456EF5"/>
    <w:rsid w:val="004577BF"/>
    <w:rsid w:val="0045781E"/>
    <w:rsid w:val="00457AFC"/>
    <w:rsid w:val="00457B41"/>
    <w:rsid w:val="00457C16"/>
    <w:rsid w:val="00457CFF"/>
    <w:rsid w:val="00457DFB"/>
    <w:rsid w:val="004600CC"/>
    <w:rsid w:val="00460494"/>
    <w:rsid w:val="004605BC"/>
    <w:rsid w:val="00460835"/>
    <w:rsid w:val="00460AD1"/>
    <w:rsid w:val="00461003"/>
    <w:rsid w:val="004618B8"/>
    <w:rsid w:val="00461B72"/>
    <w:rsid w:val="00461E33"/>
    <w:rsid w:val="00462001"/>
    <w:rsid w:val="00462117"/>
    <w:rsid w:val="00462400"/>
    <w:rsid w:val="004624B9"/>
    <w:rsid w:val="004627BC"/>
    <w:rsid w:val="00462C57"/>
    <w:rsid w:val="00462CA9"/>
    <w:rsid w:val="00462F8E"/>
    <w:rsid w:val="004630A2"/>
    <w:rsid w:val="00463226"/>
    <w:rsid w:val="00463232"/>
    <w:rsid w:val="004635B5"/>
    <w:rsid w:val="00463769"/>
    <w:rsid w:val="00463BA9"/>
    <w:rsid w:val="00463C42"/>
    <w:rsid w:val="00463F28"/>
    <w:rsid w:val="004643B9"/>
    <w:rsid w:val="0046458A"/>
    <w:rsid w:val="004646EE"/>
    <w:rsid w:val="004648AF"/>
    <w:rsid w:val="004649AB"/>
    <w:rsid w:val="004649B8"/>
    <w:rsid w:val="00464DCD"/>
    <w:rsid w:val="00464DED"/>
    <w:rsid w:val="00464FC4"/>
    <w:rsid w:val="004651D0"/>
    <w:rsid w:val="0046566C"/>
    <w:rsid w:val="0046581F"/>
    <w:rsid w:val="00465877"/>
    <w:rsid w:val="00465A90"/>
    <w:rsid w:val="00465AEB"/>
    <w:rsid w:val="00465CC2"/>
    <w:rsid w:val="00465DC1"/>
    <w:rsid w:val="00466357"/>
    <w:rsid w:val="004663A4"/>
    <w:rsid w:val="004665D2"/>
    <w:rsid w:val="0046689D"/>
    <w:rsid w:val="00466AB7"/>
    <w:rsid w:val="00466B35"/>
    <w:rsid w:val="00466C93"/>
    <w:rsid w:val="00466D14"/>
    <w:rsid w:val="00466DE0"/>
    <w:rsid w:val="00466F9C"/>
    <w:rsid w:val="004671FE"/>
    <w:rsid w:val="00467357"/>
    <w:rsid w:val="00467610"/>
    <w:rsid w:val="004677AB"/>
    <w:rsid w:val="00467906"/>
    <w:rsid w:val="00467B7D"/>
    <w:rsid w:val="00467CFF"/>
    <w:rsid w:val="00467E58"/>
    <w:rsid w:val="00467FAA"/>
    <w:rsid w:val="00467FFC"/>
    <w:rsid w:val="00470031"/>
    <w:rsid w:val="004700AF"/>
    <w:rsid w:val="0047030E"/>
    <w:rsid w:val="0047041D"/>
    <w:rsid w:val="004707D6"/>
    <w:rsid w:val="00470B1D"/>
    <w:rsid w:val="00470D18"/>
    <w:rsid w:val="00470F57"/>
    <w:rsid w:val="0047102C"/>
    <w:rsid w:val="00471068"/>
    <w:rsid w:val="00471161"/>
    <w:rsid w:val="004711CD"/>
    <w:rsid w:val="0047151E"/>
    <w:rsid w:val="0047152E"/>
    <w:rsid w:val="00471868"/>
    <w:rsid w:val="00471B16"/>
    <w:rsid w:val="00471B50"/>
    <w:rsid w:val="00471BD5"/>
    <w:rsid w:val="00471C87"/>
    <w:rsid w:val="00472153"/>
    <w:rsid w:val="00472155"/>
    <w:rsid w:val="0047239D"/>
    <w:rsid w:val="0047245C"/>
    <w:rsid w:val="00472465"/>
    <w:rsid w:val="0047274C"/>
    <w:rsid w:val="00472807"/>
    <w:rsid w:val="00472866"/>
    <w:rsid w:val="00472A7A"/>
    <w:rsid w:val="00472BB9"/>
    <w:rsid w:val="00472D9E"/>
    <w:rsid w:val="00472E96"/>
    <w:rsid w:val="00473214"/>
    <w:rsid w:val="00473405"/>
    <w:rsid w:val="0047349E"/>
    <w:rsid w:val="00473717"/>
    <w:rsid w:val="004738CB"/>
    <w:rsid w:val="004738F7"/>
    <w:rsid w:val="00473935"/>
    <w:rsid w:val="00473A0E"/>
    <w:rsid w:val="00473D60"/>
    <w:rsid w:val="00473EC6"/>
    <w:rsid w:val="00474083"/>
    <w:rsid w:val="00474437"/>
    <w:rsid w:val="0047457D"/>
    <w:rsid w:val="00474709"/>
    <w:rsid w:val="0047475A"/>
    <w:rsid w:val="00474B72"/>
    <w:rsid w:val="00474BEC"/>
    <w:rsid w:val="00474E90"/>
    <w:rsid w:val="00474F03"/>
    <w:rsid w:val="00475053"/>
    <w:rsid w:val="004750E2"/>
    <w:rsid w:val="004753C4"/>
    <w:rsid w:val="004753F4"/>
    <w:rsid w:val="00475849"/>
    <w:rsid w:val="0047592B"/>
    <w:rsid w:val="004759EC"/>
    <w:rsid w:val="00475AFC"/>
    <w:rsid w:val="00475D63"/>
    <w:rsid w:val="00475E7A"/>
    <w:rsid w:val="00476056"/>
    <w:rsid w:val="0047635D"/>
    <w:rsid w:val="00476425"/>
    <w:rsid w:val="00476711"/>
    <w:rsid w:val="004767BE"/>
    <w:rsid w:val="00476805"/>
    <w:rsid w:val="0047689B"/>
    <w:rsid w:val="00476AB0"/>
    <w:rsid w:val="00476BB5"/>
    <w:rsid w:val="00477402"/>
    <w:rsid w:val="00477435"/>
    <w:rsid w:val="00477631"/>
    <w:rsid w:val="00477975"/>
    <w:rsid w:val="00477D9B"/>
    <w:rsid w:val="0048001E"/>
    <w:rsid w:val="00480173"/>
    <w:rsid w:val="004805E5"/>
    <w:rsid w:val="00480B68"/>
    <w:rsid w:val="00480B72"/>
    <w:rsid w:val="00480E45"/>
    <w:rsid w:val="00480E46"/>
    <w:rsid w:val="00481225"/>
    <w:rsid w:val="0048131F"/>
    <w:rsid w:val="004813B3"/>
    <w:rsid w:val="004814A1"/>
    <w:rsid w:val="004816B2"/>
    <w:rsid w:val="00481767"/>
    <w:rsid w:val="0048198B"/>
    <w:rsid w:val="00481A23"/>
    <w:rsid w:val="00481C46"/>
    <w:rsid w:val="00481CFC"/>
    <w:rsid w:val="00481F8D"/>
    <w:rsid w:val="00482001"/>
    <w:rsid w:val="00482138"/>
    <w:rsid w:val="004824C5"/>
    <w:rsid w:val="00482683"/>
    <w:rsid w:val="004829E6"/>
    <w:rsid w:val="00482BD5"/>
    <w:rsid w:val="00482BDE"/>
    <w:rsid w:val="00482C09"/>
    <w:rsid w:val="00482C59"/>
    <w:rsid w:val="00482CB3"/>
    <w:rsid w:val="00482E4F"/>
    <w:rsid w:val="00483022"/>
    <w:rsid w:val="004830C8"/>
    <w:rsid w:val="004831A9"/>
    <w:rsid w:val="004836B8"/>
    <w:rsid w:val="004838D7"/>
    <w:rsid w:val="00483B40"/>
    <w:rsid w:val="00483C1B"/>
    <w:rsid w:val="00483C6D"/>
    <w:rsid w:val="00483D75"/>
    <w:rsid w:val="0048412E"/>
    <w:rsid w:val="0048421D"/>
    <w:rsid w:val="00484273"/>
    <w:rsid w:val="004847CB"/>
    <w:rsid w:val="00484937"/>
    <w:rsid w:val="00484A58"/>
    <w:rsid w:val="004852AF"/>
    <w:rsid w:val="004852F4"/>
    <w:rsid w:val="0048552D"/>
    <w:rsid w:val="004855D7"/>
    <w:rsid w:val="00485736"/>
    <w:rsid w:val="0048585C"/>
    <w:rsid w:val="00485BA8"/>
    <w:rsid w:val="00485CDE"/>
    <w:rsid w:val="00485D08"/>
    <w:rsid w:val="00485FCD"/>
    <w:rsid w:val="0048641F"/>
    <w:rsid w:val="00486603"/>
    <w:rsid w:val="00486C0B"/>
    <w:rsid w:val="00486CB5"/>
    <w:rsid w:val="00486D4F"/>
    <w:rsid w:val="00486D50"/>
    <w:rsid w:val="00486D7F"/>
    <w:rsid w:val="00486F13"/>
    <w:rsid w:val="00487009"/>
    <w:rsid w:val="00487069"/>
    <w:rsid w:val="004870C9"/>
    <w:rsid w:val="004871B7"/>
    <w:rsid w:val="00487659"/>
    <w:rsid w:val="00487A90"/>
    <w:rsid w:val="00487D7A"/>
    <w:rsid w:val="00487DFF"/>
    <w:rsid w:val="00487F5F"/>
    <w:rsid w:val="00490293"/>
    <w:rsid w:val="00490365"/>
    <w:rsid w:val="004907D3"/>
    <w:rsid w:val="004907F2"/>
    <w:rsid w:val="004909B7"/>
    <w:rsid w:val="00490B89"/>
    <w:rsid w:val="00490E8E"/>
    <w:rsid w:val="00490FCF"/>
    <w:rsid w:val="00491088"/>
    <w:rsid w:val="004910DD"/>
    <w:rsid w:val="00491432"/>
    <w:rsid w:val="0049143C"/>
    <w:rsid w:val="00491A0A"/>
    <w:rsid w:val="00491A22"/>
    <w:rsid w:val="00491E7D"/>
    <w:rsid w:val="00491FD0"/>
    <w:rsid w:val="00491FDA"/>
    <w:rsid w:val="0049203F"/>
    <w:rsid w:val="004920C5"/>
    <w:rsid w:val="00492284"/>
    <w:rsid w:val="004924A9"/>
    <w:rsid w:val="00492788"/>
    <w:rsid w:val="00492A71"/>
    <w:rsid w:val="00492AA1"/>
    <w:rsid w:val="00492B9D"/>
    <w:rsid w:val="00492D47"/>
    <w:rsid w:val="00492DA2"/>
    <w:rsid w:val="00492E70"/>
    <w:rsid w:val="00492E75"/>
    <w:rsid w:val="004934CD"/>
    <w:rsid w:val="00493A15"/>
    <w:rsid w:val="00493B0F"/>
    <w:rsid w:val="00493B38"/>
    <w:rsid w:val="00493B68"/>
    <w:rsid w:val="00493BA4"/>
    <w:rsid w:val="00493CCF"/>
    <w:rsid w:val="00494357"/>
    <w:rsid w:val="0049439A"/>
    <w:rsid w:val="00494683"/>
    <w:rsid w:val="0049476E"/>
    <w:rsid w:val="004949AD"/>
    <w:rsid w:val="00494E20"/>
    <w:rsid w:val="00494F75"/>
    <w:rsid w:val="00495054"/>
    <w:rsid w:val="004951BE"/>
    <w:rsid w:val="0049526A"/>
    <w:rsid w:val="00495557"/>
    <w:rsid w:val="00495658"/>
    <w:rsid w:val="00495748"/>
    <w:rsid w:val="004958A4"/>
    <w:rsid w:val="0049596B"/>
    <w:rsid w:val="00495BB5"/>
    <w:rsid w:val="00495C30"/>
    <w:rsid w:val="00495C92"/>
    <w:rsid w:val="00495D06"/>
    <w:rsid w:val="00495D27"/>
    <w:rsid w:val="00495D65"/>
    <w:rsid w:val="00495D8E"/>
    <w:rsid w:val="00495E1B"/>
    <w:rsid w:val="00495E63"/>
    <w:rsid w:val="00495F0C"/>
    <w:rsid w:val="00496031"/>
    <w:rsid w:val="004961B3"/>
    <w:rsid w:val="004961E7"/>
    <w:rsid w:val="0049622B"/>
    <w:rsid w:val="004962EB"/>
    <w:rsid w:val="00496865"/>
    <w:rsid w:val="00496CE7"/>
    <w:rsid w:val="00496F7C"/>
    <w:rsid w:val="00497272"/>
    <w:rsid w:val="00497671"/>
    <w:rsid w:val="0049782B"/>
    <w:rsid w:val="004979A5"/>
    <w:rsid w:val="00497C2A"/>
    <w:rsid w:val="00497C74"/>
    <w:rsid w:val="00497CAB"/>
    <w:rsid w:val="004A0116"/>
    <w:rsid w:val="004A011E"/>
    <w:rsid w:val="004A03A0"/>
    <w:rsid w:val="004A03D9"/>
    <w:rsid w:val="004A05E1"/>
    <w:rsid w:val="004A068D"/>
    <w:rsid w:val="004A07DF"/>
    <w:rsid w:val="004A09C8"/>
    <w:rsid w:val="004A0C18"/>
    <w:rsid w:val="004A108C"/>
    <w:rsid w:val="004A12D0"/>
    <w:rsid w:val="004A13B4"/>
    <w:rsid w:val="004A15F8"/>
    <w:rsid w:val="004A162D"/>
    <w:rsid w:val="004A1826"/>
    <w:rsid w:val="004A1A6D"/>
    <w:rsid w:val="004A1D9F"/>
    <w:rsid w:val="004A1F03"/>
    <w:rsid w:val="004A1FF3"/>
    <w:rsid w:val="004A2079"/>
    <w:rsid w:val="004A21D5"/>
    <w:rsid w:val="004A22D4"/>
    <w:rsid w:val="004A2355"/>
    <w:rsid w:val="004A23F0"/>
    <w:rsid w:val="004A272C"/>
    <w:rsid w:val="004A2805"/>
    <w:rsid w:val="004A2A69"/>
    <w:rsid w:val="004A2B67"/>
    <w:rsid w:val="004A2F7C"/>
    <w:rsid w:val="004A3254"/>
    <w:rsid w:val="004A3261"/>
    <w:rsid w:val="004A331F"/>
    <w:rsid w:val="004A34F8"/>
    <w:rsid w:val="004A3814"/>
    <w:rsid w:val="004A3878"/>
    <w:rsid w:val="004A3E7B"/>
    <w:rsid w:val="004A3FB2"/>
    <w:rsid w:val="004A4356"/>
    <w:rsid w:val="004A4627"/>
    <w:rsid w:val="004A4629"/>
    <w:rsid w:val="004A4774"/>
    <w:rsid w:val="004A4918"/>
    <w:rsid w:val="004A495F"/>
    <w:rsid w:val="004A4B32"/>
    <w:rsid w:val="004A4CFD"/>
    <w:rsid w:val="004A4E0E"/>
    <w:rsid w:val="004A4EC8"/>
    <w:rsid w:val="004A50F8"/>
    <w:rsid w:val="004A537E"/>
    <w:rsid w:val="004A545D"/>
    <w:rsid w:val="004A5541"/>
    <w:rsid w:val="004A5660"/>
    <w:rsid w:val="004A5E07"/>
    <w:rsid w:val="004A5F03"/>
    <w:rsid w:val="004A5F07"/>
    <w:rsid w:val="004A6334"/>
    <w:rsid w:val="004A643D"/>
    <w:rsid w:val="004A713E"/>
    <w:rsid w:val="004A72C3"/>
    <w:rsid w:val="004A73E9"/>
    <w:rsid w:val="004A7680"/>
    <w:rsid w:val="004A77AA"/>
    <w:rsid w:val="004A77B4"/>
    <w:rsid w:val="004A79E6"/>
    <w:rsid w:val="004B028E"/>
    <w:rsid w:val="004B038D"/>
    <w:rsid w:val="004B06B6"/>
    <w:rsid w:val="004B08AF"/>
    <w:rsid w:val="004B0A61"/>
    <w:rsid w:val="004B0AEA"/>
    <w:rsid w:val="004B0B67"/>
    <w:rsid w:val="004B0BD9"/>
    <w:rsid w:val="004B0E7C"/>
    <w:rsid w:val="004B105B"/>
    <w:rsid w:val="004B14A4"/>
    <w:rsid w:val="004B14E1"/>
    <w:rsid w:val="004B15AD"/>
    <w:rsid w:val="004B15F1"/>
    <w:rsid w:val="004B17CB"/>
    <w:rsid w:val="004B1891"/>
    <w:rsid w:val="004B18BE"/>
    <w:rsid w:val="004B203E"/>
    <w:rsid w:val="004B20F7"/>
    <w:rsid w:val="004B22BC"/>
    <w:rsid w:val="004B2557"/>
    <w:rsid w:val="004B277F"/>
    <w:rsid w:val="004B28A2"/>
    <w:rsid w:val="004B2BFD"/>
    <w:rsid w:val="004B33B9"/>
    <w:rsid w:val="004B340E"/>
    <w:rsid w:val="004B3420"/>
    <w:rsid w:val="004B36AC"/>
    <w:rsid w:val="004B37E4"/>
    <w:rsid w:val="004B399F"/>
    <w:rsid w:val="004B39D5"/>
    <w:rsid w:val="004B39F4"/>
    <w:rsid w:val="004B438E"/>
    <w:rsid w:val="004B440A"/>
    <w:rsid w:val="004B496B"/>
    <w:rsid w:val="004B4A44"/>
    <w:rsid w:val="004B4BEA"/>
    <w:rsid w:val="004B50E8"/>
    <w:rsid w:val="004B5595"/>
    <w:rsid w:val="004B55C8"/>
    <w:rsid w:val="004B5833"/>
    <w:rsid w:val="004B5888"/>
    <w:rsid w:val="004B5A9E"/>
    <w:rsid w:val="004B5CC1"/>
    <w:rsid w:val="004B5DB8"/>
    <w:rsid w:val="004B5F0D"/>
    <w:rsid w:val="004B6043"/>
    <w:rsid w:val="004B60AC"/>
    <w:rsid w:val="004B612F"/>
    <w:rsid w:val="004B61C1"/>
    <w:rsid w:val="004B6451"/>
    <w:rsid w:val="004B6485"/>
    <w:rsid w:val="004B6618"/>
    <w:rsid w:val="004B6819"/>
    <w:rsid w:val="004B6840"/>
    <w:rsid w:val="004B6B02"/>
    <w:rsid w:val="004B6C88"/>
    <w:rsid w:val="004B6D16"/>
    <w:rsid w:val="004B6D63"/>
    <w:rsid w:val="004B6FAD"/>
    <w:rsid w:val="004B71A4"/>
    <w:rsid w:val="004C0571"/>
    <w:rsid w:val="004C06B1"/>
    <w:rsid w:val="004C093C"/>
    <w:rsid w:val="004C0BC9"/>
    <w:rsid w:val="004C0DF1"/>
    <w:rsid w:val="004C0DF8"/>
    <w:rsid w:val="004C0E96"/>
    <w:rsid w:val="004C0EF6"/>
    <w:rsid w:val="004C141E"/>
    <w:rsid w:val="004C1479"/>
    <w:rsid w:val="004C14A0"/>
    <w:rsid w:val="004C1697"/>
    <w:rsid w:val="004C16AA"/>
    <w:rsid w:val="004C1747"/>
    <w:rsid w:val="004C17DD"/>
    <w:rsid w:val="004C1A61"/>
    <w:rsid w:val="004C1D49"/>
    <w:rsid w:val="004C1E00"/>
    <w:rsid w:val="004C1E97"/>
    <w:rsid w:val="004C2009"/>
    <w:rsid w:val="004C2076"/>
    <w:rsid w:val="004C236F"/>
    <w:rsid w:val="004C243B"/>
    <w:rsid w:val="004C246F"/>
    <w:rsid w:val="004C2683"/>
    <w:rsid w:val="004C26BA"/>
    <w:rsid w:val="004C27DD"/>
    <w:rsid w:val="004C2843"/>
    <w:rsid w:val="004C28D5"/>
    <w:rsid w:val="004C2B46"/>
    <w:rsid w:val="004C2ECD"/>
    <w:rsid w:val="004C3089"/>
    <w:rsid w:val="004C35D2"/>
    <w:rsid w:val="004C3944"/>
    <w:rsid w:val="004C394D"/>
    <w:rsid w:val="004C39B3"/>
    <w:rsid w:val="004C3B48"/>
    <w:rsid w:val="004C3D8F"/>
    <w:rsid w:val="004C4144"/>
    <w:rsid w:val="004C44E0"/>
    <w:rsid w:val="004C44E5"/>
    <w:rsid w:val="004C4522"/>
    <w:rsid w:val="004C4550"/>
    <w:rsid w:val="004C4814"/>
    <w:rsid w:val="004C48EC"/>
    <w:rsid w:val="004C4A8E"/>
    <w:rsid w:val="004C4F0A"/>
    <w:rsid w:val="004C4FC4"/>
    <w:rsid w:val="004C50E9"/>
    <w:rsid w:val="004C5230"/>
    <w:rsid w:val="004C53F2"/>
    <w:rsid w:val="004C5572"/>
    <w:rsid w:val="004C55A3"/>
    <w:rsid w:val="004C5831"/>
    <w:rsid w:val="004C5D9F"/>
    <w:rsid w:val="004C5E4F"/>
    <w:rsid w:val="004C5E76"/>
    <w:rsid w:val="004C602B"/>
    <w:rsid w:val="004C61E2"/>
    <w:rsid w:val="004C648E"/>
    <w:rsid w:val="004C66F5"/>
    <w:rsid w:val="004C67F9"/>
    <w:rsid w:val="004C6804"/>
    <w:rsid w:val="004C6866"/>
    <w:rsid w:val="004C6942"/>
    <w:rsid w:val="004C6A3A"/>
    <w:rsid w:val="004C6ADB"/>
    <w:rsid w:val="004C6BE0"/>
    <w:rsid w:val="004C6CDC"/>
    <w:rsid w:val="004C6D24"/>
    <w:rsid w:val="004C7154"/>
    <w:rsid w:val="004C734A"/>
    <w:rsid w:val="004C73BA"/>
    <w:rsid w:val="004C7503"/>
    <w:rsid w:val="004C76F3"/>
    <w:rsid w:val="004C776E"/>
    <w:rsid w:val="004C77D9"/>
    <w:rsid w:val="004C78D9"/>
    <w:rsid w:val="004C7921"/>
    <w:rsid w:val="004C7C28"/>
    <w:rsid w:val="004C7D08"/>
    <w:rsid w:val="004C7F3E"/>
    <w:rsid w:val="004D05F3"/>
    <w:rsid w:val="004D08BF"/>
    <w:rsid w:val="004D0B9F"/>
    <w:rsid w:val="004D0C77"/>
    <w:rsid w:val="004D0DD6"/>
    <w:rsid w:val="004D0FF1"/>
    <w:rsid w:val="004D1027"/>
    <w:rsid w:val="004D12D2"/>
    <w:rsid w:val="004D13B6"/>
    <w:rsid w:val="004D156A"/>
    <w:rsid w:val="004D1B28"/>
    <w:rsid w:val="004D1D5E"/>
    <w:rsid w:val="004D1E00"/>
    <w:rsid w:val="004D1FEF"/>
    <w:rsid w:val="004D2370"/>
    <w:rsid w:val="004D238F"/>
    <w:rsid w:val="004D274F"/>
    <w:rsid w:val="004D323C"/>
    <w:rsid w:val="004D35C6"/>
    <w:rsid w:val="004D378E"/>
    <w:rsid w:val="004D3797"/>
    <w:rsid w:val="004D39C3"/>
    <w:rsid w:val="004D3A2C"/>
    <w:rsid w:val="004D3B94"/>
    <w:rsid w:val="004D3BF7"/>
    <w:rsid w:val="004D3FDF"/>
    <w:rsid w:val="004D4312"/>
    <w:rsid w:val="004D4544"/>
    <w:rsid w:val="004D4647"/>
    <w:rsid w:val="004D485A"/>
    <w:rsid w:val="004D4C47"/>
    <w:rsid w:val="004D5477"/>
    <w:rsid w:val="004D5745"/>
    <w:rsid w:val="004D593D"/>
    <w:rsid w:val="004D5AD0"/>
    <w:rsid w:val="004D5CD9"/>
    <w:rsid w:val="004D5E82"/>
    <w:rsid w:val="004D5F42"/>
    <w:rsid w:val="004D602D"/>
    <w:rsid w:val="004D651A"/>
    <w:rsid w:val="004D6984"/>
    <w:rsid w:val="004D6B1F"/>
    <w:rsid w:val="004D6CF4"/>
    <w:rsid w:val="004D6E44"/>
    <w:rsid w:val="004D6EDA"/>
    <w:rsid w:val="004D6F65"/>
    <w:rsid w:val="004D76BF"/>
    <w:rsid w:val="004D771F"/>
    <w:rsid w:val="004D7757"/>
    <w:rsid w:val="004D7841"/>
    <w:rsid w:val="004D79F3"/>
    <w:rsid w:val="004D7B81"/>
    <w:rsid w:val="004E00C1"/>
    <w:rsid w:val="004E0480"/>
    <w:rsid w:val="004E0734"/>
    <w:rsid w:val="004E07AA"/>
    <w:rsid w:val="004E0DAB"/>
    <w:rsid w:val="004E0E58"/>
    <w:rsid w:val="004E0E80"/>
    <w:rsid w:val="004E0E9C"/>
    <w:rsid w:val="004E1294"/>
    <w:rsid w:val="004E1447"/>
    <w:rsid w:val="004E181D"/>
    <w:rsid w:val="004E18DF"/>
    <w:rsid w:val="004E1905"/>
    <w:rsid w:val="004E1992"/>
    <w:rsid w:val="004E1FDF"/>
    <w:rsid w:val="004E2138"/>
    <w:rsid w:val="004E21C6"/>
    <w:rsid w:val="004E22A4"/>
    <w:rsid w:val="004E2726"/>
    <w:rsid w:val="004E281C"/>
    <w:rsid w:val="004E283A"/>
    <w:rsid w:val="004E2A17"/>
    <w:rsid w:val="004E2A29"/>
    <w:rsid w:val="004E2ADF"/>
    <w:rsid w:val="004E2CE5"/>
    <w:rsid w:val="004E2E35"/>
    <w:rsid w:val="004E3415"/>
    <w:rsid w:val="004E3543"/>
    <w:rsid w:val="004E366E"/>
    <w:rsid w:val="004E39FA"/>
    <w:rsid w:val="004E3AE0"/>
    <w:rsid w:val="004E3C70"/>
    <w:rsid w:val="004E3EFB"/>
    <w:rsid w:val="004E4161"/>
    <w:rsid w:val="004E438B"/>
    <w:rsid w:val="004E443C"/>
    <w:rsid w:val="004E451A"/>
    <w:rsid w:val="004E459E"/>
    <w:rsid w:val="004E4663"/>
    <w:rsid w:val="004E4B90"/>
    <w:rsid w:val="004E4F11"/>
    <w:rsid w:val="004E53E0"/>
    <w:rsid w:val="004E58D4"/>
    <w:rsid w:val="004E59E2"/>
    <w:rsid w:val="004E5A51"/>
    <w:rsid w:val="004E5A77"/>
    <w:rsid w:val="004E5AD2"/>
    <w:rsid w:val="004E5C72"/>
    <w:rsid w:val="004E5FFF"/>
    <w:rsid w:val="004E6091"/>
    <w:rsid w:val="004E6617"/>
    <w:rsid w:val="004E6625"/>
    <w:rsid w:val="004E6929"/>
    <w:rsid w:val="004E698C"/>
    <w:rsid w:val="004E6AD2"/>
    <w:rsid w:val="004E6EB9"/>
    <w:rsid w:val="004E74B2"/>
    <w:rsid w:val="004E74E2"/>
    <w:rsid w:val="004E7568"/>
    <w:rsid w:val="004E7CA9"/>
    <w:rsid w:val="004E7CE1"/>
    <w:rsid w:val="004E7D7E"/>
    <w:rsid w:val="004E7FA9"/>
    <w:rsid w:val="004F0057"/>
    <w:rsid w:val="004F0144"/>
    <w:rsid w:val="004F01C3"/>
    <w:rsid w:val="004F01DD"/>
    <w:rsid w:val="004F0776"/>
    <w:rsid w:val="004F0C08"/>
    <w:rsid w:val="004F0D65"/>
    <w:rsid w:val="004F0D81"/>
    <w:rsid w:val="004F10BF"/>
    <w:rsid w:val="004F1159"/>
    <w:rsid w:val="004F1AC2"/>
    <w:rsid w:val="004F1FAC"/>
    <w:rsid w:val="004F1FBB"/>
    <w:rsid w:val="004F1FE4"/>
    <w:rsid w:val="004F212A"/>
    <w:rsid w:val="004F217D"/>
    <w:rsid w:val="004F2550"/>
    <w:rsid w:val="004F2D15"/>
    <w:rsid w:val="004F3127"/>
    <w:rsid w:val="004F313B"/>
    <w:rsid w:val="004F3464"/>
    <w:rsid w:val="004F34D9"/>
    <w:rsid w:val="004F38E8"/>
    <w:rsid w:val="004F3B07"/>
    <w:rsid w:val="004F3B17"/>
    <w:rsid w:val="004F3D83"/>
    <w:rsid w:val="004F3E85"/>
    <w:rsid w:val="004F4071"/>
    <w:rsid w:val="004F41DE"/>
    <w:rsid w:val="004F4638"/>
    <w:rsid w:val="004F4655"/>
    <w:rsid w:val="004F481D"/>
    <w:rsid w:val="004F498B"/>
    <w:rsid w:val="004F4BBD"/>
    <w:rsid w:val="004F4C1A"/>
    <w:rsid w:val="004F514F"/>
    <w:rsid w:val="004F58C9"/>
    <w:rsid w:val="004F5A1A"/>
    <w:rsid w:val="004F5AA1"/>
    <w:rsid w:val="004F5AE3"/>
    <w:rsid w:val="004F5B97"/>
    <w:rsid w:val="004F6187"/>
    <w:rsid w:val="004F68F7"/>
    <w:rsid w:val="004F6C03"/>
    <w:rsid w:val="004F6E44"/>
    <w:rsid w:val="004F7584"/>
    <w:rsid w:val="004F7A0A"/>
    <w:rsid w:val="004F7A2C"/>
    <w:rsid w:val="004F7FEF"/>
    <w:rsid w:val="005001D7"/>
    <w:rsid w:val="00500369"/>
    <w:rsid w:val="00500412"/>
    <w:rsid w:val="00500480"/>
    <w:rsid w:val="00500483"/>
    <w:rsid w:val="00500797"/>
    <w:rsid w:val="005008E5"/>
    <w:rsid w:val="00500A17"/>
    <w:rsid w:val="00500B0C"/>
    <w:rsid w:val="00500DB5"/>
    <w:rsid w:val="00500DDC"/>
    <w:rsid w:val="00501282"/>
    <w:rsid w:val="005013AF"/>
    <w:rsid w:val="0050144E"/>
    <w:rsid w:val="005015B1"/>
    <w:rsid w:val="005016F1"/>
    <w:rsid w:val="00501B32"/>
    <w:rsid w:val="00501CE9"/>
    <w:rsid w:val="00501E42"/>
    <w:rsid w:val="00501E71"/>
    <w:rsid w:val="0050214A"/>
    <w:rsid w:val="00502387"/>
    <w:rsid w:val="00502D0D"/>
    <w:rsid w:val="00502D16"/>
    <w:rsid w:val="00502D67"/>
    <w:rsid w:val="00502F22"/>
    <w:rsid w:val="0050310D"/>
    <w:rsid w:val="0050345A"/>
    <w:rsid w:val="005035BF"/>
    <w:rsid w:val="0050397D"/>
    <w:rsid w:val="00503EB1"/>
    <w:rsid w:val="0050461E"/>
    <w:rsid w:val="005049A3"/>
    <w:rsid w:val="00504B7B"/>
    <w:rsid w:val="005052B3"/>
    <w:rsid w:val="005055E5"/>
    <w:rsid w:val="005057EA"/>
    <w:rsid w:val="00505A5D"/>
    <w:rsid w:val="00505B38"/>
    <w:rsid w:val="00505BA2"/>
    <w:rsid w:val="00505D76"/>
    <w:rsid w:val="005062A4"/>
    <w:rsid w:val="0050661D"/>
    <w:rsid w:val="0050681E"/>
    <w:rsid w:val="005069A8"/>
    <w:rsid w:val="00506C13"/>
    <w:rsid w:val="00506CFE"/>
    <w:rsid w:val="00507030"/>
    <w:rsid w:val="00507067"/>
    <w:rsid w:val="00507367"/>
    <w:rsid w:val="00507380"/>
    <w:rsid w:val="005074C9"/>
    <w:rsid w:val="005075AB"/>
    <w:rsid w:val="005078B3"/>
    <w:rsid w:val="00507918"/>
    <w:rsid w:val="00507ABB"/>
    <w:rsid w:val="00507D22"/>
    <w:rsid w:val="00510059"/>
    <w:rsid w:val="0051085D"/>
    <w:rsid w:val="00510899"/>
    <w:rsid w:val="005108B1"/>
    <w:rsid w:val="00510991"/>
    <w:rsid w:val="005109F2"/>
    <w:rsid w:val="00510B8E"/>
    <w:rsid w:val="00510BAA"/>
    <w:rsid w:val="00510E9B"/>
    <w:rsid w:val="00510F84"/>
    <w:rsid w:val="00510FAF"/>
    <w:rsid w:val="00510FF4"/>
    <w:rsid w:val="0051108C"/>
    <w:rsid w:val="00511288"/>
    <w:rsid w:val="00511343"/>
    <w:rsid w:val="0051152C"/>
    <w:rsid w:val="0051194C"/>
    <w:rsid w:val="00511DC2"/>
    <w:rsid w:val="00511E58"/>
    <w:rsid w:val="005120EA"/>
    <w:rsid w:val="0051212A"/>
    <w:rsid w:val="00512305"/>
    <w:rsid w:val="00512314"/>
    <w:rsid w:val="005123D3"/>
    <w:rsid w:val="00512A6D"/>
    <w:rsid w:val="00512BA1"/>
    <w:rsid w:val="00512C6D"/>
    <w:rsid w:val="005131D7"/>
    <w:rsid w:val="0051347D"/>
    <w:rsid w:val="0051349F"/>
    <w:rsid w:val="00513851"/>
    <w:rsid w:val="00513877"/>
    <w:rsid w:val="00513BF5"/>
    <w:rsid w:val="00513CF8"/>
    <w:rsid w:val="005140E6"/>
    <w:rsid w:val="0051411E"/>
    <w:rsid w:val="005145C5"/>
    <w:rsid w:val="00514730"/>
    <w:rsid w:val="005147BB"/>
    <w:rsid w:val="005147F4"/>
    <w:rsid w:val="00514A3A"/>
    <w:rsid w:val="00514E17"/>
    <w:rsid w:val="005152C9"/>
    <w:rsid w:val="0051551E"/>
    <w:rsid w:val="0051560D"/>
    <w:rsid w:val="00515737"/>
    <w:rsid w:val="0051587A"/>
    <w:rsid w:val="00515F50"/>
    <w:rsid w:val="00516066"/>
    <w:rsid w:val="00516265"/>
    <w:rsid w:val="00516D9F"/>
    <w:rsid w:val="00516E9F"/>
    <w:rsid w:val="00516F49"/>
    <w:rsid w:val="00516FE4"/>
    <w:rsid w:val="00517357"/>
    <w:rsid w:val="005175AE"/>
    <w:rsid w:val="0051783B"/>
    <w:rsid w:val="00517905"/>
    <w:rsid w:val="00517B20"/>
    <w:rsid w:val="00517CB7"/>
    <w:rsid w:val="00520154"/>
    <w:rsid w:val="005202BD"/>
    <w:rsid w:val="005204F4"/>
    <w:rsid w:val="005205DA"/>
    <w:rsid w:val="005207FC"/>
    <w:rsid w:val="00520D7C"/>
    <w:rsid w:val="00521034"/>
    <w:rsid w:val="005214ED"/>
    <w:rsid w:val="00521635"/>
    <w:rsid w:val="0052164E"/>
    <w:rsid w:val="0052187E"/>
    <w:rsid w:val="005219B7"/>
    <w:rsid w:val="00521AB9"/>
    <w:rsid w:val="00521ABB"/>
    <w:rsid w:val="00521AFB"/>
    <w:rsid w:val="0052209B"/>
    <w:rsid w:val="0052216F"/>
    <w:rsid w:val="005221B2"/>
    <w:rsid w:val="005223A5"/>
    <w:rsid w:val="0052243A"/>
    <w:rsid w:val="0052299E"/>
    <w:rsid w:val="00522CD5"/>
    <w:rsid w:val="00522DDE"/>
    <w:rsid w:val="0052304E"/>
    <w:rsid w:val="00523157"/>
    <w:rsid w:val="005233F5"/>
    <w:rsid w:val="0052349A"/>
    <w:rsid w:val="005235CB"/>
    <w:rsid w:val="005236AB"/>
    <w:rsid w:val="005237B8"/>
    <w:rsid w:val="005237BA"/>
    <w:rsid w:val="00523A83"/>
    <w:rsid w:val="00523AEC"/>
    <w:rsid w:val="00523E19"/>
    <w:rsid w:val="00523E6A"/>
    <w:rsid w:val="00523F25"/>
    <w:rsid w:val="00523F4C"/>
    <w:rsid w:val="00524136"/>
    <w:rsid w:val="00524150"/>
    <w:rsid w:val="00524370"/>
    <w:rsid w:val="005244C5"/>
    <w:rsid w:val="00524693"/>
    <w:rsid w:val="005246B0"/>
    <w:rsid w:val="0052474E"/>
    <w:rsid w:val="00524C6A"/>
    <w:rsid w:val="00524CB3"/>
    <w:rsid w:val="00524F60"/>
    <w:rsid w:val="005256E5"/>
    <w:rsid w:val="00525992"/>
    <w:rsid w:val="00525A0D"/>
    <w:rsid w:val="00525A5A"/>
    <w:rsid w:val="005260C5"/>
    <w:rsid w:val="0052615C"/>
    <w:rsid w:val="00526293"/>
    <w:rsid w:val="0052643B"/>
    <w:rsid w:val="005267DC"/>
    <w:rsid w:val="00526827"/>
    <w:rsid w:val="00526BD8"/>
    <w:rsid w:val="00526CA2"/>
    <w:rsid w:val="00526CA8"/>
    <w:rsid w:val="00526CCF"/>
    <w:rsid w:val="00526D49"/>
    <w:rsid w:val="00526DAA"/>
    <w:rsid w:val="00526E1F"/>
    <w:rsid w:val="00526EBD"/>
    <w:rsid w:val="005272D7"/>
    <w:rsid w:val="005273F0"/>
    <w:rsid w:val="00527995"/>
    <w:rsid w:val="00527B51"/>
    <w:rsid w:val="00527C02"/>
    <w:rsid w:val="00527CA2"/>
    <w:rsid w:val="00527F1E"/>
    <w:rsid w:val="0053000D"/>
    <w:rsid w:val="005300DA"/>
    <w:rsid w:val="00530157"/>
    <w:rsid w:val="00530208"/>
    <w:rsid w:val="00530472"/>
    <w:rsid w:val="005308E1"/>
    <w:rsid w:val="00530CAC"/>
    <w:rsid w:val="00531062"/>
    <w:rsid w:val="00531595"/>
    <w:rsid w:val="00531B26"/>
    <w:rsid w:val="00531E48"/>
    <w:rsid w:val="0053232E"/>
    <w:rsid w:val="005323F1"/>
    <w:rsid w:val="00532754"/>
    <w:rsid w:val="0053276C"/>
    <w:rsid w:val="005328B7"/>
    <w:rsid w:val="00532A3F"/>
    <w:rsid w:val="00532B79"/>
    <w:rsid w:val="00532BDF"/>
    <w:rsid w:val="00532D8A"/>
    <w:rsid w:val="005332CE"/>
    <w:rsid w:val="00533353"/>
    <w:rsid w:val="005337E4"/>
    <w:rsid w:val="00533922"/>
    <w:rsid w:val="00533E9B"/>
    <w:rsid w:val="00533FA2"/>
    <w:rsid w:val="00533FA7"/>
    <w:rsid w:val="00533FDB"/>
    <w:rsid w:val="00534343"/>
    <w:rsid w:val="00534644"/>
    <w:rsid w:val="00534757"/>
    <w:rsid w:val="00535205"/>
    <w:rsid w:val="00535232"/>
    <w:rsid w:val="00535388"/>
    <w:rsid w:val="005358B3"/>
    <w:rsid w:val="00535B25"/>
    <w:rsid w:val="00535C32"/>
    <w:rsid w:val="00536069"/>
    <w:rsid w:val="0053639C"/>
    <w:rsid w:val="00536491"/>
    <w:rsid w:val="005365AA"/>
    <w:rsid w:val="00536692"/>
    <w:rsid w:val="00536975"/>
    <w:rsid w:val="0053698E"/>
    <w:rsid w:val="00536B68"/>
    <w:rsid w:val="00536B76"/>
    <w:rsid w:val="00536D4D"/>
    <w:rsid w:val="00537035"/>
    <w:rsid w:val="005371BF"/>
    <w:rsid w:val="0053779B"/>
    <w:rsid w:val="00537854"/>
    <w:rsid w:val="005378AA"/>
    <w:rsid w:val="00537C42"/>
    <w:rsid w:val="00537C61"/>
    <w:rsid w:val="00537CF6"/>
    <w:rsid w:val="00537D43"/>
    <w:rsid w:val="00537E7F"/>
    <w:rsid w:val="005400BC"/>
    <w:rsid w:val="00540304"/>
    <w:rsid w:val="00540437"/>
    <w:rsid w:val="00540599"/>
    <w:rsid w:val="005405FD"/>
    <w:rsid w:val="0054072D"/>
    <w:rsid w:val="00540AF1"/>
    <w:rsid w:val="00540D35"/>
    <w:rsid w:val="00540F30"/>
    <w:rsid w:val="00540F4B"/>
    <w:rsid w:val="0054144C"/>
    <w:rsid w:val="00541A47"/>
    <w:rsid w:val="00541B3F"/>
    <w:rsid w:val="00541CB8"/>
    <w:rsid w:val="005423D0"/>
    <w:rsid w:val="005427AE"/>
    <w:rsid w:val="005427D7"/>
    <w:rsid w:val="005428BB"/>
    <w:rsid w:val="00542B93"/>
    <w:rsid w:val="00542CC4"/>
    <w:rsid w:val="00542DAA"/>
    <w:rsid w:val="005430FA"/>
    <w:rsid w:val="00543466"/>
    <w:rsid w:val="00543717"/>
    <w:rsid w:val="0054378A"/>
    <w:rsid w:val="00543A8D"/>
    <w:rsid w:val="00543B2D"/>
    <w:rsid w:val="00543F46"/>
    <w:rsid w:val="00543F92"/>
    <w:rsid w:val="00544082"/>
    <w:rsid w:val="005440E9"/>
    <w:rsid w:val="00544122"/>
    <w:rsid w:val="00544918"/>
    <w:rsid w:val="00544928"/>
    <w:rsid w:val="0054498D"/>
    <w:rsid w:val="00544B77"/>
    <w:rsid w:val="00544E12"/>
    <w:rsid w:val="00544E23"/>
    <w:rsid w:val="00545062"/>
    <w:rsid w:val="0054534A"/>
    <w:rsid w:val="0054540D"/>
    <w:rsid w:val="005459AE"/>
    <w:rsid w:val="005459D3"/>
    <w:rsid w:val="00545C38"/>
    <w:rsid w:val="00545D61"/>
    <w:rsid w:val="005462CB"/>
    <w:rsid w:val="00546375"/>
    <w:rsid w:val="0054653E"/>
    <w:rsid w:val="005469E7"/>
    <w:rsid w:val="00546B02"/>
    <w:rsid w:val="00546D0E"/>
    <w:rsid w:val="00546D78"/>
    <w:rsid w:val="0054707A"/>
    <w:rsid w:val="005473EA"/>
    <w:rsid w:val="005475E1"/>
    <w:rsid w:val="0054763F"/>
    <w:rsid w:val="00547841"/>
    <w:rsid w:val="00547A50"/>
    <w:rsid w:val="00547DF0"/>
    <w:rsid w:val="00547F6E"/>
    <w:rsid w:val="005501E1"/>
    <w:rsid w:val="0055043E"/>
    <w:rsid w:val="0055050E"/>
    <w:rsid w:val="005508DC"/>
    <w:rsid w:val="00550BFF"/>
    <w:rsid w:val="00550CF4"/>
    <w:rsid w:val="00550F07"/>
    <w:rsid w:val="00550FC4"/>
    <w:rsid w:val="005510DC"/>
    <w:rsid w:val="00551288"/>
    <w:rsid w:val="005513E0"/>
    <w:rsid w:val="005514EE"/>
    <w:rsid w:val="005516B2"/>
    <w:rsid w:val="0055194B"/>
    <w:rsid w:val="00551A60"/>
    <w:rsid w:val="00551B63"/>
    <w:rsid w:val="00551EB0"/>
    <w:rsid w:val="00551FED"/>
    <w:rsid w:val="00552344"/>
    <w:rsid w:val="00552C21"/>
    <w:rsid w:val="00552DB9"/>
    <w:rsid w:val="00553081"/>
    <w:rsid w:val="005535AA"/>
    <w:rsid w:val="0055362B"/>
    <w:rsid w:val="005536A7"/>
    <w:rsid w:val="005537A2"/>
    <w:rsid w:val="00553DAD"/>
    <w:rsid w:val="00554758"/>
    <w:rsid w:val="00554ACD"/>
    <w:rsid w:val="00554C20"/>
    <w:rsid w:val="00554D72"/>
    <w:rsid w:val="00554DAD"/>
    <w:rsid w:val="00554F73"/>
    <w:rsid w:val="00554FA2"/>
    <w:rsid w:val="005550E6"/>
    <w:rsid w:val="0055512A"/>
    <w:rsid w:val="0055520C"/>
    <w:rsid w:val="005554BC"/>
    <w:rsid w:val="0055577C"/>
    <w:rsid w:val="005558D9"/>
    <w:rsid w:val="00555B72"/>
    <w:rsid w:val="00555BD7"/>
    <w:rsid w:val="00555CF6"/>
    <w:rsid w:val="00556361"/>
    <w:rsid w:val="005564B8"/>
    <w:rsid w:val="005569FC"/>
    <w:rsid w:val="00556A21"/>
    <w:rsid w:val="00556E35"/>
    <w:rsid w:val="00556F11"/>
    <w:rsid w:val="00556FD5"/>
    <w:rsid w:val="005570F7"/>
    <w:rsid w:val="0055711F"/>
    <w:rsid w:val="00557270"/>
    <w:rsid w:val="00557359"/>
    <w:rsid w:val="00557827"/>
    <w:rsid w:val="00557B9E"/>
    <w:rsid w:val="00557DE4"/>
    <w:rsid w:val="00557F82"/>
    <w:rsid w:val="00560102"/>
    <w:rsid w:val="005606DA"/>
    <w:rsid w:val="005608B7"/>
    <w:rsid w:val="005609D2"/>
    <w:rsid w:val="00560A3D"/>
    <w:rsid w:val="00560EB8"/>
    <w:rsid w:val="005610A0"/>
    <w:rsid w:val="005610F7"/>
    <w:rsid w:val="005612D0"/>
    <w:rsid w:val="00561631"/>
    <w:rsid w:val="0056185C"/>
    <w:rsid w:val="00561A10"/>
    <w:rsid w:val="00561C3C"/>
    <w:rsid w:val="00561E6D"/>
    <w:rsid w:val="00561F9C"/>
    <w:rsid w:val="005621A6"/>
    <w:rsid w:val="005623E8"/>
    <w:rsid w:val="005625F4"/>
    <w:rsid w:val="005626BF"/>
    <w:rsid w:val="005629B1"/>
    <w:rsid w:val="00562BBA"/>
    <w:rsid w:val="0056371A"/>
    <w:rsid w:val="00563780"/>
    <w:rsid w:val="00563955"/>
    <w:rsid w:val="005639FD"/>
    <w:rsid w:val="00563B06"/>
    <w:rsid w:val="00563B74"/>
    <w:rsid w:val="00563D08"/>
    <w:rsid w:val="00563DFF"/>
    <w:rsid w:val="00563E54"/>
    <w:rsid w:val="00563F47"/>
    <w:rsid w:val="00563F55"/>
    <w:rsid w:val="00564021"/>
    <w:rsid w:val="005643B1"/>
    <w:rsid w:val="005647DB"/>
    <w:rsid w:val="005648E4"/>
    <w:rsid w:val="00564B70"/>
    <w:rsid w:val="00564FDF"/>
    <w:rsid w:val="00565272"/>
    <w:rsid w:val="00565921"/>
    <w:rsid w:val="00565BA1"/>
    <w:rsid w:val="00565D02"/>
    <w:rsid w:val="00565EC2"/>
    <w:rsid w:val="00565F56"/>
    <w:rsid w:val="0056637F"/>
    <w:rsid w:val="0056664C"/>
    <w:rsid w:val="005666C1"/>
    <w:rsid w:val="00566803"/>
    <w:rsid w:val="005668BB"/>
    <w:rsid w:val="0056697E"/>
    <w:rsid w:val="00566AB4"/>
    <w:rsid w:val="00566CD4"/>
    <w:rsid w:val="005670DA"/>
    <w:rsid w:val="0056743F"/>
    <w:rsid w:val="005675E9"/>
    <w:rsid w:val="0056777A"/>
    <w:rsid w:val="00567783"/>
    <w:rsid w:val="00567877"/>
    <w:rsid w:val="00567949"/>
    <w:rsid w:val="00567C85"/>
    <w:rsid w:val="00567E2F"/>
    <w:rsid w:val="00567FC5"/>
    <w:rsid w:val="00570010"/>
    <w:rsid w:val="00570129"/>
    <w:rsid w:val="00570147"/>
    <w:rsid w:val="005704F0"/>
    <w:rsid w:val="00570623"/>
    <w:rsid w:val="00570AEF"/>
    <w:rsid w:val="00570F91"/>
    <w:rsid w:val="0057115A"/>
    <w:rsid w:val="005712A4"/>
    <w:rsid w:val="005718A8"/>
    <w:rsid w:val="00571942"/>
    <w:rsid w:val="00571B5A"/>
    <w:rsid w:val="00571FD5"/>
    <w:rsid w:val="0057204D"/>
    <w:rsid w:val="005721A4"/>
    <w:rsid w:val="00572203"/>
    <w:rsid w:val="00572276"/>
    <w:rsid w:val="005722BC"/>
    <w:rsid w:val="0057232E"/>
    <w:rsid w:val="005723B6"/>
    <w:rsid w:val="005723BB"/>
    <w:rsid w:val="0057289B"/>
    <w:rsid w:val="005731E9"/>
    <w:rsid w:val="00573302"/>
    <w:rsid w:val="005733AC"/>
    <w:rsid w:val="00573647"/>
    <w:rsid w:val="00573903"/>
    <w:rsid w:val="005739D7"/>
    <w:rsid w:val="00573B1A"/>
    <w:rsid w:val="00573B6B"/>
    <w:rsid w:val="00573CC9"/>
    <w:rsid w:val="00573D33"/>
    <w:rsid w:val="00573DC5"/>
    <w:rsid w:val="00574223"/>
    <w:rsid w:val="005742D3"/>
    <w:rsid w:val="00574D66"/>
    <w:rsid w:val="00574E2E"/>
    <w:rsid w:val="00575284"/>
    <w:rsid w:val="0057546D"/>
    <w:rsid w:val="0057554A"/>
    <w:rsid w:val="00575822"/>
    <w:rsid w:val="005758F6"/>
    <w:rsid w:val="00575E87"/>
    <w:rsid w:val="0057604C"/>
    <w:rsid w:val="00576147"/>
    <w:rsid w:val="00576436"/>
    <w:rsid w:val="00576564"/>
    <w:rsid w:val="00576633"/>
    <w:rsid w:val="005767C0"/>
    <w:rsid w:val="00576B56"/>
    <w:rsid w:val="00576DD5"/>
    <w:rsid w:val="00576E83"/>
    <w:rsid w:val="00576EAA"/>
    <w:rsid w:val="00576FFD"/>
    <w:rsid w:val="005773DC"/>
    <w:rsid w:val="0057750A"/>
    <w:rsid w:val="00577618"/>
    <w:rsid w:val="005776CB"/>
    <w:rsid w:val="00577812"/>
    <w:rsid w:val="005779D6"/>
    <w:rsid w:val="00577DE7"/>
    <w:rsid w:val="0058007E"/>
    <w:rsid w:val="0058019F"/>
    <w:rsid w:val="00580408"/>
    <w:rsid w:val="005804FB"/>
    <w:rsid w:val="00580CCE"/>
    <w:rsid w:val="00580DF5"/>
    <w:rsid w:val="00581175"/>
    <w:rsid w:val="005814C3"/>
    <w:rsid w:val="005814E6"/>
    <w:rsid w:val="0058172C"/>
    <w:rsid w:val="00581958"/>
    <w:rsid w:val="00581A42"/>
    <w:rsid w:val="00581C03"/>
    <w:rsid w:val="00581D7D"/>
    <w:rsid w:val="005821CC"/>
    <w:rsid w:val="005829F6"/>
    <w:rsid w:val="00582D68"/>
    <w:rsid w:val="00582E7D"/>
    <w:rsid w:val="00582E8D"/>
    <w:rsid w:val="005833D3"/>
    <w:rsid w:val="00583944"/>
    <w:rsid w:val="00583E5F"/>
    <w:rsid w:val="00584205"/>
    <w:rsid w:val="00584757"/>
    <w:rsid w:val="00584B5F"/>
    <w:rsid w:val="00584BFE"/>
    <w:rsid w:val="00584D23"/>
    <w:rsid w:val="00584EC4"/>
    <w:rsid w:val="00585172"/>
    <w:rsid w:val="00585537"/>
    <w:rsid w:val="005855D0"/>
    <w:rsid w:val="005855E7"/>
    <w:rsid w:val="00585682"/>
    <w:rsid w:val="00585692"/>
    <w:rsid w:val="00585CF3"/>
    <w:rsid w:val="00585E56"/>
    <w:rsid w:val="00585F57"/>
    <w:rsid w:val="00586025"/>
    <w:rsid w:val="005860DE"/>
    <w:rsid w:val="005862BE"/>
    <w:rsid w:val="00586302"/>
    <w:rsid w:val="005864D9"/>
    <w:rsid w:val="0058654F"/>
    <w:rsid w:val="0058662C"/>
    <w:rsid w:val="0058693D"/>
    <w:rsid w:val="00586ACB"/>
    <w:rsid w:val="00586E61"/>
    <w:rsid w:val="00586F26"/>
    <w:rsid w:val="00587122"/>
    <w:rsid w:val="00587E8E"/>
    <w:rsid w:val="00590248"/>
    <w:rsid w:val="005903FA"/>
    <w:rsid w:val="0059077C"/>
    <w:rsid w:val="00590885"/>
    <w:rsid w:val="00590DD1"/>
    <w:rsid w:val="00591000"/>
    <w:rsid w:val="0059119C"/>
    <w:rsid w:val="005911E2"/>
    <w:rsid w:val="005916D5"/>
    <w:rsid w:val="005918AF"/>
    <w:rsid w:val="00591940"/>
    <w:rsid w:val="00591C6E"/>
    <w:rsid w:val="00591CC1"/>
    <w:rsid w:val="00591EF0"/>
    <w:rsid w:val="005926E2"/>
    <w:rsid w:val="00592AA8"/>
    <w:rsid w:val="00592C63"/>
    <w:rsid w:val="005931F5"/>
    <w:rsid w:val="00593202"/>
    <w:rsid w:val="0059340C"/>
    <w:rsid w:val="00593546"/>
    <w:rsid w:val="00593A69"/>
    <w:rsid w:val="00593DE3"/>
    <w:rsid w:val="005940A3"/>
    <w:rsid w:val="00594376"/>
    <w:rsid w:val="00594451"/>
    <w:rsid w:val="0059465D"/>
    <w:rsid w:val="005949B6"/>
    <w:rsid w:val="00594A50"/>
    <w:rsid w:val="005951D7"/>
    <w:rsid w:val="0059526A"/>
    <w:rsid w:val="0059561F"/>
    <w:rsid w:val="00595649"/>
    <w:rsid w:val="005956EA"/>
    <w:rsid w:val="005958A4"/>
    <w:rsid w:val="00595993"/>
    <w:rsid w:val="00595C9C"/>
    <w:rsid w:val="00595CF0"/>
    <w:rsid w:val="00595ECA"/>
    <w:rsid w:val="0059622C"/>
    <w:rsid w:val="0059629E"/>
    <w:rsid w:val="0059643A"/>
    <w:rsid w:val="005967D4"/>
    <w:rsid w:val="0059681A"/>
    <w:rsid w:val="00596B26"/>
    <w:rsid w:val="00596B65"/>
    <w:rsid w:val="00596CA5"/>
    <w:rsid w:val="00596DEF"/>
    <w:rsid w:val="00597096"/>
    <w:rsid w:val="0059734D"/>
    <w:rsid w:val="00597394"/>
    <w:rsid w:val="0059741D"/>
    <w:rsid w:val="0059783C"/>
    <w:rsid w:val="00597C14"/>
    <w:rsid w:val="005A03EA"/>
    <w:rsid w:val="005A05F8"/>
    <w:rsid w:val="005A084F"/>
    <w:rsid w:val="005A0983"/>
    <w:rsid w:val="005A0C46"/>
    <w:rsid w:val="005A0D27"/>
    <w:rsid w:val="005A127B"/>
    <w:rsid w:val="005A12CE"/>
    <w:rsid w:val="005A14C5"/>
    <w:rsid w:val="005A1681"/>
    <w:rsid w:val="005A16D2"/>
    <w:rsid w:val="005A19A2"/>
    <w:rsid w:val="005A19B3"/>
    <w:rsid w:val="005A1B49"/>
    <w:rsid w:val="005A1BD4"/>
    <w:rsid w:val="005A1E12"/>
    <w:rsid w:val="005A214D"/>
    <w:rsid w:val="005A2245"/>
    <w:rsid w:val="005A2383"/>
    <w:rsid w:val="005A2756"/>
    <w:rsid w:val="005A2C93"/>
    <w:rsid w:val="005A2D82"/>
    <w:rsid w:val="005A2DFD"/>
    <w:rsid w:val="005A2E96"/>
    <w:rsid w:val="005A3447"/>
    <w:rsid w:val="005A3502"/>
    <w:rsid w:val="005A3602"/>
    <w:rsid w:val="005A36B6"/>
    <w:rsid w:val="005A3DA1"/>
    <w:rsid w:val="005A3ED1"/>
    <w:rsid w:val="005A4315"/>
    <w:rsid w:val="005A4487"/>
    <w:rsid w:val="005A46F9"/>
    <w:rsid w:val="005A4977"/>
    <w:rsid w:val="005A4A3A"/>
    <w:rsid w:val="005A4ECB"/>
    <w:rsid w:val="005A5135"/>
    <w:rsid w:val="005A54D4"/>
    <w:rsid w:val="005A5B14"/>
    <w:rsid w:val="005A5BDE"/>
    <w:rsid w:val="005A602F"/>
    <w:rsid w:val="005A60E0"/>
    <w:rsid w:val="005A633C"/>
    <w:rsid w:val="005A6E15"/>
    <w:rsid w:val="005A6EFE"/>
    <w:rsid w:val="005A7074"/>
    <w:rsid w:val="005A7121"/>
    <w:rsid w:val="005A71D1"/>
    <w:rsid w:val="005A7276"/>
    <w:rsid w:val="005A7345"/>
    <w:rsid w:val="005A74F7"/>
    <w:rsid w:val="005A756C"/>
    <w:rsid w:val="005A7869"/>
    <w:rsid w:val="005A7895"/>
    <w:rsid w:val="005A7B3C"/>
    <w:rsid w:val="005B0135"/>
    <w:rsid w:val="005B0157"/>
    <w:rsid w:val="005B045A"/>
    <w:rsid w:val="005B0496"/>
    <w:rsid w:val="005B08D3"/>
    <w:rsid w:val="005B0963"/>
    <w:rsid w:val="005B0A0A"/>
    <w:rsid w:val="005B0BE8"/>
    <w:rsid w:val="005B0C83"/>
    <w:rsid w:val="005B10C2"/>
    <w:rsid w:val="005B1338"/>
    <w:rsid w:val="005B141E"/>
    <w:rsid w:val="005B18B3"/>
    <w:rsid w:val="005B1AB3"/>
    <w:rsid w:val="005B1F12"/>
    <w:rsid w:val="005B1F1F"/>
    <w:rsid w:val="005B20C7"/>
    <w:rsid w:val="005B215A"/>
    <w:rsid w:val="005B252B"/>
    <w:rsid w:val="005B25EC"/>
    <w:rsid w:val="005B2820"/>
    <w:rsid w:val="005B2CBF"/>
    <w:rsid w:val="005B31C8"/>
    <w:rsid w:val="005B3204"/>
    <w:rsid w:val="005B32D2"/>
    <w:rsid w:val="005B363A"/>
    <w:rsid w:val="005B3A30"/>
    <w:rsid w:val="005B3BA2"/>
    <w:rsid w:val="005B40CA"/>
    <w:rsid w:val="005B466D"/>
    <w:rsid w:val="005B4BB9"/>
    <w:rsid w:val="005B4EE9"/>
    <w:rsid w:val="005B4F48"/>
    <w:rsid w:val="005B5615"/>
    <w:rsid w:val="005B56F3"/>
    <w:rsid w:val="005B5751"/>
    <w:rsid w:val="005B57A5"/>
    <w:rsid w:val="005B5CB2"/>
    <w:rsid w:val="005B5FA5"/>
    <w:rsid w:val="005B60C7"/>
    <w:rsid w:val="005B60D6"/>
    <w:rsid w:val="005B636A"/>
    <w:rsid w:val="005B640F"/>
    <w:rsid w:val="005B6763"/>
    <w:rsid w:val="005B6846"/>
    <w:rsid w:val="005B69F0"/>
    <w:rsid w:val="005B6A18"/>
    <w:rsid w:val="005B7207"/>
    <w:rsid w:val="005B780A"/>
    <w:rsid w:val="005B7913"/>
    <w:rsid w:val="005B7E45"/>
    <w:rsid w:val="005B7F65"/>
    <w:rsid w:val="005C0039"/>
    <w:rsid w:val="005C0448"/>
    <w:rsid w:val="005C0981"/>
    <w:rsid w:val="005C098F"/>
    <w:rsid w:val="005C0A8D"/>
    <w:rsid w:val="005C0BF7"/>
    <w:rsid w:val="005C0BFD"/>
    <w:rsid w:val="005C1201"/>
    <w:rsid w:val="005C131D"/>
    <w:rsid w:val="005C1634"/>
    <w:rsid w:val="005C1AC5"/>
    <w:rsid w:val="005C1AF5"/>
    <w:rsid w:val="005C1B7D"/>
    <w:rsid w:val="005C1D5C"/>
    <w:rsid w:val="005C22C6"/>
    <w:rsid w:val="005C2352"/>
    <w:rsid w:val="005C28BB"/>
    <w:rsid w:val="005C2956"/>
    <w:rsid w:val="005C2DD4"/>
    <w:rsid w:val="005C2E02"/>
    <w:rsid w:val="005C2E7C"/>
    <w:rsid w:val="005C2F04"/>
    <w:rsid w:val="005C2F9A"/>
    <w:rsid w:val="005C3288"/>
    <w:rsid w:val="005C3673"/>
    <w:rsid w:val="005C373F"/>
    <w:rsid w:val="005C389C"/>
    <w:rsid w:val="005C3A23"/>
    <w:rsid w:val="005C3B0C"/>
    <w:rsid w:val="005C3BF3"/>
    <w:rsid w:val="005C3C03"/>
    <w:rsid w:val="005C3CFC"/>
    <w:rsid w:val="005C3E80"/>
    <w:rsid w:val="005C407B"/>
    <w:rsid w:val="005C4284"/>
    <w:rsid w:val="005C42C4"/>
    <w:rsid w:val="005C43E2"/>
    <w:rsid w:val="005C469E"/>
    <w:rsid w:val="005C4877"/>
    <w:rsid w:val="005C4892"/>
    <w:rsid w:val="005C4922"/>
    <w:rsid w:val="005C4EAA"/>
    <w:rsid w:val="005C5095"/>
    <w:rsid w:val="005C53DD"/>
    <w:rsid w:val="005C5A7E"/>
    <w:rsid w:val="005C5B7B"/>
    <w:rsid w:val="005C5BE0"/>
    <w:rsid w:val="005C5DF6"/>
    <w:rsid w:val="005C5EE0"/>
    <w:rsid w:val="005C6425"/>
    <w:rsid w:val="005C65AB"/>
    <w:rsid w:val="005C684A"/>
    <w:rsid w:val="005C69BE"/>
    <w:rsid w:val="005C6A03"/>
    <w:rsid w:val="005C6A6E"/>
    <w:rsid w:val="005C6ADA"/>
    <w:rsid w:val="005C6C3D"/>
    <w:rsid w:val="005C6DDF"/>
    <w:rsid w:val="005C6E8E"/>
    <w:rsid w:val="005C71A6"/>
    <w:rsid w:val="005C71EA"/>
    <w:rsid w:val="005C72CD"/>
    <w:rsid w:val="005C730E"/>
    <w:rsid w:val="005C74DA"/>
    <w:rsid w:val="005C78FE"/>
    <w:rsid w:val="005C7B16"/>
    <w:rsid w:val="005C7BF3"/>
    <w:rsid w:val="005C7DFF"/>
    <w:rsid w:val="005D0215"/>
    <w:rsid w:val="005D027C"/>
    <w:rsid w:val="005D02EF"/>
    <w:rsid w:val="005D05E6"/>
    <w:rsid w:val="005D0715"/>
    <w:rsid w:val="005D077F"/>
    <w:rsid w:val="005D07C9"/>
    <w:rsid w:val="005D10A9"/>
    <w:rsid w:val="005D1144"/>
    <w:rsid w:val="005D19AC"/>
    <w:rsid w:val="005D1C5B"/>
    <w:rsid w:val="005D1EF4"/>
    <w:rsid w:val="005D2072"/>
    <w:rsid w:val="005D221A"/>
    <w:rsid w:val="005D2333"/>
    <w:rsid w:val="005D234F"/>
    <w:rsid w:val="005D24AF"/>
    <w:rsid w:val="005D2801"/>
    <w:rsid w:val="005D289E"/>
    <w:rsid w:val="005D297B"/>
    <w:rsid w:val="005D2A4F"/>
    <w:rsid w:val="005D2A97"/>
    <w:rsid w:val="005D2F3A"/>
    <w:rsid w:val="005D300D"/>
    <w:rsid w:val="005D3430"/>
    <w:rsid w:val="005D360C"/>
    <w:rsid w:val="005D36CE"/>
    <w:rsid w:val="005D39EF"/>
    <w:rsid w:val="005D3B50"/>
    <w:rsid w:val="005D3E72"/>
    <w:rsid w:val="005D4028"/>
    <w:rsid w:val="005D43AE"/>
    <w:rsid w:val="005D4565"/>
    <w:rsid w:val="005D4997"/>
    <w:rsid w:val="005D506B"/>
    <w:rsid w:val="005D51F0"/>
    <w:rsid w:val="005D5298"/>
    <w:rsid w:val="005D52A1"/>
    <w:rsid w:val="005D532B"/>
    <w:rsid w:val="005D5392"/>
    <w:rsid w:val="005D54EF"/>
    <w:rsid w:val="005D5521"/>
    <w:rsid w:val="005D5533"/>
    <w:rsid w:val="005D55A7"/>
    <w:rsid w:val="005D55D2"/>
    <w:rsid w:val="005D56BC"/>
    <w:rsid w:val="005D5C1F"/>
    <w:rsid w:val="005D5ECB"/>
    <w:rsid w:val="005D5F05"/>
    <w:rsid w:val="005D603E"/>
    <w:rsid w:val="005D60C9"/>
    <w:rsid w:val="005D613F"/>
    <w:rsid w:val="005D6198"/>
    <w:rsid w:val="005D660C"/>
    <w:rsid w:val="005D678B"/>
    <w:rsid w:val="005D6C8E"/>
    <w:rsid w:val="005D73A6"/>
    <w:rsid w:val="005D7574"/>
    <w:rsid w:val="005D77C7"/>
    <w:rsid w:val="005D790D"/>
    <w:rsid w:val="005D7951"/>
    <w:rsid w:val="005D7EF4"/>
    <w:rsid w:val="005DF252"/>
    <w:rsid w:val="005E018B"/>
    <w:rsid w:val="005E0660"/>
    <w:rsid w:val="005E0815"/>
    <w:rsid w:val="005E0A1F"/>
    <w:rsid w:val="005E0B8C"/>
    <w:rsid w:val="005E0D4F"/>
    <w:rsid w:val="005E0E6C"/>
    <w:rsid w:val="005E1480"/>
    <w:rsid w:val="005E1512"/>
    <w:rsid w:val="005E15E3"/>
    <w:rsid w:val="005E1A55"/>
    <w:rsid w:val="005E1E55"/>
    <w:rsid w:val="005E2005"/>
    <w:rsid w:val="005E224F"/>
    <w:rsid w:val="005E2460"/>
    <w:rsid w:val="005E262C"/>
    <w:rsid w:val="005E2A6D"/>
    <w:rsid w:val="005E2B22"/>
    <w:rsid w:val="005E2C61"/>
    <w:rsid w:val="005E2CA4"/>
    <w:rsid w:val="005E3046"/>
    <w:rsid w:val="005E3510"/>
    <w:rsid w:val="005E36D6"/>
    <w:rsid w:val="005E37ED"/>
    <w:rsid w:val="005E38C2"/>
    <w:rsid w:val="005E3967"/>
    <w:rsid w:val="005E3A70"/>
    <w:rsid w:val="005E3D05"/>
    <w:rsid w:val="005E3E22"/>
    <w:rsid w:val="005E3F5B"/>
    <w:rsid w:val="005E3FF2"/>
    <w:rsid w:val="005E443D"/>
    <w:rsid w:val="005E449A"/>
    <w:rsid w:val="005E4533"/>
    <w:rsid w:val="005E45FB"/>
    <w:rsid w:val="005E4723"/>
    <w:rsid w:val="005E4E46"/>
    <w:rsid w:val="005E50AA"/>
    <w:rsid w:val="005E51EC"/>
    <w:rsid w:val="005E521A"/>
    <w:rsid w:val="005E526A"/>
    <w:rsid w:val="005E5311"/>
    <w:rsid w:val="005E5446"/>
    <w:rsid w:val="005E571B"/>
    <w:rsid w:val="005E5771"/>
    <w:rsid w:val="005E5A02"/>
    <w:rsid w:val="005E5B7D"/>
    <w:rsid w:val="005E6317"/>
    <w:rsid w:val="005E636F"/>
    <w:rsid w:val="005E675C"/>
    <w:rsid w:val="005E6B37"/>
    <w:rsid w:val="005E6F07"/>
    <w:rsid w:val="005E70BC"/>
    <w:rsid w:val="005E74B4"/>
    <w:rsid w:val="005E79D7"/>
    <w:rsid w:val="005E7E6E"/>
    <w:rsid w:val="005E7E8D"/>
    <w:rsid w:val="005F006A"/>
    <w:rsid w:val="005F00E1"/>
    <w:rsid w:val="005F00FC"/>
    <w:rsid w:val="005F0231"/>
    <w:rsid w:val="005F02B2"/>
    <w:rsid w:val="005F0691"/>
    <w:rsid w:val="005F09F5"/>
    <w:rsid w:val="005F0A4B"/>
    <w:rsid w:val="005F0A74"/>
    <w:rsid w:val="005F0BF7"/>
    <w:rsid w:val="005F1007"/>
    <w:rsid w:val="005F1311"/>
    <w:rsid w:val="005F14F7"/>
    <w:rsid w:val="005F1558"/>
    <w:rsid w:val="005F188D"/>
    <w:rsid w:val="005F1C2D"/>
    <w:rsid w:val="005F1D4D"/>
    <w:rsid w:val="005F1D8D"/>
    <w:rsid w:val="005F21C9"/>
    <w:rsid w:val="005F247D"/>
    <w:rsid w:val="005F26B1"/>
    <w:rsid w:val="005F2EF6"/>
    <w:rsid w:val="005F30BF"/>
    <w:rsid w:val="005F372C"/>
    <w:rsid w:val="005F3739"/>
    <w:rsid w:val="005F3A9B"/>
    <w:rsid w:val="005F3E71"/>
    <w:rsid w:val="005F3FB8"/>
    <w:rsid w:val="005F4312"/>
    <w:rsid w:val="005F43AF"/>
    <w:rsid w:val="005F4523"/>
    <w:rsid w:val="005F4788"/>
    <w:rsid w:val="005F4856"/>
    <w:rsid w:val="005F4B69"/>
    <w:rsid w:val="005F4EA7"/>
    <w:rsid w:val="005F502B"/>
    <w:rsid w:val="005F5040"/>
    <w:rsid w:val="005F51F2"/>
    <w:rsid w:val="005F520D"/>
    <w:rsid w:val="005F54FF"/>
    <w:rsid w:val="005F56AE"/>
    <w:rsid w:val="005F5978"/>
    <w:rsid w:val="005F5CB9"/>
    <w:rsid w:val="005F5E35"/>
    <w:rsid w:val="005F61FC"/>
    <w:rsid w:val="005F6447"/>
    <w:rsid w:val="005F64CD"/>
    <w:rsid w:val="005F653A"/>
    <w:rsid w:val="005F653F"/>
    <w:rsid w:val="005F6615"/>
    <w:rsid w:val="005F68A0"/>
    <w:rsid w:val="005F69B7"/>
    <w:rsid w:val="005F6AC0"/>
    <w:rsid w:val="005F6D52"/>
    <w:rsid w:val="005F7283"/>
    <w:rsid w:val="005F73C6"/>
    <w:rsid w:val="005F7421"/>
    <w:rsid w:val="005F7908"/>
    <w:rsid w:val="005F79BE"/>
    <w:rsid w:val="005F7DB6"/>
    <w:rsid w:val="005F7E7B"/>
    <w:rsid w:val="00600095"/>
    <w:rsid w:val="0060026E"/>
    <w:rsid w:val="00600389"/>
    <w:rsid w:val="0060043C"/>
    <w:rsid w:val="0060045B"/>
    <w:rsid w:val="006004A5"/>
    <w:rsid w:val="00600815"/>
    <w:rsid w:val="006009AC"/>
    <w:rsid w:val="006009F3"/>
    <w:rsid w:val="00600E99"/>
    <w:rsid w:val="006011BA"/>
    <w:rsid w:val="0060144C"/>
    <w:rsid w:val="00601729"/>
    <w:rsid w:val="00601957"/>
    <w:rsid w:val="00602081"/>
    <w:rsid w:val="006020EF"/>
    <w:rsid w:val="00602180"/>
    <w:rsid w:val="00602383"/>
    <w:rsid w:val="006023DB"/>
    <w:rsid w:val="006026AC"/>
    <w:rsid w:val="006026E6"/>
    <w:rsid w:val="00602987"/>
    <w:rsid w:val="00602BEF"/>
    <w:rsid w:val="00602E57"/>
    <w:rsid w:val="00603012"/>
    <w:rsid w:val="006030BB"/>
    <w:rsid w:val="006030BD"/>
    <w:rsid w:val="00603808"/>
    <w:rsid w:val="00603C02"/>
    <w:rsid w:val="00603C48"/>
    <w:rsid w:val="00604700"/>
    <w:rsid w:val="006047B1"/>
    <w:rsid w:val="006047D4"/>
    <w:rsid w:val="00604844"/>
    <w:rsid w:val="00604C70"/>
    <w:rsid w:val="00604DE8"/>
    <w:rsid w:val="00605135"/>
    <w:rsid w:val="006051F3"/>
    <w:rsid w:val="00605261"/>
    <w:rsid w:val="0060548A"/>
    <w:rsid w:val="006054CF"/>
    <w:rsid w:val="006054D2"/>
    <w:rsid w:val="006055B8"/>
    <w:rsid w:val="0060563D"/>
    <w:rsid w:val="0060591A"/>
    <w:rsid w:val="00605BE0"/>
    <w:rsid w:val="00605BE6"/>
    <w:rsid w:val="00605FAA"/>
    <w:rsid w:val="006064F1"/>
    <w:rsid w:val="00606608"/>
    <w:rsid w:val="0060683B"/>
    <w:rsid w:val="00606BA1"/>
    <w:rsid w:val="00606C4D"/>
    <w:rsid w:val="00606D98"/>
    <w:rsid w:val="00606FA7"/>
    <w:rsid w:val="0060719F"/>
    <w:rsid w:val="0060722B"/>
    <w:rsid w:val="006076E6"/>
    <w:rsid w:val="00607856"/>
    <w:rsid w:val="006079D1"/>
    <w:rsid w:val="00607BD8"/>
    <w:rsid w:val="00607C4F"/>
    <w:rsid w:val="00607DA0"/>
    <w:rsid w:val="00610168"/>
    <w:rsid w:val="006101F7"/>
    <w:rsid w:val="0061038F"/>
    <w:rsid w:val="00610465"/>
    <w:rsid w:val="00610479"/>
    <w:rsid w:val="006109DC"/>
    <w:rsid w:val="00610A82"/>
    <w:rsid w:val="00610A92"/>
    <w:rsid w:val="00610BAF"/>
    <w:rsid w:val="00611228"/>
    <w:rsid w:val="0061156F"/>
    <w:rsid w:val="00611990"/>
    <w:rsid w:val="00611B42"/>
    <w:rsid w:val="00611BAB"/>
    <w:rsid w:val="00611CF8"/>
    <w:rsid w:val="00611E6A"/>
    <w:rsid w:val="00611EAE"/>
    <w:rsid w:val="00612031"/>
    <w:rsid w:val="006120DC"/>
    <w:rsid w:val="0061213B"/>
    <w:rsid w:val="006124F6"/>
    <w:rsid w:val="0061286F"/>
    <w:rsid w:val="00612A4F"/>
    <w:rsid w:val="00612B0B"/>
    <w:rsid w:val="00612C93"/>
    <w:rsid w:val="00612E02"/>
    <w:rsid w:val="0061306A"/>
    <w:rsid w:val="0061317B"/>
    <w:rsid w:val="006131C5"/>
    <w:rsid w:val="00613534"/>
    <w:rsid w:val="0061373D"/>
    <w:rsid w:val="0061388C"/>
    <w:rsid w:val="006139BA"/>
    <w:rsid w:val="00613A9B"/>
    <w:rsid w:val="00613B66"/>
    <w:rsid w:val="00613CCA"/>
    <w:rsid w:val="0061439F"/>
    <w:rsid w:val="00614424"/>
    <w:rsid w:val="0061456B"/>
    <w:rsid w:val="00614C5D"/>
    <w:rsid w:val="00614D6C"/>
    <w:rsid w:val="00614E47"/>
    <w:rsid w:val="0061530F"/>
    <w:rsid w:val="006154AB"/>
    <w:rsid w:val="00615572"/>
    <w:rsid w:val="0061557B"/>
    <w:rsid w:val="006160C4"/>
    <w:rsid w:val="00616265"/>
    <w:rsid w:val="006163CF"/>
    <w:rsid w:val="0061668C"/>
    <w:rsid w:val="00616B95"/>
    <w:rsid w:val="00616D23"/>
    <w:rsid w:val="00616D65"/>
    <w:rsid w:val="00616EA6"/>
    <w:rsid w:val="00617344"/>
    <w:rsid w:val="00617384"/>
    <w:rsid w:val="00617401"/>
    <w:rsid w:val="006176D6"/>
    <w:rsid w:val="00617784"/>
    <w:rsid w:val="00617EEA"/>
    <w:rsid w:val="006206B5"/>
    <w:rsid w:val="006207FC"/>
    <w:rsid w:val="006208FF"/>
    <w:rsid w:val="00620B88"/>
    <w:rsid w:val="00620D96"/>
    <w:rsid w:val="00621183"/>
    <w:rsid w:val="0062190D"/>
    <w:rsid w:val="006219AD"/>
    <w:rsid w:val="00621B7A"/>
    <w:rsid w:val="00621C4D"/>
    <w:rsid w:val="00621D64"/>
    <w:rsid w:val="00621E7D"/>
    <w:rsid w:val="00622146"/>
    <w:rsid w:val="00622278"/>
    <w:rsid w:val="0062254B"/>
    <w:rsid w:val="00622929"/>
    <w:rsid w:val="00622E59"/>
    <w:rsid w:val="00623205"/>
    <w:rsid w:val="00623262"/>
    <w:rsid w:val="006233E1"/>
    <w:rsid w:val="00623488"/>
    <w:rsid w:val="00623515"/>
    <w:rsid w:val="006235BB"/>
    <w:rsid w:val="006236DB"/>
    <w:rsid w:val="0062377F"/>
    <w:rsid w:val="00623907"/>
    <w:rsid w:val="00623954"/>
    <w:rsid w:val="00623B98"/>
    <w:rsid w:val="00623C13"/>
    <w:rsid w:val="00624130"/>
    <w:rsid w:val="0062415F"/>
    <w:rsid w:val="00624376"/>
    <w:rsid w:val="0062460B"/>
    <w:rsid w:val="0062479F"/>
    <w:rsid w:val="0062495F"/>
    <w:rsid w:val="00624A70"/>
    <w:rsid w:val="00624AB7"/>
    <w:rsid w:val="00624B39"/>
    <w:rsid w:val="00624BA2"/>
    <w:rsid w:val="00624DAB"/>
    <w:rsid w:val="0062509A"/>
    <w:rsid w:val="0062595E"/>
    <w:rsid w:val="00625C6D"/>
    <w:rsid w:val="00625F42"/>
    <w:rsid w:val="00626004"/>
    <w:rsid w:val="006262F3"/>
    <w:rsid w:val="006264E6"/>
    <w:rsid w:val="00626579"/>
    <w:rsid w:val="006269A8"/>
    <w:rsid w:val="00626A30"/>
    <w:rsid w:val="00626CEC"/>
    <w:rsid w:val="0062703F"/>
    <w:rsid w:val="006270A1"/>
    <w:rsid w:val="006270A7"/>
    <w:rsid w:val="006272A4"/>
    <w:rsid w:val="0062764C"/>
    <w:rsid w:val="00627705"/>
    <w:rsid w:val="0062773E"/>
    <w:rsid w:val="0062796F"/>
    <w:rsid w:val="006279C8"/>
    <w:rsid w:val="00627D4A"/>
    <w:rsid w:val="006300E3"/>
    <w:rsid w:val="0063013E"/>
    <w:rsid w:val="006306A9"/>
    <w:rsid w:val="006307DF"/>
    <w:rsid w:val="00630A60"/>
    <w:rsid w:val="00630EB3"/>
    <w:rsid w:val="006312D6"/>
    <w:rsid w:val="0063139E"/>
    <w:rsid w:val="006314DF"/>
    <w:rsid w:val="00631605"/>
    <w:rsid w:val="0063176C"/>
    <w:rsid w:val="00631A71"/>
    <w:rsid w:val="00631DA7"/>
    <w:rsid w:val="00631FF6"/>
    <w:rsid w:val="00632021"/>
    <w:rsid w:val="00632458"/>
    <w:rsid w:val="0063274C"/>
    <w:rsid w:val="00632A39"/>
    <w:rsid w:val="00632C15"/>
    <w:rsid w:val="00632DE5"/>
    <w:rsid w:val="00632EE5"/>
    <w:rsid w:val="006334FA"/>
    <w:rsid w:val="00633969"/>
    <w:rsid w:val="00633A06"/>
    <w:rsid w:val="00633A5F"/>
    <w:rsid w:val="00633CAE"/>
    <w:rsid w:val="00633E70"/>
    <w:rsid w:val="006340AF"/>
    <w:rsid w:val="006341F7"/>
    <w:rsid w:val="00634297"/>
    <w:rsid w:val="00634A6B"/>
    <w:rsid w:val="00634C12"/>
    <w:rsid w:val="00634C5F"/>
    <w:rsid w:val="00634CB5"/>
    <w:rsid w:val="00634ECD"/>
    <w:rsid w:val="00634F72"/>
    <w:rsid w:val="00635127"/>
    <w:rsid w:val="00635301"/>
    <w:rsid w:val="00635317"/>
    <w:rsid w:val="00635457"/>
    <w:rsid w:val="00635485"/>
    <w:rsid w:val="0063561D"/>
    <w:rsid w:val="0063563F"/>
    <w:rsid w:val="00635816"/>
    <w:rsid w:val="00635860"/>
    <w:rsid w:val="006359E8"/>
    <w:rsid w:val="006359F5"/>
    <w:rsid w:val="00635AAF"/>
    <w:rsid w:val="00635C89"/>
    <w:rsid w:val="00635DF2"/>
    <w:rsid w:val="00635E59"/>
    <w:rsid w:val="0063623F"/>
    <w:rsid w:val="00636542"/>
    <w:rsid w:val="006366DB"/>
    <w:rsid w:val="00636717"/>
    <w:rsid w:val="00636C64"/>
    <w:rsid w:val="00636C84"/>
    <w:rsid w:val="00636CAE"/>
    <w:rsid w:val="00636DF1"/>
    <w:rsid w:val="0063717F"/>
    <w:rsid w:val="00637224"/>
    <w:rsid w:val="006377C8"/>
    <w:rsid w:val="00637999"/>
    <w:rsid w:val="00637B92"/>
    <w:rsid w:val="00637C9E"/>
    <w:rsid w:val="00637CC6"/>
    <w:rsid w:val="00637D06"/>
    <w:rsid w:val="00637E56"/>
    <w:rsid w:val="006400B3"/>
    <w:rsid w:val="00640161"/>
    <w:rsid w:val="0064022B"/>
    <w:rsid w:val="00640412"/>
    <w:rsid w:val="006405B9"/>
    <w:rsid w:val="00640967"/>
    <w:rsid w:val="006409F4"/>
    <w:rsid w:val="00640AA9"/>
    <w:rsid w:val="00640AEF"/>
    <w:rsid w:val="00640D07"/>
    <w:rsid w:val="00640D1F"/>
    <w:rsid w:val="00641286"/>
    <w:rsid w:val="00641298"/>
    <w:rsid w:val="0064145C"/>
    <w:rsid w:val="00641869"/>
    <w:rsid w:val="00641CA7"/>
    <w:rsid w:val="00641F9C"/>
    <w:rsid w:val="0064200B"/>
    <w:rsid w:val="0064202D"/>
    <w:rsid w:val="0064226C"/>
    <w:rsid w:val="0064238B"/>
    <w:rsid w:val="0064289B"/>
    <w:rsid w:val="006429DB"/>
    <w:rsid w:val="00642A43"/>
    <w:rsid w:val="00642C89"/>
    <w:rsid w:val="00642E56"/>
    <w:rsid w:val="00642FD8"/>
    <w:rsid w:val="006430AE"/>
    <w:rsid w:val="0064310B"/>
    <w:rsid w:val="006431A1"/>
    <w:rsid w:val="00643313"/>
    <w:rsid w:val="0064346C"/>
    <w:rsid w:val="006434A3"/>
    <w:rsid w:val="00643563"/>
    <w:rsid w:val="006435AA"/>
    <w:rsid w:val="00643693"/>
    <w:rsid w:val="006439A0"/>
    <w:rsid w:val="006439E9"/>
    <w:rsid w:val="00643AE4"/>
    <w:rsid w:val="00643DE6"/>
    <w:rsid w:val="00644553"/>
    <w:rsid w:val="00644B95"/>
    <w:rsid w:val="00644E7A"/>
    <w:rsid w:val="00644E7E"/>
    <w:rsid w:val="00644E87"/>
    <w:rsid w:val="0064511E"/>
    <w:rsid w:val="00645339"/>
    <w:rsid w:val="00645512"/>
    <w:rsid w:val="006457C8"/>
    <w:rsid w:val="00645D23"/>
    <w:rsid w:val="00646231"/>
    <w:rsid w:val="00646235"/>
    <w:rsid w:val="00646259"/>
    <w:rsid w:val="0064625A"/>
    <w:rsid w:val="00646532"/>
    <w:rsid w:val="00646735"/>
    <w:rsid w:val="006469BA"/>
    <w:rsid w:val="00646E88"/>
    <w:rsid w:val="00646EE8"/>
    <w:rsid w:val="0064706F"/>
    <w:rsid w:val="0064732A"/>
    <w:rsid w:val="006474B3"/>
    <w:rsid w:val="006474F2"/>
    <w:rsid w:val="00647EB2"/>
    <w:rsid w:val="00647FD7"/>
    <w:rsid w:val="0064E3CE"/>
    <w:rsid w:val="0065008E"/>
    <w:rsid w:val="00650092"/>
    <w:rsid w:val="0065056A"/>
    <w:rsid w:val="006506EC"/>
    <w:rsid w:val="0065098C"/>
    <w:rsid w:val="00650D8F"/>
    <w:rsid w:val="00651340"/>
    <w:rsid w:val="006513A5"/>
    <w:rsid w:val="006513C3"/>
    <w:rsid w:val="00651438"/>
    <w:rsid w:val="00651686"/>
    <w:rsid w:val="0065172C"/>
    <w:rsid w:val="00651740"/>
    <w:rsid w:val="0065180D"/>
    <w:rsid w:val="00651A4F"/>
    <w:rsid w:val="00651C93"/>
    <w:rsid w:val="00651CD7"/>
    <w:rsid w:val="00651E14"/>
    <w:rsid w:val="00651FF6"/>
    <w:rsid w:val="006520E3"/>
    <w:rsid w:val="006522EC"/>
    <w:rsid w:val="006526CE"/>
    <w:rsid w:val="006527D6"/>
    <w:rsid w:val="00652939"/>
    <w:rsid w:val="0065299B"/>
    <w:rsid w:val="00652AA8"/>
    <w:rsid w:val="00652CC1"/>
    <w:rsid w:val="00652FB0"/>
    <w:rsid w:val="0065326D"/>
    <w:rsid w:val="0065343C"/>
    <w:rsid w:val="0065343E"/>
    <w:rsid w:val="0065373D"/>
    <w:rsid w:val="00653749"/>
    <w:rsid w:val="006537EF"/>
    <w:rsid w:val="00653842"/>
    <w:rsid w:val="006539EE"/>
    <w:rsid w:val="00653E17"/>
    <w:rsid w:val="00654090"/>
    <w:rsid w:val="0065417E"/>
    <w:rsid w:val="00654280"/>
    <w:rsid w:val="006542F2"/>
    <w:rsid w:val="006543A4"/>
    <w:rsid w:val="006543E4"/>
    <w:rsid w:val="006546BB"/>
    <w:rsid w:val="0065481D"/>
    <w:rsid w:val="00654876"/>
    <w:rsid w:val="00654A84"/>
    <w:rsid w:val="00654AB8"/>
    <w:rsid w:val="00654AD7"/>
    <w:rsid w:val="00654B50"/>
    <w:rsid w:val="00654B83"/>
    <w:rsid w:val="006550AE"/>
    <w:rsid w:val="00655436"/>
    <w:rsid w:val="006554E8"/>
    <w:rsid w:val="006555CF"/>
    <w:rsid w:val="006556B5"/>
    <w:rsid w:val="00655798"/>
    <w:rsid w:val="006559E6"/>
    <w:rsid w:val="00655CB3"/>
    <w:rsid w:val="00656066"/>
    <w:rsid w:val="0065619A"/>
    <w:rsid w:val="006561E2"/>
    <w:rsid w:val="0065638A"/>
    <w:rsid w:val="0065663A"/>
    <w:rsid w:val="00656AF0"/>
    <w:rsid w:val="00656B23"/>
    <w:rsid w:val="00656C7F"/>
    <w:rsid w:val="00656CC2"/>
    <w:rsid w:val="00656E87"/>
    <w:rsid w:val="00656F8B"/>
    <w:rsid w:val="00656FCA"/>
    <w:rsid w:val="00657366"/>
    <w:rsid w:val="00657AE5"/>
    <w:rsid w:val="00657BE2"/>
    <w:rsid w:val="00657C4B"/>
    <w:rsid w:val="00657EBC"/>
    <w:rsid w:val="00657F70"/>
    <w:rsid w:val="00657FC6"/>
    <w:rsid w:val="0066015F"/>
    <w:rsid w:val="00660361"/>
    <w:rsid w:val="006604B7"/>
    <w:rsid w:val="00660675"/>
    <w:rsid w:val="00660BE4"/>
    <w:rsid w:val="00660E89"/>
    <w:rsid w:val="00660EFE"/>
    <w:rsid w:val="00661163"/>
    <w:rsid w:val="006614B3"/>
    <w:rsid w:val="006619C8"/>
    <w:rsid w:val="006621A6"/>
    <w:rsid w:val="0066224E"/>
    <w:rsid w:val="006626D9"/>
    <w:rsid w:val="00662883"/>
    <w:rsid w:val="00662EDB"/>
    <w:rsid w:val="0066301F"/>
    <w:rsid w:val="006631F7"/>
    <w:rsid w:val="006633C0"/>
    <w:rsid w:val="006635CF"/>
    <w:rsid w:val="0066376F"/>
    <w:rsid w:val="006637E3"/>
    <w:rsid w:val="0066384C"/>
    <w:rsid w:val="00663AFC"/>
    <w:rsid w:val="00663FB6"/>
    <w:rsid w:val="00664205"/>
    <w:rsid w:val="00664231"/>
    <w:rsid w:val="0066465A"/>
    <w:rsid w:val="006646A5"/>
    <w:rsid w:val="00664883"/>
    <w:rsid w:val="00664975"/>
    <w:rsid w:val="00664ADF"/>
    <w:rsid w:val="00664B86"/>
    <w:rsid w:val="00664C91"/>
    <w:rsid w:val="00664CFD"/>
    <w:rsid w:val="00665085"/>
    <w:rsid w:val="0066508D"/>
    <w:rsid w:val="00665481"/>
    <w:rsid w:val="00665A2E"/>
    <w:rsid w:val="00665AD4"/>
    <w:rsid w:val="00665C42"/>
    <w:rsid w:val="00665C96"/>
    <w:rsid w:val="00665CEE"/>
    <w:rsid w:val="00666084"/>
    <w:rsid w:val="006660EC"/>
    <w:rsid w:val="006661EA"/>
    <w:rsid w:val="00666215"/>
    <w:rsid w:val="00666499"/>
    <w:rsid w:val="0066655F"/>
    <w:rsid w:val="006665CB"/>
    <w:rsid w:val="0066661F"/>
    <w:rsid w:val="00666716"/>
    <w:rsid w:val="00666B90"/>
    <w:rsid w:val="00666C1E"/>
    <w:rsid w:val="006675B0"/>
    <w:rsid w:val="00667961"/>
    <w:rsid w:val="00667D30"/>
    <w:rsid w:val="00667EC6"/>
    <w:rsid w:val="0067002B"/>
    <w:rsid w:val="00670147"/>
    <w:rsid w:val="0067029D"/>
    <w:rsid w:val="00670403"/>
    <w:rsid w:val="006704C3"/>
    <w:rsid w:val="00670B0C"/>
    <w:rsid w:val="00670BDD"/>
    <w:rsid w:val="00670F2F"/>
    <w:rsid w:val="00671028"/>
    <w:rsid w:val="00671243"/>
    <w:rsid w:val="00671299"/>
    <w:rsid w:val="006713DF"/>
    <w:rsid w:val="0067143B"/>
    <w:rsid w:val="00671487"/>
    <w:rsid w:val="006715B7"/>
    <w:rsid w:val="006715C9"/>
    <w:rsid w:val="00671D6A"/>
    <w:rsid w:val="00671DED"/>
    <w:rsid w:val="00672129"/>
    <w:rsid w:val="006723B1"/>
    <w:rsid w:val="0067253E"/>
    <w:rsid w:val="00672583"/>
    <w:rsid w:val="00672736"/>
    <w:rsid w:val="006729B7"/>
    <w:rsid w:val="00672CD3"/>
    <w:rsid w:val="006732E8"/>
    <w:rsid w:val="00673426"/>
    <w:rsid w:val="00673482"/>
    <w:rsid w:val="006734DA"/>
    <w:rsid w:val="00673595"/>
    <w:rsid w:val="0067369D"/>
    <w:rsid w:val="006737AC"/>
    <w:rsid w:val="006738FF"/>
    <w:rsid w:val="00673A9C"/>
    <w:rsid w:val="00673D17"/>
    <w:rsid w:val="00673E4F"/>
    <w:rsid w:val="00673F85"/>
    <w:rsid w:val="0067444B"/>
    <w:rsid w:val="00674684"/>
    <w:rsid w:val="00674AAE"/>
    <w:rsid w:val="00674B42"/>
    <w:rsid w:val="00674BAF"/>
    <w:rsid w:val="006752F2"/>
    <w:rsid w:val="00675509"/>
    <w:rsid w:val="006757AA"/>
    <w:rsid w:val="00675916"/>
    <w:rsid w:val="006759B3"/>
    <w:rsid w:val="00675AD1"/>
    <w:rsid w:val="00675C3F"/>
    <w:rsid w:val="00675CC8"/>
    <w:rsid w:val="00675F5D"/>
    <w:rsid w:val="00675FCF"/>
    <w:rsid w:val="006760AC"/>
    <w:rsid w:val="00676467"/>
    <w:rsid w:val="006766AA"/>
    <w:rsid w:val="006767BC"/>
    <w:rsid w:val="00676904"/>
    <w:rsid w:val="0067695B"/>
    <w:rsid w:val="00676D55"/>
    <w:rsid w:val="00677604"/>
    <w:rsid w:val="00677861"/>
    <w:rsid w:val="0067798F"/>
    <w:rsid w:val="00677AD6"/>
    <w:rsid w:val="00677E1D"/>
    <w:rsid w:val="006800E7"/>
    <w:rsid w:val="00680197"/>
    <w:rsid w:val="006804C4"/>
    <w:rsid w:val="00680500"/>
    <w:rsid w:val="006806CA"/>
    <w:rsid w:val="00680ED3"/>
    <w:rsid w:val="00680F0D"/>
    <w:rsid w:val="00680F69"/>
    <w:rsid w:val="00681293"/>
    <w:rsid w:val="006816AC"/>
    <w:rsid w:val="00681933"/>
    <w:rsid w:val="0068194A"/>
    <w:rsid w:val="00681A7A"/>
    <w:rsid w:val="00681C42"/>
    <w:rsid w:val="00681EF1"/>
    <w:rsid w:val="006824E6"/>
    <w:rsid w:val="006825F9"/>
    <w:rsid w:val="00682847"/>
    <w:rsid w:val="006829C2"/>
    <w:rsid w:val="00682A2B"/>
    <w:rsid w:val="00683473"/>
    <w:rsid w:val="00683520"/>
    <w:rsid w:val="006836B9"/>
    <w:rsid w:val="00683705"/>
    <w:rsid w:val="0068374A"/>
    <w:rsid w:val="006838ED"/>
    <w:rsid w:val="00683A16"/>
    <w:rsid w:val="00683E73"/>
    <w:rsid w:val="006840C6"/>
    <w:rsid w:val="006840EA"/>
    <w:rsid w:val="006841DB"/>
    <w:rsid w:val="006847B6"/>
    <w:rsid w:val="006847CF"/>
    <w:rsid w:val="006848D2"/>
    <w:rsid w:val="00684AA8"/>
    <w:rsid w:val="00684B52"/>
    <w:rsid w:val="00684BF5"/>
    <w:rsid w:val="00684EEF"/>
    <w:rsid w:val="006851A5"/>
    <w:rsid w:val="006851A7"/>
    <w:rsid w:val="00685266"/>
    <w:rsid w:val="00685467"/>
    <w:rsid w:val="00685571"/>
    <w:rsid w:val="006855D0"/>
    <w:rsid w:val="006856F1"/>
    <w:rsid w:val="006858DF"/>
    <w:rsid w:val="00685A4D"/>
    <w:rsid w:val="00685ACD"/>
    <w:rsid w:val="00685B24"/>
    <w:rsid w:val="006861E9"/>
    <w:rsid w:val="00686313"/>
    <w:rsid w:val="0068655A"/>
    <w:rsid w:val="00686C7F"/>
    <w:rsid w:val="00687656"/>
    <w:rsid w:val="0068775A"/>
    <w:rsid w:val="006877F3"/>
    <w:rsid w:val="00687BC0"/>
    <w:rsid w:val="00687E54"/>
    <w:rsid w:val="00690013"/>
    <w:rsid w:val="0069026C"/>
    <w:rsid w:val="0069039A"/>
    <w:rsid w:val="0069071A"/>
    <w:rsid w:val="00690823"/>
    <w:rsid w:val="00690A1B"/>
    <w:rsid w:val="00690BDE"/>
    <w:rsid w:val="00690C39"/>
    <w:rsid w:val="00690D30"/>
    <w:rsid w:val="00690F7C"/>
    <w:rsid w:val="00691180"/>
    <w:rsid w:val="00691430"/>
    <w:rsid w:val="00691460"/>
    <w:rsid w:val="0069149A"/>
    <w:rsid w:val="006915DD"/>
    <w:rsid w:val="00691935"/>
    <w:rsid w:val="00691ABB"/>
    <w:rsid w:val="00691B2F"/>
    <w:rsid w:val="00691B50"/>
    <w:rsid w:val="00691C9D"/>
    <w:rsid w:val="006920F4"/>
    <w:rsid w:val="006922F2"/>
    <w:rsid w:val="0069258D"/>
    <w:rsid w:val="00692835"/>
    <w:rsid w:val="00692D95"/>
    <w:rsid w:val="00693086"/>
    <w:rsid w:val="0069338C"/>
    <w:rsid w:val="0069346F"/>
    <w:rsid w:val="0069360E"/>
    <w:rsid w:val="0069389B"/>
    <w:rsid w:val="00693943"/>
    <w:rsid w:val="00693966"/>
    <w:rsid w:val="00693A6B"/>
    <w:rsid w:val="00693AC5"/>
    <w:rsid w:val="00693D4E"/>
    <w:rsid w:val="00693F81"/>
    <w:rsid w:val="006941FD"/>
    <w:rsid w:val="0069432C"/>
    <w:rsid w:val="006945B4"/>
    <w:rsid w:val="00694630"/>
    <w:rsid w:val="0069471C"/>
    <w:rsid w:val="00694A94"/>
    <w:rsid w:val="00694C68"/>
    <w:rsid w:val="00694E98"/>
    <w:rsid w:val="0069509A"/>
    <w:rsid w:val="00695294"/>
    <w:rsid w:val="006952CE"/>
    <w:rsid w:val="00695629"/>
    <w:rsid w:val="006956AF"/>
    <w:rsid w:val="00695BC0"/>
    <w:rsid w:val="00695C46"/>
    <w:rsid w:val="00695D25"/>
    <w:rsid w:val="00696041"/>
    <w:rsid w:val="0069623C"/>
    <w:rsid w:val="006963CB"/>
    <w:rsid w:val="0069650A"/>
    <w:rsid w:val="006969DC"/>
    <w:rsid w:val="00696DFC"/>
    <w:rsid w:val="00696E73"/>
    <w:rsid w:val="00696EAD"/>
    <w:rsid w:val="00696EF5"/>
    <w:rsid w:val="006971B0"/>
    <w:rsid w:val="00697310"/>
    <w:rsid w:val="00697441"/>
    <w:rsid w:val="00697D49"/>
    <w:rsid w:val="006A01DE"/>
    <w:rsid w:val="006A024D"/>
    <w:rsid w:val="006A0927"/>
    <w:rsid w:val="006A0A0A"/>
    <w:rsid w:val="006A0C73"/>
    <w:rsid w:val="006A0D67"/>
    <w:rsid w:val="006A114D"/>
    <w:rsid w:val="006A153A"/>
    <w:rsid w:val="006A1831"/>
    <w:rsid w:val="006A1981"/>
    <w:rsid w:val="006A1C0D"/>
    <w:rsid w:val="006A1F34"/>
    <w:rsid w:val="006A2071"/>
    <w:rsid w:val="006A2238"/>
    <w:rsid w:val="006A22D0"/>
    <w:rsid w:val="006A2370"/>
    <w:rsid w:val="006A2479"/>
    <w:rsid w:val="006A25BC"/>
    <w:rsid w:val="006A264A"/>
    <w:rsid w:val="006A2D94"/>
    <w:rsid w:val="006A300D"/>
    <w:rsid w:val="006A3278"/>
    <w:rsid w:val="006A327C"/>
    <w:rsid w:val="006A33EF"/>
    <w:rsid w:val="006A3415"/>
    <w:rsid w:val="006A34E2"/>
    <w:rsid w:val="006A3535"/>
    <w:rsid w:val="006A36F7"/>
    <w:rsid w:val="006A3804"/>
    <w:rsid w:val="006A3908"/>
    <w:rsid w:val="006A3964"/>
    <w:rsid w:val="006A39A4"/>
    <w:rsid w:val="006A3CA5"/>
    <w:rsid w:val="006A3CB4"/>
    <w:rsid w:val="006A44FD"/>
    <w:rsid w:val="006A4694"/>
    <w:rsid w:val="006A46A6"/>
    <w:rsid w:val="006A4765"/>
    <w:rsid w:val="006A4C45"/>
    <w:rsid w:val="006A4D2C"/>
    <w:rsid w:val="006A4E49"/>
    <w:rsid w:val="006A4E79"/>
    <w:rsid w:val="006A4F27"/>
    <w:rsid w:val="006A4F64"/>
    <w:rsid w:val="006A5093"/>
    <w:rsid w:val="006A52D5"/>
    <w:rsid w:val="006A544E"/>
    <w:rsid w:val="006A5729"/>
    <w:rsid w:val="006A5A90"/>
    <w:rsid w:val="006A5BCC"/>
    <w:rsid w:val="006A5D48"/>
    <w:rsid w:val="006A5D76"/>
    <w:rsid w:val="006A5E27"/>
    <w:rsid w:val="006A5EA3"/>
    <w:rsid w:val="006A5F2A"/>
    <w:rsid w:val="006A63F1"/>
    <w:rsid w:val="006A64A4"/>
    <w:rsid w:val="006A64B2"/>
    <w:rsid w:val="006A677A"/>
    <w:rsid w:val="006A6BD0"/>
    <w:rsid w:val="006A6C22"/>
    <w:rsid w:val="006A6C6C"/>
    <w:rsid w:val="006A6D16"/>
    <w:rsid w:val="006A6E8C"/>
    <w:rsid w:val="006A70FE"/>
    <w:rsid w:val="006A7227"/>
    <w:rsid w:val="006A735B"/>
    <w:rsid w:val="006A7738"/>
    <w:rsid w:val="006A77C7"/>
    <w:rsid w:val="006A7DBE"/>
    <w:rsid w:val="006A7F52"/>
    <w:rsid w:val="006A7FF0"/>
    <w:rsid w:val="006B028F"/>
    <w:rsid w:val="006B03C9"/>
    <w:rsid w:val="006B0483"/>
    <w:rsid w:val="006B0992"/>
    <w:rsid w:val="006B09D4"/>
    <w:rsid w:val="006B0A01"/>
    <w:rsid w:val="006B0AF6"/>
    <w:rsid w:val="006B0C5B"/>
    <w:rsid w:val="006B0DB4"/>
    <w:rsid w:val="006B130E"/>
    <w:rsid w:val="006B1587"/>
    <w:rsid w:val="006B1766"/>
    <w:rsid w:val="006B1AD0"/>
    <w:rsid w:val="006B1ED2"/>
    <w:rsid w:val="006B21BB"/>
    <w:rsid w:val="006B2449"/>
    <w:rsid w:val="006B25BF"/>
    <w:rsid w:val="006B2734"/>
    <w:rsid w:val="006B2B1A"/>
    <w:rsid w:val="006B2D56"/>
    <w:rsid w:val="006B2EA4"/>
    <w:rsid w:val="006B3151"/>
    <w:rsid w:val="006B31C4"/>
    <w:rsid w:val="006B320C"/>
    <w:rsid w:val="006B3462"/>
    <w:rsid w:val="006B36B3"/>
    <w:rsid w:val="006B3832"/>
    <w:rsid w:val="006B3891"/>
    <w:rsid w:val="006B3A2C"/>
    <w:rsid w:val="006B3AB6"/>
    <w:rsid w:val="006B3ADC"/>
    <w:rsid w:val="006B3B7F"/>
    <w:rsid w:val="006B3CAB"/>
    <w:rsid w:val="006B3FAE"/>
    <w:rsid w:val="006B42AA"/>
    <w:rsid w:val="006B44CB"/>
    <w:rsid w:val="006B46B5"/>
    <w:rsid w:val="006B46BC"/>
    <w:rsid w:val="006B49B3"/>
    <w:rsid w:val="006B49D2"/>
    <w:rsid w:val="006B4CE5"/>
    <w:rsid w:val="006B4DCA"/>
    <w:rsid w:val="006B570A"/>
    <w:rsid w:val="006B5715"/>
    <w:rsid w:val="006B592C"/>
    <w:rsid w:val="006B5A61"/>
    <w:rsid w:val="006B648C"/>
    <w:rsid w:val="006B6546"/>
    <w:rsid w:val="006B6728"/>
    <w:rsid w:val="006B6A14"/>
    <w:rsid w:val="006B6CB7"/>
    <w:rsid w:val="006B6D0B"/>
    <w:rsid w:val="006B6ED5"/>
    <w:rsid w:val="006B6F1F"/>
    <w:rsid w:val="006B6F7D"/>
    <w:rsid w:val="006B7082"/>
    <w:rsid w:val="006B709A"/>
    <w:rsid w:val="006B7254"/>
    <w:rsid w:val="006B7259"/>
    <w:rsid w:val="006B7408"/>
    <w:rsid w:val="006B7501"/>
    <w:rsid w:val="006B7513"/>
    <w:rsid w:val="006B760E"/>
    <w:rsid w:val="006B7837"/>
    <w:rsid w:val="006B785A"/>
    <w:rsid w:val="006B7910"/>
    <w:rsid w:val="006B7A59"/>
    <w:rsid w:val="006B7D98"/>
    <w:rsid w:val="006C01C8"/>
    <w:rsid w:val="006C0253"/>
    <w:rsid w:val="006C03A4"/>
    <w:rsid w:val="006C0412"/>
    <w:rsid w:val="006C0632"/>
    <w:rsid w:val="006C067E"/>
    <w:rsid w:val="006C071F"/>
    <w:rsid w:val="006C0A54"/>
    <w:rsid w:val="006C0B48"/>
    <w:rsid w:val="006C0C90"/>
    <w:rsid w:val="006C0EE9"/>
    <w:rsid w:val="006C0FCD"/>
    <w:rsid w:val="006C1729"/>
    <w:rsid w:val="006C1831"/>
    <w:rsid w:val="006C192D"/>
    <w:rsid w:val="006C1C38"/>
    <w:rsid w:val="006C1CD1"/>
    <w:rsid w:val="006C2550"/>
    <w:rsid w:val="006C2678"/>
    <w:rsid w:val="006C29F9"/>
    <w:rsid w:val="006C2C38"/>
    <w:rsid w:val="006C2C45"/>
    <w:rsid w:val="006C2C8F"/>
    <w:rsid w:val="006C2E65"/>
    <w:rsid w:val="006C2E7F"/>
    <w:rsid w:val="006C2F33"/>
    <w:rsid w:val="006C2F83"/>
    <w:rsid w:val="006C3037"/>
    <w:rsid w:val="006C31A3"/>
    <w:rsid w:val="006C31F8"/>
    <w:rsid w:val="006C39EA"/>
    <w:rsid w:val="006C3C36"/>
    <w:rsid w:val="006C3DAF"/>
    <w:rsid w:val="006C3DC2"/>
    <w:rsid w:val="006C3E46"/>
    <w:rsid w:val="006C402B"/>
    <w:rsid w:val="006C40E5"/>
    <w:rsid w:val="006C40F8"/>
    <w:rsid w:val="006C410E"/>
    <w:rsid w:val="006C41BB"/>
    <w:rsid w:val="006C42C4"/>
    <w:rsid w:val="006C4313"/>
    <w:rsid w:val="006C4338"/>
    <w:rsid w:val="006C440F"/>
    <w:rsid w:val="006C4473"/>
    <w:rsid w:val="006C4623"/>
    <w:rsid w:val="006C4703"/>
    <w:rsid w:val="006C4EB7"/>
    <w:rsid w:val="006C52E8"/>
    <w:rsid w:val="006C5346"/>
    <w:rsid w:val="006C583D"/>
    <w:rsid w:val="006C589E"/>
    <w:rsid w:val="006C58E9"/>
    <w:rsid w:val="006C5B44"/>
    <w:rsid w:val="006C5F68"/>
    <w:rsid w:val="006C61F8"/>
    <w:rsid w:val="006C64D5"/>
    <w:rsid w:val="006C67DA"/>
    <w:rsid w:val="006C684F"/>
    <w:rsid w:val="006C6BAC"/>
    <w:rsid w:val="006C6D0C"/>
    <w:rsid w:val="006C6E6D"/>
    <w:rsid w:val="006C7242"/>
    <w:rsid w:val="006C74DD"/>
    <w:rsid w:val="006C7909"/>
    <w:rsid w:val="006C79A8"/>
    <w:rsid w:val="006C7AE2"/>
    <w:rsid w:val="006C7CC7"/>
    <w:rsid w:val="006D039D"/>
    <w:rsid w:val="006D077B"/>
    <w:rsid w:val="006D0974"/>
    <w:rsid w:val="006D09D2"/>
    <w:rsid w:val="006D0A70"/>
    <w:rsid w:val="006D0A72"/>
    <w:rsid w:val="006D0C8A"/>
    <w:rsid w:val="006D0D92"/>
    <w:rsid w:val="006D121E"/>
    <w:rsid w:val="006D13F9"/>
    <w:rsid w:val="006D176E"/>
    <w:rsid w:val="006D18D5"/>
    <w:rsid w:val="006D1BD4"/>
    <w:rsid w:val="006D1EE5"/>
    <w:rsid w:val="006D2145"/>
    <w:rsid w:val="006D2A76"/>
    <w:rsid w:val="006D2ED4"/>
    <w:rsid w:val="006D2FF8"/>
    <w:rsid w:val="006D302A"/>
    <w:rsid w:val="006D30B2"/>
    <w:rsid w:val="006D35FD"/>
    <w:rsid w:val="006D3649"/>
    <w:rsid w:val="006D3811"/>
    <w:rsid w:val="006D3872"/>
    <w:rsid w:val="006D3F34"/>
    <w:rsid w:val="006D40E7"/>
    <w:rsid w:val="006D447B"/>
    <w:rsid w:val="006D44C9"/>
    <w:rsid w:val="006D4954"/>
    <w:rsid w:val="006D496A"/>
    <w:rsid w:val="006D49C4"/>
    <w:rsid w:val="006D49FC"/>
    <w:rsid w:val="006D4ACE"/>
    <w:rsid w:val="006D4BE1"/>
    <w:rsid w:val="006D4D3F"/>
    <w:rsid w:val="006D4F23"/>
    <w:rsid w:val="006D5154"/>
    <w:rsid w:val="006D517D"/>
    <w:rsid w:val="006D518F"/>
    <w:rsid w:val="006D51CF"/>
    <w:rsid w:val="006D5268"/>
    <w:rsid w:val="006D55A8"/>
    <w:rsid w:val="006D58DB"/>
    <w:rsid w:val="006D5C2B"/>
    <w:rsid w:val="006D5C96"/>
    <w:rsid w:val="006D6010"/>
    <w:rsid w:val="006D6080"/>
    <w:rsid w:val="006D656D"/>
    <w:rsid w:val="006D668D"/>
    <w:rsid w:val="006D68C5"/>
    <w:rsid w:val="006D6AD3"/>
    <w:rsid w:val="006D6B10"/>
    <w:rsid w:val="006D6B95"/>
    <w:rsid w:val="006D6C39"/>
    <w:rsid w:val="006D6E5E"/>
    <w:rsid w:val="006D6F77"/>
    <w:rsid w:val="006D7146"/>
    <w:rsid w:val="006D7309"/>
    <w:rsid w:val="006D746A"/>
    <w:rsid w:val="006D74E0"/>
    <w:rsid w:val="006D7795"/>
    <w:rsid w:val="006D79BA"/>
    <w:rsid w:val="006D7FFB"/>
    <w:rsid w:val="006E016D"/>
    <w:rsid w:val="006E0258"/>
    <w:rsid w:val="006E06B3"/>
    <w:rsid w:val="006E09ED"/>
    <w:rsid w:val="006E0BB8"/>
    <w:rsid w:val="006E0D37"/>
    <w:rsid w:val="006E0F38"/>
    <w:rsid w:val="006E0FB9"/>
    <w:rsid w:val="006E14B3"/>
    <w:rsid w:val="006E175D"/>
    <w:rsid w:val="006E191C"/>
    <w:rsid w:val="006E1963"/>
    <w:rsid w:val="006E1EAC"/>
    <w:rsid w:val="006E1F52"/>
    <w:rsid w:val="006E22E1"/>
    <w:rsid w:val="006E2311"/>
    <w:rsid w:val="006E2333"/>
    <w:rsid w:val="006E23E6"/>
    <w:rsid w:val="006E2554"/>
    <w:rsid w:val="006E2653"/>
    <w:rsid w:val="006E27DA"/>
    <w:rsid w:val="006E2875"/>
    <w:rsid w:val="006E2D3E"/>
    <w:rsid w:val="006E329A"/>
    <w:rsid w:val="006E3477"/>
    <w:rsid w:val="006E358D"/>
    <w:rsid w:val="006E3A90"/>
    <w:rsid w:val="006E3B52"/>
    <w:rsid w:val="006E3CC7"/>
    <w:rsid w:val="006E4585"/>
    <w:rsid w:val="006E4900"/>
    <w:rsid w:val="006E4923"/>
    <w:rsid w:val="006E4960"/>
    <w:rsid w:val="006E4DC4"/>
    <w:rsid w:val="006E4F4D"/>
    <w:rsid w:val="006E4FEC"/>
    <w:rsid w:val="006E5332"/>
    <w:rsid w:val="006E533F"/>
    <w:rsid w:val="006E53A3"/>
    <w:rsid w:val="006E5696"/>
    <w:rsid w:val="006E57AA"/>
    <w:rsid w:val="006E5BBA"/>
    <w:rsid w:val="006E6303"/>
    <w:rsid w:val="006E6338"/>
    <w:rsid w:val="006E66A7"/>
    <w:rsid w:val="006E68C1"/>
    <w:rsid w:val="006E6EAF"/>
    <w:rsid w:val="006E6F14"/>
    <w:rsid w:val="006E7798"/>
    <w:rsid w:val="006E79B9"/>
    <w:rsid w:val="006E79F1"/>
    <w:rsid w:val="006E7FB5"/>
    <w:rsid w:val="006F007E"/>
    <w:rsid w:val="006F02FD"/>
    <w:rsid w:val="006F03C2"/>
    <w:rsid w:val="006F0D91"/>
    <w:rsid w:val="006F0DA1"/>
    <w:rsid w:val="006F0E98"/>
    <w:rsid w:val="006F10CC"/>
    <w:rsid w:val="006F14F2"/>
    <w:rsid w:val="006F18BB"/>
    <w:rsid w:val="006F1A95"/>
    <w:rsid w:val="006F1B02"/>
    <w:rsid w:val="006F1BCA"/>
    <w:rsid w:val="006F1CA0"/>
    <w:rsid w:val="006F1D16"/>
    <w:rsid w:val="006F1EFF"/>
    <w:rsid w:val="006F23C2"/>
    <w:rsid w:val="006F23EC"/>
    <w:rsid w:val="006F2578"/>
    <w:rsid w:val="006F28AA"/>
    <w:rsid w:val="006F2F10"/>
    <w:rsid w:val="006F344B"/>
    <w:rsid w:val="006F3664"/>
    <w:rsid w:val="006F40BA"/>
    <w:rsid w:val="006F42AE"/>
    <w:rsid w:val="006F4507"/>
    <w:rsid w:val="006F4563"/>
    <w:rsid w:val="006F49CA"/>
    <w:rsid w:val="006F554C"/>
    <w:rsid w:val="006F5608"/>
    <w:rsid w:val="006F560B"/>
    <w:rsid w:val="006F566F"/>
    <w:rsid w:val="006F604B"/>
    <w:rsid w:val="006F6337"/>
    <w:rsid w:val="006F6385"/>
    <w:rsid w:val="006F6502"/>
    <w:rsid w:val="006F6847"/>
    <w:rsid w:val="006F7262"/>
    <w:rsid w:val="006F73B3"/>
    <w:rsid w:val="006F73B4"/>
    <w:rsid w:val="006F73FC"/>
    <w:rsid w:val="006F7524"/>
    <w:rsid w:val="006F7546"/>
    <w:rsid w:val="006F76C5"/>
    <w:rsid w:val="006F78B1"/>
    <w:rsid w:val="006F794B"/>
    <w:rsid w:val="006F7A24"/>
    <w:rsid w:val="006F7CA3"/>
    <w:rsid w:val="006F7E88"/>
    <w:rsid w:val="007003D9"/>
    <w:rsid w:val="00700748"/>
    <w:rsid w:val="0070089D"/>
    <w:rsid w:val="0070103E"/>
    <w:rsid w:val="0070116F"/>
    <w:rsid w:val="00701369"/>
    <w:rsid w:val="007013B5"/>
    <w:rsid w:val="00701496"/>
    <w:rsid w:val="00701705"/>
    <w:rsid w:val="0070170E"/>
    <w:rsid w:val="00701A5E"/>
    <w:rsid w:val="00701D18"/>
    <w:rsid w:val="00701F44"/>
    <w:rsid w:val="0070256A"/>
    <w:rsid w:val="007027F8"/>
    <w:rsid w:val="00702AAC"/>
    <w:rsid w:val="00702B89"/>
    <w:rsid w:val="00702C97"/>
    <w:rsid w:val="00702D2A"/>
    <w:rsid w:val="00702D7E"/>
    <w:rsid w:val="00702E1B"/>
    <w:rsid w:val="007030C7"/>
    <w:rsid w:val="0070343A"/>
    <w:rsid w:val="007035D6"/>
    <w:rsid w:val="007035E8"/>
    <w:rsid w:val="007039BA"/>
    <w:rsid w:val="00703AFB"/>
    <w:rsid w:val="00703EFD"/>
    <w:rsid w:val="007040E6"/>
    <w:rsid w:val="007044BB"/>
    <w:rsid w:val="00704F73"/>
    <w:rsid w:val="00705145"/>
    <w:rsid w:val="00705306"/>
    <w:rsid w:val="007053A6"/>
    <w:rsid w:val="007054E5"/>
    <w:rsid w:val="00705812"/>
    <w:rsid w:val="00706018"/>
    <w:rsid w:val="00706076"/>
    <w:rsid w:val="007060FC"/>
    <w:rsid w:val="0070620F"/>
    <w:rsid w:val="00706625"/>
    <w:rsid w:val="0070690C"/>
    <w:rsid w:val="00706952"/>
    <w:rsid w:val="00706B0E"/>
    <w:rsid w:val="00706B40"/>
    <w:rsid w:val="00706C63"/>
    <w:rsid w:val="00706FC4"/>
    <w:rsid w:val="007073B1"/>
    <w:rsid w:val="0070768C"/>
    <w:rsid w:val="007076E6"/>
    <w:rsid w:val="00707D18"/>
    <w:rsid w:val="00707F91"/>
    <w:rsid w:val="00710129"/>
    <w:rsid w:val="00710736"/>
    <w:rsid w:val="00710EFB"/>
    <w:rsid w:val="00710F1F"/>
    <w:rsid w:val="00710F40"/>
    <w:rsid w:val="007112F8"/>
    <w:rsid w:val="00711AB9"/>
    <w:rsid w:val="00711E02"/>
    <w:rsid w:val="00712169"/>
    <w:rsid w:val="0071226A"/>
    <w:rsid w:val="007122A5"/>
    <w:rsid w:val="007122DA"/>
    <w:rsid w:val="00712475"/>
    <w:rsid w:val="0071247C"/>
    <w:rsid w:val="0071255A"/>
    <w:rsid w:val="00712622"/>
    <w:rsid w:val="007126B1"/>
    <w:rsid w:val="007127A2"/>
    <w:rsid w:val="007127A3"/>
    <w:rsid w:val="007129D9"/>
    <w:rsid w:val="00712C57"/>
    <w:rsid w:val="00712D9E"/>
    <w:rsid w:val="00712F2D"/>
    <w:rsid w:val="00713515"/>
    <w:rsid w:val="00713587"/>
    <w:rsid w:val="0071385C"/>
    <w:rsid w:val="007138DE"/>
    <w:rsid w:val="00713970"/>
    <w:rsid w:val="00713C38"/>
    <w:rsid w:val="00714A31"/>
    <w:rsid w:val="00714A43"/>
    <w:rsid w:val="007150B0"/>
    <w:rsid w:val="007154C9"/>
    <w:rsid w:val="007155A6"/>
    <w:rsid w:val="00715797"/>
    <w:rsid w:val="00715A9A"/>
    <w:rsid w:val="00715B97"/>
    <w:rsid w:val="00715BEB"/>
    <w:rsid w:val="00716314"/>
    <w:rsid w:val="00716813"/>
    <w:rsid w:val="00716926"/>
    <w:rsid w:val="00716979"/>
    <w:rsid w:val="00716A08"/>
    <w:rsid w:val="00716B77"/>
    <w:rsid w:val="00716CF5"/>
    <w:rsid w:val="00717224"/>
    <w:rsid w:val="0071732C"/>
    <w:rsid w:val="00717392"/>
    <w:rsid w:val="00717395"/>
    <w:rsid w:val="00717477"/>
    <w:rsid w:val="007175CC"/>
    <w:rsid w:val="007177D8"/>
    <w:rsid w:val="007177D9"/>
    <w:rsid w:val="0071796A"/>
    <w:rsid w:val="00717D89"/>
    <w:rsid w:val="00717EA3"/>
    <w:rsid w:val="00720157"/>
    <w:rsid w:val="007201AB"/>
    <w:rsid w:val="007207F3"/>
    <w:rsid w:val="00720953"/>
    <w:rsid w:val="00720992"/>
    <w:rsid w:val="007209F3"/>
    <w:rsid w:val="00720B6F"/>
    <w:rsid w:val="00720BAA"/>
    <w:rsid w:val="00720BFD"/>
    <w:rsid w:val="00720C19"/>
    <w:rsid w:val="00720D83"/>
    <w:rsid w:val="00721020"/>
    <w:rsid w:val="00721163"/>
    <w:rsid w:val="00721486"/>
    <w:rsid w:val="00721572"/>
    <w:rsid w:val="007217D3"/>
    <w:rsid w:val="007219BF"/>
    <w:rsid w:val="00721ACB"/>
    <w:rsid w:val="00721BAF"/>
    <w:rsid w:val="00721D1A"/>
    <w:rsid w:val="00721D1C"/>
    <w:rsid w:val="00721DC7"/>
    <w:rsid w:val="00721DDE"/>
    <w:rsid w:val="00721E02"/>
    <w:rsid w:val="00721F29"/>
    <w:rsid w:val="00722140"/>
    <w:rsid w:val="007222B1"/>
    <w:rsid w:val="007224BD"/>
    <w:rsid w:val="0072282B"/>
    <w:rsid w:val="007229BC"/>
    <w:rsid w:val="00722A36"/>
    <w:rsid w:val="00722B80"/>
    <w:rsid w:val="00722D3C"/>
    <w:rsid w:val="00722E5D"/>
    <w:rsid w:val="00722F29"/>
    <w:rsid w:val="007232F5"/>
    <w:rsid w:val="0072339E"/>
    <w:rsid w:val="007233BD"/>
    <w:rsid w:val="007233C9"/>
    <w:rsid w:val="0072343F"/>
    <w:rsid w:val="0072350A"/>
    <w:rsid w:val="00723619"/>
    <w:rsid w:val="00723859"/>
    <w:rsid w:val="00723D05"/>
    <w:rsid w:val="00723D0A"/>
    <w:rsid w:val="00723E1A"/>
    <w:rsid w:val="00723F44"/>
    <w:rsid w:val="00724316"/>
    <w:rsid w:val="007249C7"/>
    <w:rsid w:val="00724CC7"/>
    <w:rsid w:val="00724DE0"/>
    <w:rsid w:val="00724DF2"/>
    <w:rsid w:val="00724F1A"/>
    <w:rsid w:val="007250E5"/>
    <w:rsid w:val="00725157"/>
    <w:rsid w:val="00725267"/>
    <w:rsid w:val="007254F6"/>
    <w:rsid w:val="00725801"/>
    <w:rsid w:val="00725838"/>
    <w:rsid w:val="00725D0B"/>
    <w:rsid w:val="00725E6B"/>
    <w:rsid w:val="007262BD"/>
    <w:rsid w:val="00726414"/>
    <w:rsid w:val="007265FA"/>
    <w:rsid w:val="00726997"/>
    <w:rsid w:val="00726A2C"/>
    <w:rsid w:val="00726F50"/>
    <w:rsid w:val="00726FA4"/>
    <w:rsid w:val="007276BE"/>
    <w:rsid w:val="00727856"/>
    <w:rsid w:val="00727AD4"/>
    <w:rsid w:val="00727BD2"/>
    <w:rsid w:val="00730286"/>
    <w:rsid w:val="007302F8"/>
    <w:rsid w:val="007306DC"/>
    <w:rsid w:val="007309B3"/>
    <w:rsid w:val="00730A05"/>
    <w:rsid w:val="00730C79"/>
    <w:rsid w:val="00731096"/>
    <w:rsid w:val="007312CA"/>
    <w:rsid w:val="007317E5"/>
    <w:rsid w:val="0073183B"/>
    <w:rsid w:val="00731859"/>
    <w:rsid w:val="007318DD"/>
    <w:rsid w:val="00731BAA"/>
    <w:rsid w:val="00731CE4"/>
    <w:rsid w:val="00731D48"/>
    <w:rsid w:val="00731DB2"/>
    <w:rsid w:val="00732583"/>
    <w:rsid w:val="00732586"/>
    <w:rsid w:val="00732664"/>
    <w:rsid w:val="00732779"/>
    <w:rsid w:val="007327FC"/>
    <w:rsid w:val="00732854"/>
    <w:rsid w:val="00732C89"/>
    <w:rsid w:val="00732C99"/>
    <w:rsid w:val="00732DFE"/>
    <w:rsid w:val="00732FCA"/>
    <w:rsid w:val="007330EB"/>
    <w:rsid w:val="007333A6"/>
    <w:rsid w:val="007334CA"/>
    <w:rsid w:val="007334CC"/>
    <w:rsid w:val="007335B6"/>
    <w:rsid w:val="007336DE"/>
    <w:rsid w:val="00733927"/>
    <w:rsid w:val="0073402E"/>
    <w:rsid w:val="00734033"/>
    <w:rsid w:val="007344BB"/>
    <w:rsid w:val="007346F5"/>
    <w:rsid w:val="0073489F"/>
    <w:rsid w:val="007349EC"/>
    <w:rsid w:val="00734C92"/>
    <w:rsid w:val="00734ED8"/>
    <w:rsid w:val="00734EF2"/>
    <w:rsid w:val="007352FB"/>
    <w:rsid w:val="0073538B"/>
    <w:rsid w:val="00735467"/>
    <w:rsid w:val="007354B7"/>
    <w:rsid w:val="00735528"/>
    <w:rsid w:val="00735777"/>
    <w:rsid w:val="00735A18"/>
    <w:rsid w:val="00735BA3"/>
    <w:rsid w:val="00735DD4"/>
    <w:rsid w:val="00736037"/>
    <w:rsid w:val="0073605C"/>
    <w:rsid w:val="007364DE"/>
    <w:rsid w:val="007365B7"/>
    <w:rsid w:val="00736924"/>
    <w:rsid w:val="00736971"/>
    <w:rsid w:val="00736A21"/>
    <w:rsid w:val="00736D62"/>
    <w:rsid w:val="007371C1"/>
    <w:rsid w:val="007371F5"/>
    <w:rsid w:val="007373D9"/>
    <w:rsid w:val="00737595"/>
    <w:rsid w:val="00737925"/>
    <w:rsid w:val="00737C55"/>
    <w:rsid w:val="00737D5E"/>
    <w:rsid w:val="00737E4B"/>
    <w:rsid w:val="0074002E"/>
    <w:rsid w:val="00740045"/>
    <w:rsid w:val="007401CE"/>
    <w:rsid w:val="00740260"/>
    <w:rsid w:val="0074028F"/>
    <w:rsid w:val="007402F4"/>
    <w:rsid w:val="0074107F"/>
    <w:rsid w:val="0074122F"/>
    <w:rsid w:val="00741684"/>
    <w:rsid w:val="007416F2"/>
    <w:rsid w:val="00741714"/>
    <w:rsid w:val="007417A9"/>
    <w:rsid w:val="0074188B"/>
    <w:rsid w:val="007418E5"/>
    <w:rsid w:val="00741A20"/>
    <w:rsid w:val="00741AB0"/>
    <w:rsid w:val="00741B43"/>
    <w:rsid w:val="00741F41"/>
    <w:rsid w:val="00741FFB"/>
    <w:rsid w:val="00742016"/>
    <w:rsid w:val="00742242"/>
    <w:rsid w:val="00742245"/>
    <w:rsid w:val="007423BB"/>
    <w:rsid w:val="00742666"/>
    <w:rsid w:val="00742862"/>
    <w:rsid w:val="0074298A"/>
    <w:rsid w:val="00742B32"/>
    <w:rsid w:val="00743169"/>
    <w:rsid w:val="0074338A"/>
    <w:rsid w:val="00743682"/>
    <w:rsid w:val="00743964"/>
    <w:rsid w:val="007439D0"/>
    <w:rsid w:val="00743A8A"/>
    <w:rsid w:val="00743B3A"/>
    <w:rsid w:val="00743EFB"/>
    <w:rsid w:val="00743FA6"/>
    <w:rsid w:val="00744A81"/>
    <w:rsid w:val="00744AF4"/>
    <w:rsid w:val="00744C07"/>
    <w:rsid w:val="00744D12"/>
    <w:rsid w:val="00744EE4"/>
    <w:rsid w:val="007457BD"/>
    <w:rsid w:val="0074586F"/>
    <w:rsid w:val="007458DF"/>
    <w:rsid w:val="007459BF"/>
    <w:rsid w:val="00745A65"/>
    <w:rsid w:val="00745C4A"/>
    <w:rsid w:val="00745CA3"/>
    <w:rsid w:val="00745D71"/>
    <w:rsid w:val="007460AE"/>
    <w:rsid w:val="00746214"/>
    <w:rsid w:val="007463AA"/>
    <w:rsid w:val="00746512"/>
    <w:rsid w:val="007468D5"/>
    <w:rsid w:val="007469E3"/>
    <w:rsid w:val="00746F46"/>
    <w:rsid w:val="00747199"/>
    <w:rsid w:val="007471F8"/>
    <w:rsid w:val="00747516"/>
    <w:rsid w:val="0074755D"/>
    <w:rsid w:val="007476F0"/>
    <w:rsid w:val="00747949"/>
    <w:rsid w:val="00747BB2"/>
    <w:rsid w:val="00747BB8"/>
    <w:rsid w:val="00747C5C"/>
    <w:rsid w:val="00747E51"/>
    <w:rsid w:val="0075023B"/>
    <w:rsid w:val="00750768"/>
    <w:rsid w:val="00750897"/>
    <w:rsid w:val="00750906"/>
    <w:rsid w:val="0075093F"/>
    <w:rsid w:val="00750981"/>
    <w:rsid w:val="00750C2F"/>
    <w:rsid w:val="00750D2E"/>
    <w:rsid w:val="00750F5B"/>
    <w:rsid w:val="00751098"/>
    <w:rsid w:val="0075111B"/>
    <w:rsid w:val="007513EE"/>
    <w:rsid w:val="00751B89"/>
    <w:rsid w:val="00751B8F"/>
    <w:rsid w:val="00751C7C"/>
    <w:rsid w:val="00751F34"/>
    <w:rsid w:val="0075295E"/>
    <w:rsid w:val="007529BE"/>
    <w:rsid w:val="00752ACF"/>
    <w:rsid w:val="00752E3A"/>
    <w:rsid w:val="00752E92"/>
    <w:rsid w:val="00752EC6"/>
    <w:rsid w:val="00752FB3"/>
    <w:rsid w:val="00752FD3"/>
    <w:rsid w:val="007532EE"/>
    <w:rsid w:val="007533B6"/>
    <w:rsid w:val="007536E9"/>
    <w:rsid w:val="0075393B"/>
    <w:rsid w:val="00753A31"/>
    <w:rsid w:val="00753FE5"/>
    <w:rsid w:val="00754589"/>
    <w:rsid w:val="00754BC0"/>
    <w:rsid w:val="00754F4E"/>
    <w:rsid w:val="00754F9F"/>
    <w:rsid w:val="00755089"/>
    <w:rsid w:val="00755223"/>
    <w:rsid w:val="00755262"/>
    <w:rsid w:val="00755558"/>
    <w:rsid w:val="007555BA"/>
    <w:rsid w:val="007555DD"/>
    <w:rsid w:val="007555F5"/>
    <w:rsid w:val="00755851"/>
    <w:rsid w:val="00755F22"/>
    <w:rsid w:val="00755FD6"/>
    <w:rsid w:val="00755FF4"/>
    <w:rsid w:val="007560B5"/>
    <w:rsid w:val="00756393"/>
    <w:rsid w:val="00756B24"/>
    <w:rsid w:val="00756D40"/>
    <w:rsid w:val="00756D44"/>
    <w:rsid w:val="00756D82"/>
    <w:rsid w:val="00756E5D"/>
    <w:rsid w:val="00756FC0"/>
    <w:rsid w:val="007571F0"/>
    <w:rsid w:val="0075728D"/>
    <w:rsid w:val="00757377"/>
    <w:rsid w:val="007577C1"/>
    <w:rsid w:val="00757B34"/>
    <w:rsid w:val="00757ED3"/>
    <w:rsid w:val="00757EF0"/>
    <w:rsid w:val="00757FDF"/>
    <w:rsid w:val="00760136"/>
    <w:rsid w:val="0076014D"/>
    <w:rsid w:val="007604D5"/>
    <w:rsid w:val="007604FB"/>
    <w:rsid w:val="007606EE"/>
    <w:rsid w:val="00760715"/>
    <w:rsid w:val="00760753"/>
    <w:rsid w:val="00760F11"/>
    <w:rsid w:val="0076101C"/>
    <w:rsid w:val="0076146C"/>
    <w:rsid w:val="00761660"/>
    <w:rsid w:val="00761894"/>
    <w:rsid w:val="00761949"/>
    <w:rsid w:val="00761B7E"/>
    <w:rsid w:val="00761CEB"/>
    <w:rsid w:val="00762031"/>
    <w:rsid w:val="007620CF"/>
    <w:rsid w:val="0076227B"/>
    <w:rsid w:val="00762364"/>
    <w:rsid w:val="0076237E"/>
    <w:rsid w:val="0076238A"/>
    <w:rsid w:val="007623B8"/>
    <w:rsid w:val="007629C0"/>
    <w:rsid w:val="00762A95"/>
    <w:rsid w:val="00762B54"/>
    <w:rsid w:val="00762D6F"/>
    <w:rsid w:val="00763648"/>
    <w:rsid w:val="007636BD"/>
    <w:rsid w:val="00763A69"/>
    <w:rsid w:val="00763CB7"/>
    <w:rsid w:val="00763D1B"/>
    <w:rsid w:val="00763F2D"/>
    <w:rsid w:val="00764135"/>
    <w:rsid w:val="00764194"/>
    <w:rsid w:val="007641C5"/>
    <w:rsid w:val="0076445A"/>
    <w:rsid w:val="0076446C"/>
    <w:rsid w:val="00764490"/>
    <w:rsid w:val="007646AC"/>
    <w:rsid w:val="00764A6D"/>
    <w:rsid w:val="00764BDF"/>
    <w:rsid w:val="00764C3D"/>
    <w:rsid w:val="00765765"/>
    <w:rsid w:val="0076577C"/>
    <w:rsid w:val="00765A1B"/>
    <w:rsid w:val="00765A2E"/>
    <w:rsid w:val="00765C5D"/>
    <w:rsid w:val="00765ECF"/>
    <w:rsid w:val="00765FE6"/>
    <w:rsid w:val="007660B0"/>
    <w:rsid w:val="0076612F"/>
    <w:rsid w:val="0076642C"/>
    <w:rsid w:val="0076647C"/>
    <w:rsid w:val="00766491"/>
    <w:rsid w:val="007664B8"/>
    <w:rsid w:val="00766609"/>
    <w:rsid w:val="0076685D"/>
    <w:rsid w:val="0076687C"/>
    <w:rsid w:val="00766F38"/>
    <w:rsid w:val="007671B9"/>
    <w:rsid w:val="007675D8"/>
    <w:rsid w:val="0076768E"/>
    <w:rsid w:val="007676E5"/>
    <w:rsid w:val="00767700"/>
    <w:rsid w:val="0076771A"/>
    <w:rsid w:val="007677A6"/>
    <w:rsid w:val="00767D35"/>
    <w:rsid w:val="00767E15"/>
    <w:rsid w:val="00767FD9"/>
    <w:rsid w:val="00770055"/>
    <w:rsid w:val="007700F8"/>
    <w:rsid w:val="007703E0"/>
    <w:rsid w:val="00770D59"/>
    <w:rsid w:val="00770D71"/>
    <w:rsid w:val="007713FB"/>
    <w:rsid w:val="007714C7"/>
    <w:rsid w:val="0077159D"/>
    <w:rsid w:val="007719A5"/>
    <w:rsid w:val="00771AE2"/>
    <w:rsid w:val="00771BFA"/>
    <w:rsid w:val="00771C6C"/>
    <w:rsid w:val="00771D80"/>
    <w:rsid w:val="00771E2B"/>
    <w:rsid w:val="00771E3F"/>
    <w:rsid w:val="007721A7"/>
    <w:rsid w:val="007721DC"/>
    <w:rsid w:val="00772257"/>
    <w:rsid w:val="00772356"/>
    <w:rsid w:val="00772458"/>
    <w:rsid w:val="007725AF"/>
    <w:rsid w:val="007726A9"/>
    <w:rsid w:val="00772723"/>
    <w:rsid w:val="00772BB8"/>
    <w:rsid w:val="00772E41"/>
    <w:rsid w:val="00772F3E"/>
    <w:rsid w:val="0077313D"/>
    <w:rsid w:val="007735A3"/>
    <w:rsid w:val="007735FD"/>
    <w:rsid w:val="0077367E"/>
    <w:rsid w:val="007736A6"/>
    <w:rsid w:val="00773830"/>
    <w:rsid w:val="007738D3"/>
    <w:rsid w:val="00773FF9"/>
    <w:rsid w:val="00774581"/>
    <w:rsid w:val="00774779"/>
    <w:rsid w:val="007748BB"/>
    <w:rsid w:val="00774A0D"/>
    <w:rsid w:val="00774AAA"/>
    <w:rsid w:val="00774AAC"/>
    <w:rsid w:val="00774AD8"/>
    <w:rsid w:val="00774FCC"/>
    <w:rsid w:val="0077510C"/>
    <w:rsid w:val="00775284"/>
    <w:rsid w:val="007753A8"/>
    <w:rsid w:val="00775886"/>
    <w:rsid w:val="00775934"/>
    <w:rsid w:val="00775974"/>
    <w:rsid w:val="00775CBC"/>
    <w:rsid w:val="00775F0A"/>
    <w:rsid w:val="0077616F"/>
    <w:rsid w:val="007762E2"/>
    <w:rsid w:val="00776A94"/>
    <w:rsid w:val="00776B7F"/>
    <w:rsid w:val="00776D29"/>
    <w:rsid w:val="00776DA5"/>
    <w:rsid w:val="0077711A"/>
    <w:rsid w:val="007773AE"/>
    <w:rsid w:val="00777789"/>
    <w:rsid w:val="0077778C"/>
    <w:rsid w:val="00777CD2"/>
    <w:rsid w:val="00777D1A"/>
    <w:rsid w:val="00777E6D"/>
    <w:rsid w:val="00777FA6"/>
    <w:rsid w:val="00777FCC"/>
    <w:rsid w:val="00780084"/>
    <w:rsid w:val="007802F9"/>
    <w:rsid w:val="00780541"/>
    <w:rsid w:val="00780617"/>
    <w:rsid w:val="007807F3"/>
    <w:rsid w:val="007809B8"/>
    <w:rsid w:val="007809E7"/>
    <w:rsid w:val="00780BB3"/>
    <w:rsid w:val="00780D93"/>
    <w:rsid w:val="00780D9E"/>
    <w:rsid w:val="00780E5D"/>
    <w:rsid w:val="007813C1"/>
    <w:rsid w:val="007814AB"/>
    <w:rsid w:val="007814F2"/>
    <w:rsid w:val="0078189F"/>
    <w:rsid w:val="00781BEF"/>
    <w:rsid w:val="00781C13"/>
    <w:rsid w:val="00781C96"/>
    <w:rsid w:val="00781EA9"/>
    <w:rsid w:val="00781ED1"/>
    <w:rsid w:val="00781F1E"/>
    <w:rsid w:val="007820BF"/>
    <w:rsid w:val="00782305"/>
    <w:rsid w:val="00782599"/>
    <w:rsid w:val="0078262A"/>
    <w:rsid w:val="00782A7E"/>
    <w:rsid w:val="00782D4D"/>
    <w:rsid w:val="00782D7F"/>
    <w:rsid w:val="00782EE3"/>
    <w:rsid w:val="00783197"/>
    <w:rsid w:val="00783231"/>
    <w:rsid w:val="007833CA"/>
    <w:rsid w:val="007834F3"/>
    <w:rsid w:val="00783910"/>
    <w:rsid w:val="00783A1E"/>
    <w:rsid w:val="00783B53"/>
    <w:rsid w:val="00783D56"/>
    <w:rsid w:val="007840D0"/>
    <w:rsid w:val="00784560"/>
    <w:rsid w:val="0078476D"/>
    <w:rsid w:val="007847CD"/>
    <w:rsid w:val="00784840"/>
    <w:rsid w:val="00784C02"/>
    <w:rsid w:val="00784C1B"/>
    <w:rsid w:val="00784D76"/>
    <w:rsid w:val="00784E22"/>
    <w:rsid w:val="00784FC2"/>
    <w:rsid w:val="007850D0"/>
    <w:rsid w:val="00785562"/>
    <w:rsid w:val="00785717"/>
    <w:rsid w:val="00785A27"/>
    <w:rsid w:val="00785A8A"/>
    <w:rsid w:val="00785F6D"/>
    <w:rsid w:val="0078660B"/>
    <w:rsid w:val="00786740"/>
    <w:rsid w:val="00786A73"/>
    <w:rsid w:val="00786ACC"/>
    <w:rsid w:val="00786CE9"/>
    <w:rsid w:val="00786D0E"/>
    <w:rsid w:val="00786D77"/>
    <w:rsid w:val="00786F2E"/>
    <w:rsid w:val="007875D8"/>
    <w:rsid w:val="00787634"/>
    <w:rsid w:val="0078784E"/>
    <w:rsid w:val="00787999"/>
    <w:rsid w:val="00787A54"/>
    <w:rsid w:val="00787E42"/>
    <w:rsid w:val="0079035A"/>
    <w:rsid w:val="007906A1"/>
    <w:rsid w:val="007906F9"/>
    <w:rsid w:val="007907A2"/>
    <w:rsid w:val="007907BA"/>
    <w:rsid w:val="00790A2B"/>
    <w:rsid w:val="00790A2F"/>
    <w:rsid w:val="00790B37"/>
    <w:rsid w:val="00790E92"/>
    <w:rsid w:val="0079139D"/>
    <w:rsid w:val="00791536"/>
    <w:rsid w:val="007915C8"/>
    <w:rsid w:val="007915DD"/>
    <w:rsid w:val="00791AC8"/>
    <w:rsid w:val="0079224B"/>
    <w:rsid w:val="0079229A"/>
    <w:rsid w:val="0079230E"/>
    <w:rsid w:val="00792514"/>
    <w:rsid w:val="007925DE"/>
    <w:rsid w:val="00792683"/>
    <w:rsid w:val="007926C8"/>
    <w:rsid w:val="007926E9"/>
    <w:rsid w:val="00792813"/>
    <w:rsid w:val="00792AAC"/>
    <w:rsid w:val="00792B3A"/>
    <w:rsid w:val="00792D38"/>
    <w:rsid w:val="0079348E"/>
    <w:rsid w:val="007935C4"/>
    <w:rsid w:val="007936A6"/>
    <w:rsid w:val="007936F3"/>
    <w:rsid w:val="00793884"/>
    <w:rsid w:val="007939F6"/>
    <w:rsid w:val="007941D0"/>
    <w:rsid w:val="00794503"/>
    <w:rsid w:val="007946CE"/>
    <w:rsid w:val="00794740"/>
    <w:rsid w:val="007948A6"/>
    <w:rsid w:val="007948B5"/>
    <w:rsid w:val="007949EC"/>
    <w:rsid w:val="00794BA7"/>
    <w:rsid w:val="00794C52"/>
    <w:rsid w:val="00794F8E"/>
    <w:rsid w:val="00795330"/>
    <w:rsid w:val="007954DA"/>
    <w:rsid w:val="007954FE"/>
    <w:rsid w:val="007959A9"/>
    <w:rsid w:val="007959D7"/>
    <w:rsid w:val="00795AC3"/>
    <w:rsid w:val="00795AD3"/>
    <w:rsid w:val="00795BEE"/>
    <w:rsid w:val="00796233"/>
    <w:rsid w:val="007962E0"/>
    <w:rsid w:val="00796386"/>
    <w:rsid w:val="007966B4"/>
    <w:rsid w:val="00796862"/>
    <w:rsid w:val="00796CFC"/>
    <w:rsid w:val="00796D4B"/>
    <w:rsid w:val="00797165"/>
    <w:rsid w:val="007972E3"/>
    <w:rsid w:val="007974B1"/>
    <w:rsid w:val="00797545"/>
    <w:rsid w:val="007975F5"/>
    <w:rsid w:val="00797701"/>
    <w:rsid w:val="0079777D"/>
    <w:rsid w:val="00797AF6"/>
    <w:rsid w:val="00797CF0"/>
    <w:rsid w:val="00797F01"/>
    <w:rsid w:val="00797F13"/>
    <w:rsid w:val="00797F43"/>
    <w:rsid w:val="007A055C"/>
    <w:rsid w:val="007A05C3"/>
    <w:rsid w:val="007A0767"/>
    <w:rsid w:val="007A0928"/>
    <w:rsid w:val="007A0C8F"/>
    <w:rsid w:val="007A0D76"/>
    <w:rsid w:val="007A105F"/>
    <w:rsid w:val="007A111B"/>
    <w:rsid w:val="007A1228"/>
    <w:rsid w:val="007A1381"/>
    <w:rsid w:val="007A16F4"/>
    <w:rsid w:val="007A194E"/>
    <w:rsid w:val="007A19B2"/>
    <w:rsid w:val="007A19E0"/>
    <w:rsid w:val="007A1D46"/>
    <w:rsid w:val="007A2072"/>
    <w:rsid w:val="007A2162"/>
    <w:rsid w:val="007A216C"/>
    <w:rsid w:val="007A23B6"/>
    <w:rsid w:val="007A242A"/>
    <w:rsid w:val="007A2553"/>
    <w:rsid w:val="007A2A37"/>
    <w:rsid w:val="007A2E2A"/>
    <w:rsid w:val="007A3364"/>
    <w:rsid w:val="007A3CC4"/>
    <w:rsid w:val="007A3D28"/>
    <w:rsid w:val="007A3FE3"/>
    <w:rsid w:val="007A4074"/>
    <w:rsid w:val="007A41F4"/>
    <w:rsid w:val="007A44F7"/>
    <w:rsid w:val="007A476B"/>
    <w:rsid w:val="007A483E"/>
    <w:rsid w:val="007A4DE6"/>
    <w:rsid w:val="007A4E58"/>
    <w:rsid w:val="007A4E7D"/>
    <w:rsid w:val="007A5067"/>
    <w:rsid w:val="007A518E"/>
    <w:rsid w:val="007A51C1"/>
    <w:rsid w:val="007A55C4"/>
    <w:rsid w:val="007A55F4"/>
    <w:rsid w:val="007A571B"/>
    <w:rsid w:val="007A5738"/>
    <w:rsid w:val="007A573A"/>
    <w:rsid w:val="007A58E0"/>
    <w:rsid w:val="007A5B85"/>
    <w:rsid w:val="007A5D89"/>
    <w:rsid w:val="007A5EEB"/>
    <w:rsid w:val="007A5F26"/>
    <w:rsid w:val="007A60E5"/>
    <w:rsid w:val="007A64CF"/>
    <w:rsid w:val="007A6708"/>
    <w:rsid w:val="007A685F"/>
    <w:rsid w:val="007A689E"/>
    <w:rsid w:val="007A6C34"/>
    <w:rsid w:val="007A6ED6"/>
    <w:rsid w:val="007A6F38"/>
    <w:rsid w:val="007A71D7"/>
    <w:rsid w:val="007A7600"/>
    <w:rsid w:val="007A7960"/>
    <w:rsid w:val="007B0002"/>
    <w:rsid w:val="007B017D"/>
    <w:rsid w:val="007B01AF"/>
    <w:rsid w:val="007B0540"/>
    <w:rsid w:val="007B075C"/>
    <w:rsid w:val="007B083D"/>
    <w:rsid w:val="007B09B4"/>
    <w:rsid w:val="007B09D1"/>
    <w:rsid w:val="007B0A1E"/>
    <w:rsid w:val="007B0ACC"/>
    <w:rsid w:val="007B1265"/>
    <w:rsid w:val="007B1A21"/>
    <w:rsid w:val="007B1ACD"/>
    <w:rsid w:val="007B1C41"/>
    <w:rsid w:val="007B21B1"/>
    <w:rsid w:val="007B234D"/>
    <w:rsid w:val="007B2840"/>
    <w:rsid w:val="007B28B4"/>
    <w:rsid w:val="007B2E7A"/>
    <w:rsid w:val="007B2FDF"/>
    <w:rsid w:val="007B30EA"/>
    <w:rsid w:val="007B33D2"/>
    <w:rsid w:val="007B354B"/>
    <w:rsid w:val="007B3695"/>
    <w:rsid w:val="007B36A8"/>
    <w:rsid w:val="007B3A86"/>
    <w:rsid w:val="007B3B5C"/>
    <w:rsid w:val="007B3C3B"/>
    <w:rsid w:val="007B3DB0"/>
    <w:rsid w:val="007B3DE7"/>
    <w:rsid w:val="007B4140"/>
    <w:rsid w:val="007B4246"/>
    <w:rsid w:val="007B43A1"/>
    <w:rsid w:val="007B4499"/>
    <w:rsid w:val="007B470E"/>
    <w:rsid w:val="007B473D"/>
    <w:rsid w:val="007B49C4"/>
    <w:rsid w:val="007B4A33"/>
    <w:rsid w:val="007B4BFD"/>
    <w:rsid w:val="007B5366"/>
    <w:rsid w:val="007B5419"/>
    <w:rsid w:val="007B544B"/>
    <w:rsid w:val="007B55D0"/>
    <w:rsid w:val="007B58B3"/>
    <w:rsid w:val="007B5B06"/>
    <w:rsid w:val="007B5E6F"/>
    <w:rsid w:val="007B5F7A"/>
    <w:rsid w:val="007B6199"/>
    <w:rsid w:val="007B6398"/>
    <w:rsid w:val="007B63AE"/>
    <w:rsid w:val="007B677E"/>
    <w:rsid w:val="007B690E"/>
    <w:rsid w:val="007B6AAE"/>
    <w:rsid w:val="007B6C4C"/>
    <w:rsid w:val="007B6F26"/>
    <w:rsid w:val="007B7279"/>
    <w:rsid w:val="007B75B2"/>
    <w:rsid w:val="007B7837"/>
    <w:rsid w:val="007B7982"/>
    <w:rsid w:val="007B7A69"/>
    <w:rsid w:val="007B7DF3"/>
    <w:rsid w:val="007B7E46"/>
    <w:rsid w:val="007B7F1B"/>
    <w:rsid w:val="007C056D"/>
    <w:rsid w:val="007C05EB"/>
    <w:rsid w:val="007C07FE"/>
    <w:rsid w:val="007C0F4F"/>
    <w:rsid w:val="007C1743"/>
    <w:rsid w:val="007C1AA2"/>
    <w:rsid w:val="007C1C85"/>
    <w:rsid w:val="007C1F3A"/>
    <w:rsid w:val="007C2114"/>
    <w:rsid w:val="007C231D"/>
    <w:rsid w:val="007C23AE"/>
    <w:rsid w:val="007C261E"/>
    <w:rsid w:val="007C2806"/>
    <w:rsid w:val="007C2AEF"/>
    <w:rsid w:val="007C2DEB"/>
    <w:rsid w:val="007C34BA"/>
    <w:rsid w:val="007C3946"/>
    <w:rsid w:val="007C3A53"/>
    <w:rsid w:val="007C3A83"/>
    <w:rsid w:val="007C3C2C"/>
    <w:rsid w:val="007C4201"/>
    <w:rsid w:val="007C463C"/>
    <w:rsid w:val="007C46BA"/>
    <w:rsid w:val="007C4ABD"/>
    <w:rsid w:val="007C4B44"/>
    <w:rsid w:val="007C4D2A"/>
    <w:rsid w:val="007C5273"/>
    <w:rsid w:val="007C59EB"/>
    <w:rsid w:val="007C5A14"/>
    <w:rsid w:val="007C5C83"/>
    <w:rsid w:val="007C5D8A"/>
    <w:rsid w:val="007C6321"/>
    <w:rsid w:val="007C662A"/>
    <w:rsid w:val="007C66AF"/>
    <w:rsid w:val="007C67CB"/>
    <w:rsid w:val="007C6958"/>
    <w:rsid w:val="007C6A21"/>
    <w:rsid w:val="007C6AAA"/>
    <w:rsid w:val="007C708A"/>
    <w:rsid w:val="007C70D1"/>
    <w:rsid w:val="007C7273"/>
    <w:rsid w:val="007C7680"/>
    <w:rsid w:val="007C7A70"/>
    <w:rsid w:val="007C7D92"/>
    <w:rsid w:val="007D00FA"/>
    <w:rsid w:val="007D014E"/>
    <w:rsid w:val="007D022D"/>
    <w:rsid w:val="007D0527"/>
    <w:rsid w:val="007D0846"/>
    <w:rsid w:val="007D08BC"/>
    <w:rsid w:val="007D08C7"/>
    <w:rsid w:val="007D0C47"/>
    <w:rsid w:val="007D0D3A"/>
    <w:rsid w:val="007D0D50"/>
    <w:rsid w:val="007D0DD4"/>
    <w:rsid w:val="007D0EF7"/>
    <w:rsid w:val="007D12D5"/>
    <w:rsid w:val="007D16FF"/>
    <w:rsid w:val="007D18D4"/>
    <w:rsid w:val="007D1A42"/>
    <w:rsid w:val="007D1A5A"/>
    <w:rsid w:val="007D1AFC"/>
    <w:rsid w:val="007D1DCE"/>
    <w:rsid w:val="007D1DE9"/>
    <w:rsid w:val="007D221D"/>
    <w:rsid w:val="007D2267"/>
    <w:rsid w:val="007D23C1"/>
    <w:rsid w:val="007D2648"/>
    <w:rsid w:val="007D269C"/>
    <w:rsid w:val="007D26D0"/>
    <w:rsid w:val="007D2B58"/>
    <w:rsid w:val="007D2B94"/>
    <w:rsid w:val="007D2CAF"/>
    <w:rsid w:val="007D31A0"/>
    <w:rsid w:val="007D34B9"/>
    <w:rsid w:val="007D35B2"/>
    <w:rsid w:val="007D3AEC"/>
    <w:rsid w:val="007D3FD8"/>
    <w:rsid w:val="007D4DC3"/>
    <w:rsid w:val="007D4E3F"/>
    <w:rsid w:val="007D50FE"/>
    <w:rsid w:val="007D5181"/>
    <w:rsid w:val="007D5317"/>
    <w:rsid w:val="007D5450"/>
    <w:rsid w:val="007D55AD"/>
    <w:rsid w:val="007D573B"/>
    <w:rsid w:val="007D57F6"/>
    <w:rsid w:val="007D5967"/>
    <w:rsid w:val="007D5E26"/>
    <w:rsid w:val="007D5F56"/>
    <w:rsid w:val="007D602B"/>
    <w:rsid w:val="007D61E4"/>
    <w:rsid w:val="007D628A"/>
    <w:rsid w:val="007D62B4"/>
    <w:rsid w:val="007D64D8"/>
    <w:rsid w:val="007D6551"/>
    <w:rsid w:val="007D67A4"/>
    <w:rsid w:val="007D69BC"/>
    <w:rsid w:val="007D6AFB"/>
    <w:rsid w:val="007D6BAA"/>
    <w:rsid w:val="007D6DD9"/>
    <w:rsid w:val="007D6FC8"/>
    <w:rsid w:val="007D7175"/>
    <w:rsid w:val="007D7346"/>
    <w:rsid w:val="007D73E1"/>
    <w:rsid w:val="007D74D4"/>
    <w:rsid w:val="007D769B"/>
    <w:rsid w:val="007D76AE"/>
    <w:rsid w:val="007D77C7"/>
    <w:rsid w:val="007D7CC8"/>
    <w:rsid w:val="007D7F5B"/>
    <w:rsid w:val="007E00F0"/>
    <w:rsid w:val="007E0349"/>
    <w:rsid w:val="007E0432"/>
    <w:rsid w:val="007E0597"/>
    <w:rsid w:val="007E069D"/>
    <w:rsid w:val="007E0BC4"/>
    <w:rsid w:val="007E0F92"/>
    <w:rsid w:val="007E122B"/>
    <w:rsid w:val="007E1915"/>
    <w:rsid w:val="007E2202"/>
    <w:rsid w:val="007E249B"/>
    <w:rsid w:val="007E2590"/>
    <w:rsid w:val="007E2756"/>
    <w:rsid w:val="007E2770"/>
    <w:rsid w:val="007E288F"/>
    <w:rsid w:val="007E2A73"/>
    <w:rsid w:val="007E2E46"/>
    <w:rsid w:val="007E2F5A"/>
    <w:rsid w:val="007E320E"/>
    <w:rsid w:val="007E340D"/>
    <w:rsid w:val="007E3484"/>
    <w:rsid w:val="007E3982"/>
    <w:rsid w:val="007E4176"/>
    <w:rsid w:val="007E41A5"/>
    <w:rsid w:val="007E4520"/>
    <w:rsid w:val="007E4646"/>
    <w:rsid w:val="007E4795"/>
    <w:rsid w:val="007E486C"/>
    <w:rsid w:val="007E48FD"/>
    <w:rsid w:val="007E4EB3"/>
    <w:rsid w:val="007E4EE6"/>
    <w:rsid w:val="007E5099"/>
    <w:rsid w:val="007E50C5"/>
    <w:rsid w:val="007E55BE"/>
    <w:rsid w:val="007E5A5A"/>
    <w:rsid w:val="007E5BC4"/>
    <w:rsid w:val="007E5CD4"/>
    <w:rsid w:val="007E5CE2"/>
    <w:rsid w:val="007E5D41"/>
    <w:rsid w:val="007E5E2C"/>
    <w:rsid w:val="007E5F27"/>
    <w:rsid w:val="007E6043"/>
    <w:rsid w:val="007E619E"/>
    <w:rsid w:val="007E6254"/>
    <w:rsid w:val="007E62B4"/>
    <w:rsid w:val="007E6316"/>
    <w:rsid w:val="007E656D"/>
    <w:rsid w:val="007E65DD"/>
    <w:rsid w:val="007E66E2"/>
    <w:rsid w:val="007E67FB"/>
    <w:rsid w:val="007E6AAB"/>
    <w:rsid w:val="007E6FAA"/>
    <w:rsid w:val="007E7501"/>
    <w:rsid w:val="007E756C"/>
    <w:rsid w:val="007E7B9F"/>
    <w:rsid w:val="007E7D0D"/>
    <w:rsid w:val="007E7E1C"/>
    <w:rsid w:val="007F0776"/>
    <w:rsid w:val="007F07F4"/>
    <w:rsid w:val="007F07FD"/>
    <w:rsid w:val="007F0AAC"/>
    <w:rsid w:val="007F0BF6"/>
    <w:rsid w:val="007F0CB8"/>
    <w:rsid w:val="007F0FD2"/>
    <w:rsid w:val="007F10FC"/>
    <w:rsid w:val="007F142B"/>
    <w:rsid w:val="007F190C"/>
    <w:rsid w:val="007F19AA"/>
    <w:rsid w:val="007F1B6B"/>
    <w:rsid w:val="007F2272"/>
    <w:rsid w:val="007F2306"/>
    <w:rsid w:val="007F26DB"/>
    <w:rsid w:val="007F2C18"/>
    <w:rsid w:val="007F2DF4"/>
    <w:rsid w:val="007F2F43"/>
    <w:rsid w:val="007F2F4D"/>
    <w:rsid w:val="007F37AD"/>
    <w:rsid w:val="007F38D3"/>
    <w:rsid w:val="007F3C73"/>
    <w:rsid w:val="007F3CFB"/>
    <w:rsid w:val="007F4182"/>
    <w:rsid w:val="007F42CF"/>
    <w:rsid w:val="007F4331"/>
    <w:rsid w:val="007F48BB"/>
    <w:rsid w:val="007F48ED"/>
    <w:rsid w:val="007F4BE7"/>
    <w:rsid w:val="007F4D56"/>
    <w:rsid w:val="007F4D74"/>
    <w:rsid w:val="007F4F16"/>
    <w:rsid w:val="007F53A9"/>
    <w:rsid w:val="007F55F1"/>
    <w:rsid w:val="007F5913"/>
    <w:rsid w:val="007F5C43"/>
    <w:rsid w:val="007F5D52"/>
    <w:rsid w:val="007F5D6C"/>
    <w:rsid w:val="007F5E6E"/>
    <w:rsid w:val="007F5EAD"/>
    <w:rsid w:val="007F5F33"/>
    <w:rsid w:val="007F61D6"/>
    <w:rsid w:val="007F6724"/>
    <w:rsid w:val="007F67A9"/>
    <w:rsid w:val="007F691E"/>
    <w:rsid w:val="007F6E0C"/>
    <w:rsid w:val="007F727C"/>
    <w:rsid w:val="007F73E2"/>
    <w:rsid w:val="007F748F"/>
    <w:rsid w:val="007F7624"/>
    <w:rsid w:val="007F76BB"/>
    <w:rsid w:val="007F7CB0"/>
    <w:rsid w:val="007F7E2B"/>
    <w:rsid w:val="0080043A"/>
    <w:rsid w:val="00800555"/>
    <w:rsid w:val="00800593"/>
    <w:rsid w:val="008005CC"/>
    <w:rsid w:val="0080060F"/>
    <w:rsid w:val="00800797"/>
    <w:rsid w:val="00800C51"/>
    <w:rsid w:val="00800CA5"/>
    <w:rsid w:val="00800CAA"/>
    <w:rsid w:val="00800FC4"/>
    <w:rsid w:val="00801189"/>
    <w:rsid w:val="008013BD"/>
    <w:rsid w:val="00801548"/>
    <w:rsid w:val="00801586"/>
    <w:rsid w:val="0080159E"/>
    <w:rsid w:val="00801823"/>
    <w:rsid w:val="008019DF"/>
    <w:rsid w:val="00801A3A"/>
    <w:rsid w:val="00801E69"/>
    <w:rsid w:val="00802189"/>
    <w:rsid w:val="00802385"/>
    <w:rsid w:val="0080240A"/>
    <w:rsid w:val="008026E5"/>
    <w:rsid w:val="008027ED"/>
    <w:rsid w:val="0080298A"/>
    <w:rsid w:val="0080298B"/>
    <w:rsid w:val="00802A07"/>
    <w:rsid w:val="00802C75"/>
    <w:rsid w:val="00802DA5"/>
    <w:rsid w:val="00803006"/>
    <w:rsid w:val="00803046"/>
    <w:rsid w:val="00803776"/>
    <w:rsid w:val="008037DB"/>
    <w:rsid w:val="008039AB"/>
    <w:rsid w:val="00803B4B"/>
    <w:rsid w:val="008040B3"/>
    <w:rsid w:val="008040BC"/>
    <w:rsid w:val="008040E8"/>
    <w:rsid w:val="00804470"/>
    <w:rsid w:val="008045AD"/>
    <w:rsid w:val="0080483C"/>
    <w:rsid w:val="008048AD"/>
    <w:rsid w:val="00804913"/>
    <w:rsid w:val="00804ABA"/>
    <w:rsid w:val="00804AF8"/>
    <w:rsid w:val="00804C17"/>
    <w:rsid w:val="00804E79"/>
    <w:rsid w:val="0080503F"/>
    <w:rsid w:val="00805262"/>
    <w:rsid w:val="00805269"/>
    <w:rsid w:val="0080543D"/>
    <w:rsid w:val="008055A7"/>
    <w:rsid w:val="008055EA"/>
    <w:rsid w:val="0080578D"/>
    <w:rsid w:val="008058F6"/>
    <w:rsid w:val="00805C7D"/>
    <w:rsid w:val="00805DE6"/>
    <w:rsid w:val="00805FB9"/>
    <w:rsid w:val="00806141"/>
    <w:rsid w:val="00806168"/>
    <w:rsid w:val="008062D9"/>
    <w:rsid w:val="00806932"/>
    <w:rsid w:val="00806B10"/>
    <w:rsid w:val="00806BF8"/>
    <w:rsid w:val="00806EBA"/>
    <w:rsid w:val="00807252"/>
    <w:rsid w:val="00807383"/>
    <w:rsid w:val="00807419"/>
    <w:rsid w:val="008076A5"/>
    <w:rsid w:val="008077B2"/>
    <w:rsid w:val="0080780B"/>
    <w:rsid w:val="008078B7"/>
    <w:rsid w:val="00807BC6"/>
    <w:rsid w:val="00807C1A"/>
    <w:rsid w:val="00807CE2"/>
    <w:rsid w:val="00807CE5"/>
    <w:rsid w:val="00810474"/>
    <w:rsid w:val="00810EF4"/>
    <w:rsid w:val="008111F2"/>
    <w:rsid w:val="0081147E"/>
    <w:rsid w:val="00811791"/>
    <w:rsid w:val="00812128"/>
    <w:rsid w:val="00812176"/>
    <w:rsid w:val="00812321"/>
    <w:rsid w:val="00812AAE"/>
    <w:rsid w:val="00812AF2"/>
    <w:rsid w:val="00812D5C"/>
    <w:rsid w:val="00812E06"/>
    <w:rsid w:val="00812E3F"/>
    <w:rsid w:val="00813274"/>
    <w:rsid w:val="00813288"/>
    <w:rsid w:val="00813315"/>
    <w:rsid w:val="008133B2"/>
    <w:rsid w:val="008136B2"/>
    <w:rsid w:val="00813804"/>
    <w:rsid w:val="00813855"/>
    <w:rsid w:val="00813888"/>
    <w:rsid w:val="00813B99"/>
    <w:rsid w:val="008141D2"/>
    <w:rsid w:val="0081445E"/>
    <w:rsid w:val="0081457A"/>
    <w:rsid w:val="008145BC"/>
    <w:rsid w:val="00814855"/>
    <w:rsid w:val="00814AC5"/>
    <w:rsid w:val="00814AD7"/>
    <w:rsid w:val="00814AF0"/>
    <w:rsid w:val="00814D42"/>
    <w:rsid w:val="00814F0E"/>
    <w:rsid w:val="00815556"/>
    <w:rsid w:val="00815A27"/>
    <w:rsid w:val="00815CBE"/>
    <w:rsid w:val="00815EC0"/>
    <w:rsid w:val="00816359"/>
    <w:rsid w:val="00816442"/>
    <w:rsid w:val="008164CF"/>
    <w:rsid w:val="0081656D"/>
    <w:rsid w:val="0081659C"/>
    <w:rsid w:val="00816689"/>
    <w:rsid w:val="00816884"/>
    <w:rsid w:val="00816F05"/>
    <w:rsid w:val="00817019"/>
    <w:rsid w:val="00817166"/>
    <w:rsid w:val="00817469"/>
    <w:rsid w:val="008174E0"/>
    <w:rsid w:val="008177C2"/>
    <w:rsid w:val="00817A33"/>
    <w:rsid w:val="00817C17"/>
    <w:rsid w:val="008200F6"/>
    <w:rsid w:val="0082043D"/>
    <w:rsid w:val="008204D5"/>
    <w:rsid w:val="008206A5"/>
    <w:rsid w:val="008208ED"/>
    <w:rsid w:val="00820AEC"/>
    <w:rsid w:val="00820B2F"/>
    <w:rsid w:val="00820CE9"/>
    <w:rsid w:val="00820D2C"/>
    <w:rsid w:val="00820D90"/>
    <w:rsid w:val="00820DC9"/>
    <w:rsid w:val="00820F3A"/>
    <w:rsid w:val="00820FC7"/>
    <w:rsid w:val="00821271"/>
    <w:rsid w:val="008212A5"/>
    <w:rsid w:val="00821C02"/>
    <w:rsid w:val="00821C68"/>
    <w:rsid w:val="00821C76"/>
    <w:rsid w:val="00821C8D"/>
    <w:rsid w:val="00821CA8"/>
    <w:rsid w:val="00822050"/>
    <w:rsid w:val="0082225E"/>
    <w:rsid w:val="00822425"/>
    <w:rsid w:val="0082242E"/>
    <w:rsid w:val="00822787"/>
    <w:rsid w:val="00822798"/>
    <w:rsid w:val="008228CD"/>
    <w:rsid w:val="00822AD9"/>
    <w:rsid w:val="00822DF8"/>
    <w:rsid w:val="00822E12"/>
    <w:rsid w:val="00822F9D"/>
    <w:rsid w:val="00822FEE"/>
    <w:rsid w:val="0082313E"/>
    <w:rsid w:val="008232CC"/>
    <w:rsid w:val="00823341"/>
    <w:rsid w:val="0082343D"/>
    <w:rsid w:val="00823459"/>
    <w:rsid w:val="00823477"/>
    <w:rsid w:val="00823C26"/>
    <w:rsid w:val="00823E0A"/>
    <w:rsid w:val="00823EAE"/>
    <w:rsid w:val="00823F6F"/>
    <w:rsid w:val="00824055"/>
    <w:rsid w:val="0082405D"/>
    <w:rsid w:val="008242B4"/>
    <w:rsid w:val="00824510"/>
    <w:rsid w:val="00824671"/>
    <w:rsid w:val="008246B9"/>
    <w:rsid w:val="00824A4A"/>
    <w:rsid w:val="00824AF1"/>
    <w:rsid w:val="00824BE7"/>
    <w:rsid w:val="00824D37"/>
    <w:rsid w:val="00824D4D"/>
    <w:rsid w:val="00824DF3"/>
    <w:rsid w:val="00824E46"/>
    <w:rsid w:val="00825189"/>
    <w:rsid w:val="0082519E"/>
    <w:rsid w:val="008252D3"/>
    <w:rsid w:val="00825335"/>
    <w:rsid w:val="008253A1"/>
    <w:rsid w:val="008257AA"/>
    <w:rsid w:val="0082585C"/>
    <w:rsid w:val="008259D7"/>
    <w:rsid w:val="00825B33"/>
    <w:rsid w:val="00825C27"/>
    <w:rsid w:val="00825CBB"/>
    <w:rsid w:val="00825DFA"/>
    <w:rsid w:val="00825FA7"/>
    <w:rsid w:val="008263BD"/>
    <w:rsid w:val="008264D6"/>
    <w:rsid w:val="0082663A"/>
    <w:rsid w:val="008266F1"/>
    <w:rsid w:val="008268CA"/>
    <w:rsid w:val="00826994"/>
    <w:rsid w:val="008269A8"/>
    <w:rsid w:val="00826EB4"/>
    <w:rsid w:val="008270CD"/>
    <w:rsid w:val="008273FF"/>
    <w:rsid w:val="0082748B"/>
    <w:rsid w:val="0082757B"/>
    <w:rsid w:val="008275F5"/>
    <w:rsid w:val="008276E7"/>
    <w:rsid w:val="00827733"/>
    <w:rsid w:val="00827841"/>
    <w:rsid w:val="00827924"/>
    <w:rsid w:val="00827ACF"/>
    <w:rsid w:val="00827C87"/>
    <w:rsid w:val="00827F8D"/>
    <w:rsid w:val="00830030"/>
    <w:rsid w:val="008300C9"/>
    <w:rsid w:val="00830447"/>
    <w:rsid w:val="008306D8"/>
    <w:rsid w:val="00830920"/>
    <w:rsid w:val="00830AC8"/>
    <w:rsid w:val="00830C27"/>
    <w:rsid w:val="008313BB"/>
    <w:rsid w:val="00831943"/>
    <w:rsid w:val="00831B63"/>
    <w:rsid w:val="00831BD2"/>
    <w:rsid w:val="00831E69"/>
    <w:rsid w:val="00831EFF"/>
    <w:rsid w:val="00831F1E"/>
    <w:rsid w:val="0083219B"/>
    <w:rsid w:val="008321F7"/>
    <w:rsid w:val="00832273"/>
    <w:rsid w:val="0083247A"/>
    <w:rsid w:val="00832979"/>
    <w:rsid w:val="00832DA5"/>
    <w:rsid w:val="008331E9"/>
    <w:rsid w:val="008332FE"/>
    <w:rsid w:val="00833474"/>
    <w:rsid w:val="00833663"/>
    <w:rsid w:val="0083367E"/>
    <w:rsid w:val="008336D4"/>
    <w:rsid w:val="008337F6"/>
    <w:rsid w:val="00833AF4"/>
    <w:rsid w:val="00833BA9"/>
    <w:rsid w:val="00833C10"/>
    <w:rsid w:val="00833CCA"/>
    <w:rsid w:val="00833DDE"/>
    <w:rsid w:val="00833F0A"/>
    <w:rsid w:val="0083403D"/>
    <w:rsid w:val="00834301"/>
    <w:rsid w:val="0083440F"/>
    <w:rsid w:val="00834420"/>
    <w:rsid w:val="00834505"/>
    <w:rsid w:val="008345BF"/>
    <w:rsid w:val="00834876"/>
    <w:rsid w:val="008348F3"/>
    <w:rsid w:val="00834AAD"/>
    <w:rsid w:val="00834CE9"/>
    <w:rsid w:val="00835077"/>
    <w:rsid w:val="00835299"/>
    <w:rsid w:val="00835635"/>
    <w:rsid w:val="00835773"/>
    <w:rsid w:val="00835B17"/>
    <w:rsid w:val="00835CCC"/>
    <w:rsid w:val="00835FCE"/>
    <w:rsid w:val="00836017"/>
    <w:rsid w:val="0083602B"/>
    <w:rsid w:val="00836126"/>
    <w:rsid w:val="00836451"/>
    <w:rsid w:val="0083667E"/>
    <w:rsid w:val="00836715"/>
    <w:rsid w:val="00836A94"/>
    <w:rsid w:val="00836E03"/>
    <w:rsid w:val="00836EFF"/>
    <w:rsid w:val="00836F2C"/>
    <w:rsid w:val="00837083"/>
    <w:rsid w:val="00837848"/>
    <w:rsid w:val="00837862"/>
    <w:rsid w:val="008379C8"/>
    <w:rsid w:val="00837D08"/>
    <w:rsid w:val="00837FCC"/>
    <w:rsid w:val="008407C8"/>
    <w:rsid w:val="00840853"/>
    <w:rsid w:val="0084097C"/>
    <w:rsid w:val="008409A2"/>
    <w:rsid w:val="00840AAC"/>
    <w:rsid w:val="00840B80"/>
    <w:rsid w:val="00840DC4"/>
    <w:rsid w:val="00841076"/>
    <w:rsid w:val="008416C0"/>
    <w:rsid w:val="008416F2"/>
    <w:rsid w:val="008418B1"/>
    <w:rsid w:val="008418F3"/>
    <w:rsid w:val="008419C5"/>
    <w:rsid w:val="00841BFE"/>
    <w:rsid w:val="00841C7E"/>
    <w:rsid w:val="00841F59"/>
    <w:rsid w:val="00841F66"/>
    <w:rsid w:val="0084226A"/>
    <w:rsid w:val="00842BB3"/>
    <w:rsid w:val="00842D95"/>
    <w:rsid w:val="00842F90"/>
    <w:rsid w:val="0084310E"/>
    <w:rsid w:val="00843591"/>
    <w:rsid w:val="00843761"/>
    <w:rsid w:val="00843842"/>
    <w:rsid w:val="008438B6"/>
    <w:rsid w:val="00843AA6"/>
    <w:rsid w:val="00843E2B"/>
    <w:rsid w:val="00843FFE"/>
    <w:rsid w:val="0084406B"/>
    <w:rsid w:val="008443BA"/>
    <w:rsid w:val="0084458D"/>
    <w:rsid w:val="00844606"/>
    <w:rsid w:val="008446F6"/>
    <w:rsid w:val="00844AA5"/>
    <w:rsid w:val="008458D1"/>
    <w:rsid w:val="00845939"/>
    <w:rsid w:val="00845AEA"/>
    <w:rsid w:val="00845C2E"/>
    <w:rsid w:val="00845D3D"/>
    <w:rsid w:val="00845F26"/>
    <w:rsid w:val="00846069"/>
    <w:rsid w:val="008460AE"/>
    <w:rsid w:val="00846279"/>
    <w:rsid w:val="008462C7"/>
    <w:rsid w:val="00846373"/>
    <w:rsid w:val="0084644F"/>
    <w:rsid w:val="008464D2"/>
    <w:rsid w:val="008465E6"/>
    <w:rsid w:val="00846905"/>
    <w:rsid w:val="00846A7E"/>
    <w:rsid w:val="00847379"/>
    <w:rsid w:val="00847536"/>
    <w:rsid w:val="008476AA"/>
    <w:rsid w:val="008477BD"/>
    <w:rsid w:val="0084781B"/>
    <w:rsid w:val="0084791B"/>
    <w:rsid w:val="0084796D"/>
    <w:rsid w:val="00847B3A"/>
    <w:rsid w:val="00847CB1"/>
    <w:rsid w:val="00847D3B"/>
    <w:rsid w:val="00847ED7"/>
    <w:rsid w:val="00847F2D"/>
    <w:rsid w:val="008500FA"/>
    <w:rsid w:val="00850396"/>
    <w:rsid w:val="008506D0"/>
    <w:rsid w:val="00850895"/>
    <w:rsid w:val="008509E2"/>
    <w:rsid w:val="00850B0B"/>
    <w:rsid w:val="00850CC6"/>
    <w:rsid w:val="00850DEB"/>
    <w:rsid w:val="00851013"/>
    <w:rsid w:val="008511B7"/>
    <w:rsid w:val="008512A6"/>
    <w:rsid w:val="008513C5"/>
    <w:rsid w:val="008513EA"/>
    <w:rsid w:val="008514DE"/>
    <w:rsid w:val="008514F5"/>
    <w:rsid w:val="008517C9"/>
    <w:rsid w:val="008517EE"/>
    <w:rsid w:val="00851863"/>
    <w:rsid w:val="00851A99"/>
    <w:rsid w:val="00851B1C"/>
    <w:rsid w:val="00851B27"/>
    <w:rsid w:val="00851C82"/>
    <w:rsid w:val="00851EC7"/>
    <w:rsid w:val="00851ED1"/>
    <w:rsid w:val="00851F36"/>
    <w:rsid w:val="00852052"/>
    <w:rsid w:val="00852113"/>
    <w:rsid w:val="00852141"/>
    <w:rsid w:val="0085294E"/>
    <w:rsid w:val="00852A01"/>
    <w:rsid w:val="00852BFE"/>
    <w:rsid w:val="00852F8B"/>
    <w:rsid w:val="00853100"/>
    <w:rsid w:val="00853554"/>
    <w:rsid w:val="0085396A"/>
    <w:rsid w:val="00853A2E"/>
    <w:rsid w:val="00853A9D"/>
    <w:rsid w:val="00853D05"/>
    <w:rsid w:val="00853D12"/>
    <w:rsid w:val="00853F0F"/>
    <w:rsid w:val="00853F97"/>
    <w:rsid w:val="00853FAD"/>
    <w:rsid w:val="008540EB"/>
    <w:rsid w:val="008540F4"/>
    <w:rsid w:val="0085418D"/>
    <w:rsid w:val="0085431B"/>
    <w:rsid w:val="0085437B"/>
    <w:rsid w:val="0085444A"/>
    <w:rsid w:val="008544B5"/>
    <w:rsid w:val="00854566"/>
    <w:rsid w:val="00854AC2"/>
    <w:rsid w:val="00854BC0"/>
    <w:rsid w:val="00854C05"/>
    <w:rsid w:val="0085504A"/>
    <w:rsid w:val="0085549C"/>
    <w:rsid w:val="008558EF"/>
    <w:rsid w:val="008559FD"/>
    <w:rsid w:val="00855C66"/>
    <w:rsid w:val="00855D46"/>
    <w:rsid w:val="0085609B"/>
    <w:rsid w:val="008560CE"/>
    <w:rsid w:val="008561F9"/>
    <w:rsid w:val="00856992"/>
    <w:rsid w:val="00856A09"/>
    <w:rsid w:val="00856AA3"/>
    <w:rsid w:val="00857DEE"/>
    <w:rsid w:val="00857DF4"/>
    <w:rsid w:val="00860767"/>
    <w:rsid w:val="008607F2"/>
    <w:rsid w:val="00860AD4"/>
    <w:rsid w:val="00860C63"/>
    <w:rsid w:val="00860DB7"/>
    <w:rsid w:val="00860DD6"/>
    <w:rsid w:val="00860F8F"/>
    <w:rsid w:val="00860F9B"/>
    <w:rsid w:val="00861080"/>
    <w:rsid w:val="00861272"/>
    <w:rsid w:val="00861477"/>
    <w:rsid w:val="008614CA"/>
    <w:rsid w:val="0086179E"/>
    <w:rsid w:val="00862226"/>
    <w:rsid w:val="00862902"/>
    <w:rsid w:val="00862BF1"/>
    <w:rsid w:val="00862C4F"/>
    <w:rsid w:val="00862CD3"/>
    <w:rsid w:val="00862DAC"/>
    <w:rsid w:val="00863273"/>
    <w:rsid w:val="00863378"/>
    <w:rsid w:val="00863694"/>
    <w:rsid w:val="008637A9"/>
    <w:rsid w:val="008637E9"/>
    <w:rsid w:val="00863958"/>
    <w:rsid w:val="00863D7C"/>
    <w:rsid w:val="00863DF7"/>
    <w:rsid w:val="00863E90"/>
    <w:rsid w:val="00863EF6"/>
    <w:rsid w:val="0086409B"/>
    <w:rsid w:val="008641F7"/>
    <w:rsid w:val="0086446F"/>
    <w:rsid w:val="00864660"/>
    <w:rsid w:val="00864B33"/>
    <w:rsid w:val="00864B88"/>
    <w:rsid w:val="0086511E"/>
    <w:rsid w:val="0086530E"/>
    <w:rsid w:val="008654CA"/>
    <w:rsid w:val="00865506"/>
    <w:rsid w:val="0086566F"/>
    <w:rsid w:val="008656F8"/>
    <w:rsid w:val="008658AA"/>
    <w:rsid w:val="008658EF"/>
    <w:rsid w:val="00865D46"/>
    <w:rsid w:val="00865D6C"/>
    <w:rsid w:val="00865DC7"/>
    <w:rsid w:val="00865FE9"/>
    <w:rsid w:val="0086631C"/>
    <w:rsid w:val="00866341"/>
    <w:rsid w:val="0086637F"/>
    <w:rsid w:val="00866B94"/>
    <w:rsid w:val="00866EB5"/>
    <w:rsid w:val="00866EEF"/>
    <w:rsid w:val="00867014"/>
    <w:rsid w:val="00867290"/>
    <w:rsid w:val="008672FE"/>
    <w:rsid w:val="00867459"/>
    <w:rsid w:val="00867703"/>
    <w:rsid w:val="00867833"/>
    <w:rsid w:val="00867B6F"/>
    <w:rsid w:val="00867CE1"/>
    <w:rsid w:val="00867DA2"/>
    <w:rsid w:val="00867E11"/>
    <w:rsid w:val="00867E4D"/>
    <w:rsid w:val="00867F26"/>
    <w:rsid w:val="00867F43"/>
    <w:rsid w:val="0087007B"/>
    <w:rsid w:val="0087008C"/>
    <w:rsid w:val="008700CA"/>
    <w:rsid w:val="008701E7"/>
    <w:rsid w:val="008702C7"/>
    <w:rsid w:val="008703C3"/>
    <w:rsid w:val="00870508"/>
    <w:rsid w:val="00870722"/>
    <w:rsid w:val="008709A1"/>
    <w:rsid w:val="00870B3D"/>
    <w:rsid w:val="00870B54"/>
    <w:rsid w:val="00870C6F"/>
    <w:rsid w:val="00870C8B"/>
    <w:rsid w:val="00871095"/>
    <w:rsid w:val="008714E6"/>
    <w:rsid w:val="0087151E"/>
    <w:rsid w:val="008717C8"/>
    <w:rsid w:val="008717E3"/>
    <w:rsid w:val="00871A9E"/>
    <w:rsid w:val="00871AF3"/>
    <w:rsid w:val="00871B95"/>
    <w:rsid w:val="00871DA3"/>
    <w:rsid w:val="00871F80"/>
    <w:rsid w:val="00872461"/>
    <w:rsid w:val="008724B5"/>
    <w:rsid w:val="008724E3"/>
    <w:rsid w:val="0087271B"/>
    <w:rsid w:val="00872C73"/>
    <w:rsid w:val="00872DAD"/>
    <w:rsid w:val="00872DB3"/>
    <w:rsid w:val="00873001"/>
    <w:rsid w:val="00873068"/>
    <w:rsid w:val="0087326F"/>
    <w:rsid w:val="00873530"/>
    <w:rsid w:val="008735DD"/>
    <w:rsid w:val="0087376F"/>
    <w:rsid w:val="008737CC"/>
    <w:rsid w:val="00873986"/>
    <w:rsid w:val="00873CDB"/>
    <w:rsid w:val="00873E43"/>
    <w:rsid w:val="0087433C"/>
    <w:rsid w:val="00874609"/>
    <w:rsid w:val="0087490F"/>
    <w:rsid w:val="00874991"/>
    <w:rsid w:val="00874AD4"/>
    <w:rsid w:val="00874B51"/>
    <w:rsid w:val="00874DD4"/>
    <w:rsid w:val="00874E18"/>
    <w:rsid w:val="008751E6"/>
    <w:rsid w:val="0087531F"/>
    <w:rsid w:val="00875B1F"/>
    <w:rsid w:val="00875D75"/>
    <w:rsid w:val="00875D8A"/>
    <w:rsid w:val="00875DAE"/>
    <w:rsid w:val="00875FD1"/>
    <w:rsid w:val="00875FFE"/>
    <w:rsid w:val="00876321"/>
    <w:rsid w:val="0087659D"/>
    <w:rsid w:val="00876731"/>
    <w:rsid w:val="00876797"/>
    <w:rsid w:val="008769B5"/>
    <w:rsid w:val="00876B80"/>
    <w:rsid w:val="00876E8B"/>
    <w:rsid w:val="008774C0"/>
    <w:rsid w:val="00877A53"/>
    <w:rsid w:val="00877BD5"/>
    <w:rsid w:val="00877DE5"/>
    <w:rsid w:val="00877E41"/>
    <w:rsid w:val="00877F09"/>
    <w:rsid w:val="0088010C"/>
    <w:rsid w:val="008802CA"/>
    <w:rsid w:val="00880355"/>
    <w:rsid w:val="0088051A"/>
    <w:rsid w:val="00880834"/>
    <w:rsid w:val="00880CBB"/>
    <w:rsid w:val="00880FD7"/>
    <w:rsid w:val="0088127C"/>
    <w:rsid w:val="008813E5"/>
    <w:rsid w:val="0088159C"/>
    <w:rsid w:val="00881887"/>
    <w:rsid w:val="008818E4"/>
    <w:rsid w:val="00881AEF"/>
    <w:rsid w:val="00881BCE"/>
    <w:rsid w:val="00881FA5"/>
    <w:rsid w:val="008822D5"/>
    <w:rsid w:val="00882364"/>
    <w:rsid w:val="008823A3"/>
    <w:rsid w:val="008824A6"/>
    <w:rsid w:val="008824F9"/>
    <w:rsid w:val="008826DC"/>
    <w:rsid w:val="00882967"/>
    <w:rsid w:val="00882BE0"/>
    <w:rsid w:val="00882C14"/>
    <w:rsid w:val="00882E4B"/>
    <w:rsid w:val="00883258"/>
    <w:rsid w:val="008833D9"/>
    <w:rsid w:val="00883483"/>
    <w:rsid w:val="008839E4"/>
    <w:rsid w:val="00883CA2"/>
    <w:rsid w:val="00883D38"/>
    <w:rsid w:val="00883E17"/>
    <w:rsid w:val="00884163"/>
    <w:rsid w:val="008842DF"/>
    <w:rsid w:val="00884465"/>
    <w:rsid w:val="0088477C"/>
    <w:rsid w:val="0088484D"/>
    <w:rsid w:val="00884CE8"/>
    <w:rsid w:val="00884EF2"/>
    <w:rsid w:val="008852AB"/>
    <w:rsid w:val="0088545A"/>
    <w:rsid w:val="00885671"/>
    <w:rsid w:val="00885D54"/>
    <w:rsid w:val="00885E17"/>
    <w:rsid w:val="00885F69"/>
    <w:rsid w:val="00885FD3"/>
    <w:rsid w:val="008863A6"/>
    <w:rsid w:val="008865E3"/>
    <w:rsid w:val="008865F9"/>
    <w:rsid w:val="008866E0"/>
    <w:rsid w:val="00886F5E"/>
    <w:rsid w:val="0088715A"/>
    <w:rsid w:val="008872C2"/>
    <w:rsid w:val="008872C6"/>
    <w:rsid w:val="00887CAB"/>
    <w:rsid w:val="0089021A"/>
    <w:rsid w:val="008902C1"/>
    <w:rsid w:val="00890481"/>
    <w:rsid w:val="00890B56"/>
    <w:rsid w:val="00890ED1"/>
    <w:rsid w:val="00890F0E"/>
    <w:rsid w:val="00891182"/>
    <w:rsid w:val="008911CD"/>
    <w:rsid w:val="00891206"/>
    <w:rsid w:val="008920B9"/>
    <w:rsid w:val="008920DD"/>
    <w:rsid w:val="00892250"/>
    <w:rsid w:val="008922AC"/>
    <w:rsid w:val="008922E2"/>
    <w:rsid w:val="0089248B"/>
    <w:rsid w:val="00892A3C"/>
    <w:rsid w:val="00892BFA"/>
    <w:rsid w:val="00892CFF"/>
    <w:rsid w:val="00893121"/>
    <w:rsid w:val="0089326B"/>
    <w:rsid w:val="00893473"/>
    <w:rsid w:val="00893656"/>
    <w:rsid w:val="0089365A"/>
    <w:rsid w:val="0089396D"/>
    <w:rsid w:val="008939CF"/>
    <w:rsid w:val="00893AB2"/>
    <w:rsid w:val="00893B73"/>
    <w:rsid w:val="00893CEE"/>
    <w:rsid w:val="00893D96"/>
    <w:rsid w:val="0089400A"/>
    <w:rsid w:val="00894067"/>
    <w:rsid w:val="008940DA"/>
    <w:rsid w:val="00894301"/>
    <w:rsid w:val="008944F0"/>
    <w:rsid w:val="00894772"/>
    <w:rsid w:val="008949E8"/>
    <w:rsid w:val="00894A67"/>
    <w:rsid w:val="00894B54"/>
    <w:rsid w:val="00894BCE"/>
    <w:rsid w:val="00894BFF"/>
    <w:rsid w:val="00894C3C"/>
    <w:rsid w:val="0089516D"/>
    <w:rsid w:val="00895193"/>
    <w:rsid w:val="008952F1"/>
    <w:rsid w:val="00895545"/>
    <w:rsid w:val="00895D58"/>
    <w:rsid w:val="00895E0F"/>
    <w:rsid w:val="00895F87"/>
    <w:rsid w:val="008961A7"/>
    <w:rsid w:val="008962CD"/>
    <w:rsid w:val="008963A5"/>
    <w:rsid w:val="00896575"/>
    <w:rsid w:val="00896612"/>
    <w:rsid w:val="0089680E"/>
    <w:rsid w:val="008968D9"/>
    <w:rsid w:val="0089690E"/>
    <w:rsid w:val="00896A26"/>
    <w:rsid w:val="00896BC5"/>
    <w:rsid w:val="00896DB8"/>
    <w:rsid w:val="00896DE5"/>
    <w:rsid w:val="00896ED7"/>
    <w:rsid w:val="00897895"/>
    <w:rsid w:val="0089797E"/>
    <w:rsid w:val="008979F9"/>
    <w:rsid w:val="00897A0E"/>
    <w:rsid w:val="00897ED1"/>
    <w:rsid w:val="00897F20"/>
    <w:rsid w:val="008A0453"/>
    <w:rsid w:val="008A061D"/>
    <w:rsid w:val="008A07CE"/>
    <w:rsid w:val="008A07F0"/>
    <w:rsid w:val="008A0B1C"/>
    <w:rsid w:val="008A0C6F"/>
    <w:rsid w:val="008A1609"/>
    <w:rsid w:val="008A1BAA"/>
    <w:rsid w:val="008A1BC1"/>
    <w:rsid w:val="008A1E72"/>
    <w:rsid w:val="008A202F"/>
    <w:rsid w:val="008A2413"/>
    <w:rsid w:val="008A25A6"/>
    <w:rsid w:val="008A28AD"/>
    <w:rsid w:val="008A2904"/>
    <w:rsid w:val="008A291F"/>
    <w:rsid w:val="008A2E0C"/>
    <w:rsid w:val="008A2F88"/>
    <w:rsid w:val="008A34E0"/>
    <w:rsid w:val="008A368E"/>
    <w:rsid w:val="008A36F0"/>
    <w:rsid w:val="008A37E5"/>
    <w:rsid w:val="008A401D"/>
    <w:rsid w:val="008A4256"/>
    <w:rsid w:val="008A451C"/>
    <w:rsid w:val="008A47DC"/>
    <w:rsid w:val="008A4824"/>
    <w:rsid w:val="008A49B1"/>
    <w:rsid w:val="008A4C55"/>
    <w:rsid w:val="008A4F1E"/>
    <w:rsid w:val="008A529E"/>
    <w:rsid w:val="008A53F8"/>
    <w:rsid w:val="008A56DC"/>
    <w:rsid w:val="008A5771"/>
    <w:rsid w:val="008A57FB"/>
    <w:rsid w:val="008A5E33"/>
    <w:rsid w:val="008A5ED4"/>
    <w:rsid w:val="008A63B0"/>
    <w:rsid w:val="008A65AB"/>
    <w:rsid w:val="008A6623"/>
    <w:rsid w:val="008A663D"/>
    <w:rsid w:val="008A680F"/>
    <w:rsid w:val="008A6A40"/>
    <w:rsid w:val="008A7235"/>
    <w:rsid w:val="008A728F"/>
    <w:rsid w:val="008A73C1"/>
    <w:rsid w:val="008A74D2"/>
    <w:rsid w:val="008A76A5"/>
    <w:rsid w:val="008B007B"/>
    <w:rsid w:val="008B052D"/>
    <w:rsid w:val="008B06BE"/>
    <w:rsid w:val="008B0B57"/>
    <w:rsid w:val="008B0CB1"/>
    <w:rsid w:val="008B0F3E"/>
    <w:rsid w:val="008B1089"/>
    <w:rsid w:val="008B1146"/>
    <w:rsid w:val="008B114F"/>
    <w:rsid w:val="008B1150"/>
    <w:rsid w:val="008B1161"/>
    <w:rsid w:val="008B1293"/>
    <w:rsid w:val="008B13DE"/>
    <w:rsid w:val="008B1813"/>
    <w:rsid w:val="008B1870"/>
    <w:rsid w:val="008B1BC1"/>
    <w:rsid w:val="008B21B6"/>
    <w:rsid w:val="008B2236"/>
    <w:rsid w:val="008B226B"/>
    <w:rsid w:val="008B22DB"/>
    <w:rsid w:val="008B28FB"/>
    <w:rsid w:val="008B297A"/>
    <w:rsid w:val="008B2FAB"/>
    <w:rsid w:val="008B31D5"/>
    <w:rsid w:val="008B329B"/>
    <w:rsid w:val="008B3498"/>
    <w:rsid w:val="008B3A18"/>
    <w:rsid w:val="008B3A4A"/>
    <w:rsid w:val="008B3D66"/>
    <w:rsid w:val="008B411F"/>
    <w:rsid w:val="008B4175"/>
    <w:rsid w:val="008B4397"/>
    <w:rsid w:val="008B444E"/>
    <w:rsid w:val="008B44D0"/>
    <w:rsid w:val="008B452F"/>
    <w:rsid w:val="008B4626"/>
    <w:rsid w:val="008B47CA"/>
    <w:rsid w:val="008B48B7"/>
    <w:rsid w:val="008B4976"/>
    <w:rsid w:val="008B4FC7"/>
    <w:rsid w:val="008B5102"/>
    <w:rsid w:val="008B548D"/>
    <w:rsid w:val="008B58E7"/>
    <w:rsid w:val="008B5AE3"/>
    <w:rsid w:val="008B5E20"/>
    <w:rsid w:val="008B615E"/>
    <w:rsid w:val="008B63D6"/>
    <w:rsid w:val="008B67BC"/>
    <w:rsid w:val="008B6C2C"/>
    <w:rsid w:val="008B6E48"/>
    <w:rsid w:val="008B6FC0"/>
    <w:rsid w:val="008B7102"/>
    <w:rsid w:val="008B7149"/>
    <w:rsid w:val="008B71D6"/>
    <w:rsid w:val="008B723D"/>
    <w:rsid w:val="008B76EE"/>
    <w:rsid w:val="008B7721"/>
    <w:rsid w:val="008B77E9"/>
    <w:rsid w:val="008B781A"/>
    <w:rsid w:val="008B7BC8"/>
    <w:rsid w:val="008B7CB2"/>
    <w:rsid w:val="008C0004"/>
    <w:rsid w:val="008C0597"/>
    <w:rsid w:val="008C081E"/>
    <w:rsid w:val="008C0BCD"/>
    <w:rsid w:val="008C0E6B"/>
    <w:rsid w:val="008C1B54"/>
    <w:rsid w:val="008C21C8"/>
    <w:rsid w:val="008C23C8"/>
    <w:rsid w:val="008C23C9"/>
    <w:rsid w:val="008C24CB"/>
    <w:rsid w:val="008C2B15"/>
    <w:rsid w:val="008C2C78"/>
    <w:rsid w:val="008C2CBA"/>
    <w:rsid w:val="008C2E28"/>
    <w:rsid w:val="008C2FA9"/>
    <w:rsid w:val="008C30E7"/>
    <w:rsid w:val="008C310E"/>
    <w:rsid w:val="008C31F8"/>
    <w:rsid w:val="008C32A9"/>
    <w:rsid w:val="008C33E6"/>
    <w:rsid w:val="008C363C"/>
    <w:rsid w:val="008C37DA"/>
    <w:rsid w:val="008C3A88"/>
    <w:rsid w:val="008C3B2E"/>
    <w:rsid w:val="008C4352"/>
    <w:rsid w:val="008C4456"/>
    <w:rsid w:val="008C47FA"/>
    <w:rsid w:val="008C497B"/>
    <w:rsid w:val="008C4C86"/>
    <w:rsid w:val="008C4CC1"/>
    <w:rsid w:val="008C4DF2"/>
    <w:rsid w:val="008C4F20"/>
    <w:rsid w:val="008C5008"/>
    <w:rsid w:val="008C525B"/>
    <w:rsid w:val="008C56F1"/>
    <w:rsid w:val="008C5B5B"/>
    <w:rsid w:val="008C5E64"/>
    <w:rsid w:val="008C65CC"/>
    <w:rsid w:val="008C6796"/>
    <w:rsid w:val="008C6D97"/>
    <w:rsid w:val="008C6FA4"/>
    <w:rsid w:val="008C7015"/>
    <w:rsid w:val="008C7160"/>
    <w:rsid w:val="008C7357"/>
    <w:rsid w:val="008C73AC"/>
    <w:rsid w:val="008C7674"/>
    <w:rsid w:val="008C76B8"/>
    <w:rsid w:val="008C770D"/>
    <w:rsid w:val="008C781A"/>
    <w:rsid w:val="008C7953"/>
    <w:rsid w:val="008C79B9"/>
    <w:rsid w:val="008C7AB2"/>
    <w:rsid w:val="008C7AE7"/>
    <w:rsid w:val="008C7B2E"/>
    <w:rsid w:val="008C7C58"/>
    <w:rsid w:val="008C7C7C"/>
    <w:rsid w:val="008C7CE4"/>
    <w:rsid w:val="008C7DF5"/>
    <w:rsid w:val="008D052F"/>
    <w:rsid w:val="008D06AC"/>
    <w:rsid w:val="008D06CF"/>
    <w:rsid w:val="008D0782"/>
    <w:rsid w:val="008D0833"/>
    <w:rsid w:val="008D0D2A"/>
    <w:rsid w:val="008D0DAA"/>
    <w:rsid w:val="008D115B"/>
    <w:rsid w:val="008D122C"/>
    <w:rsid w:val="008D1351"/>
    <w:rsid w:val="008D1B09"/>
    <w:rsid w:val="008D1B67"/>
    <w:rsid w:val="008D1DA5"/>
    <w:rsid w:val="008D204F"/>
    <w:rsid w:val="008D20E2"/>
    <w:rsid w:val="008D22DC"/>
    <w:rsid w:val="008D2521"/>
    <w:rsid w:val="008D2C41"/>
    <w:rsid w:val="008D31E0"/>
    <w:rsid w:val="008D3301"/>
    <w:rsid w:val="008D3347"/>
    <w:rsid w:val="008D394B"/>
    <w:rsid w:val="008D3AC8"/>
    <w:rsid w:val="008D4E81"/>
    <w:rsid w:val="008D4F44"/>
    <w:rsid w:val="008D5053"/>
    <w:rsid w:val="008D51EC"/>
    <w:rsid w:val="008D5326"/>
    <w:rsid w:val="008D53DC"/>
    <w:rsid w:val="008D5517"/>
    <w:rsid w:val="008D5530"/>
    <w:rsid w:val="008D582A"/>
    <w:rsid w:val="008D5960"/>
    <w:rsid w:val="008D5A82"/>
    <w:rsid w:val="008D5C2B"/>
    <w:rsid w:val="008D5C3E"/>
    <w:rsid w:val="008D6132"/>
    <w:rsid w:val="008D6148"/>
    <w:rsid w:val="008D6163"/>
    <w:rsid w:val="008D64F3"/>
    <w:rsid w:val="008D6627"/>
    <w:rsid w:val="008D684F"/>
    <w:rsid w:val="008D6A52"/>
    <w:rsid w:val="008D6B42"/>
    <w:rsid w:val="008D6B6B"/>
    <w:rsid w:val="008D6CA4"/>
    <w:rsid w:val="008D6CCB"/>
    <w:rsid w:val="008D6EF6"/>
    <w:rsid w:val="008D71C6"/>
    <w:rsid w:val="008D751C"/>
    <w:rsid w:val="008D754B"/>
    <w:rsid w:val="008D7579"/>
    <w:rsid w:val="008D7731"/>
    <w:rsid w:val="008D77CB"/>
    <w:rsid w:val="008D7B61"/>
    <w:rsid w:val="008D7FB4"/>
    <w:rsid w:val="008E05F9"/>
    <w:rsid w:val="008E0629"/>
    <w:rsid w:val="008E06C1"/>
    <w:rsid w:val="008E089A"/>
    <w:rsid w:val="008E0967"/>
    <w:rsid w:val="008E0AE2"/>
    <w:rsid w:val="008E0E04"/>
    <w:rsid w:val="008E0F86"/>
    <w:rsid w:val="008E116D"/>
    <w:rsid w:val="008E1444"/>
    <w:rsid w:val="008E14A9"/>
    <w:rsid w:val="008E1615"/>
    <w:rsid w:val="008E171E"/>
    <w:rsid w:val="008E1816"/>
    <w:rsid w:val="008E1A26"/>
    <w:rsid w:val="008E1CA0"/>
    <w:rsid w:val="008E1D69"/>
    <w:rsid w:val="008E2A23"/>
    <w:rsid w:val="008E2ABF"/>
    <w:rsid w:val="008E2C87"/>
    <w:rsid w:val="008E2F08"/>
    <w:rsid w:val="008E3165"/>
    <w:rsid w:val="008E37BC"/>
    <w:rsid w:val="008E3A51"/>
    <w:rsid w:val="008E3D95"/>
    <w:rsid w:val="008E3EDB"/>
    <w:rsid w:val="008E3FEB"/>
    <w:rsid w:val="008E4256"/>
    <w:rsid w:val="008E45AD"/>
    <w:rsid w:val="008E460F"/>
    <w:rsid w:val="008E48AD"/>
    <w:rsid w:val="008E48E8"/>
    <w:rsid w:val="008E4B6C"/>
    <w:rsid w:val="008E4F0C"/>
    <w:rsid w:val="008E503F"/>
    <w:rsid w:val="008E5070"/>
    <w:rsid w:val="008E53A2"/>
    <w:rsid w:val="008E5434"/>
    <w:rsid w:val="008E589D"/>
    <w:rsid w:val="008E5B2F"/>
    <w:rsid w:val="008E5E6B"/>
    <w:rsid w:val="008E62A2"/>
    <w:rsid w:val="008E6841"/>
    <w:rsid w:val="008E694A"/>
    <w:rsid w:val="008E6A5E"/>
    <w:rsid w:val="008E6BB6"/>
    <w:rsid w:val="008E6BBA"/>
    <w:rsid w:val="008E6E8C"/>
    <w:rsid w:val="008E6F38"/>
    <w:rsid w:val="008E6FDE"/>
    <w:rsid w:val="008E7006"/>
    <w:rsid w:val="008E706E"/>
    <w:rsid w:val="008E7163"/>
    <w:rsid w:val="008E71CA"/>
    <w:rsid w:val="008E72F9"/>
    <w:rsid w:val="008E7B49"/>
    <w:rsid w:val="008E7B51"/>
    <w:rsid w:val="008E7CC6"/>
    <w:rsid w:val="008F0202"/>
    <w:rsid w:val="008F03B6"/>
    <w:rsid w:val="008F054C"/>
    <w:rsid w:val="008F05E6"/>
    <w:rsid w:val="008F0CE6"/>
    <w:rsid w:val="008F0D78"/>
    <w:rsid w:val="008F0FAA"/>
    <w:rsid w:val="008F122E"/>
    <w:rsid w:val="008F1286"/>
    <w:rsid w:val="008F1311"/>
    <w:rsid w:val="008F1584"/>
    <w:rsid w:val="008F1693"/>
    <w:rsid w:val="008F179B"/>
    <w:rsid w:val="008F18EC"/>
    <w:rsid w:val="008F1A55"/>
    <w:rsid w:val="008F1AF6"/>
    <w:rsid w:val="008F1EC5"/>
    <w:rsid w:val="008F1F72"/>
    <w:rsid w:val="008F27AA"/>
    <w:rsid w:val="008F286D"/>
    <w:rsid w:val="008F2ACF"/>
    <w:rsid w:val="008F2BF5"/>
    <w:rsid w:val="008F2C22"/>
    <w:rsid w:val="008F2D5A"/>
    <w:rsid w:val="008F2E11"/>
    <w:rsid w:val="008F2E39"/>
    <w:rsid w:val="008F2EDB"/>
    <w:rsid w:val="008F313B"/>
    <w:rsid w:val="008F3270"/>
    <w:rsid w:val="008F3286"/>
    <w:rsid w:val="008F337D"/>
    <w:rsid w:val="008F3411"/>
    <w:rsid w:val="008F3484"/>
    <w:rsid w:val="008F389C"/>
    <w:rsid w:val="008F3C6B"/>
    <w:rsid w:val="008F4055"/>
    <w:rsid w:val="008F4261"/>
    <w:rsid w:val="008F45B6"/>
    <w:rsid w:val="008F45F2"/>
    <w:rsid w:val="008F46DA"/>
    <w:rsid w:val="008F4920"/>
    <w:rsid w:val="008F4C85"/>
    <w:rsid w:val="008F4E07"/>
    <w:rsid w:val="008F4F30"/>
    <w:rsid w:val="008F4F8E"/>
    <w:rsid w:val="008F55E8"/>
    <w:rsid w:val="008F56EA"/>
    <w:rsid w:val="008F596E"/>
    <w:rsid w:val="008F5A3B"/>
    <w:rsid w:val="008F5A6D"/>
    <w:rsid w:val="008F5BF5"/>
    <w:rsid w:val="008F5F8F"/>
    <w:rsid w:val="008F68DC"/>
    <w:rsid w:val="008F6AFF"/>
    <w:rsid w:val="008F7036"/>
    <w:rsid w:val="008F71E8"/>
    <w:rsid w:val="008F725B"/>
    <w:rsid w:val="008F726F"/>
    <w:rsid w:val="008F7C31"/>
    <w:rsid w:val="008F7CB3"/>
    <w:rsid w:val="008F7EA1"/>
    <w:rsid w:val="00900429"/>
    <w:rsid w:val="0090044B"/>
    <w:rsid w:val="009005A2"/>
    <w:rsid w:val="00900C94"/>
    <w:rsid w:val="009010AA"/>
    <w:rsid w:val="009011E8"/>
    <w:rsid w:val="009014A7"/>
    <w:rsid w:val="0090153F"/>
    <w:rsid w:val="00901EF1"/>
    <w:rsid w:val="009020C2"/>
    <w:rsid w:val="0090280E"/>
    <w:rsid w:val="0090287A"/>
    <w:rsid w:val="00902E36"/>
    <w:rsid w:val="00902E73"/>
    <w:rsid w:val="00902FFC"/>
    <w:rsid w:val="009030C4"/>
    <w:rsid w:val="00903532"/>
    <w:rsid w:val="00903906"/>
    <w:rsid w:val="00903914"/>
    <w:rsid w:val="00903B72"/>
    <w:rsid w:val="00903BF8"/>
    <w:rsid w:val="009040B5"/>
    <w:rsid w:val="0090460F"/>
    <w:rsid w:val="009046B5"/>
    <w:rsid w:val="00905201"/>
    <w:rsid w:val="00905396"/>
    <w:rsid w:val="009054A3"/>
    <w:rsid w:val="00905775"/>
    <w:rsid w:val="00905939"/>
    <w:rsid w:val="0090594B"/>
    <w:rsid w:val="009059C1"/>
    <w:rsid w:val="00905A22"/>
    <w:rsid w:val="00905DB4"/>
    <w:rsid w:val="00905DD0"/>
    <w:rsid w:val="00906310"/>
    <w:rsid w:val="009064A7"/>
    <w:rsid w:val="00906817"/>
    <w:rsid w:val="009069DA"/>
    <w:rsid w:val="00906C6F"/>
    <w:rsid w:val="009070A1"/>
    <w:rsid w:val="00907123"/>
    <w:rsid w:val="00907197"/>
    <w:rsid w:val="009073ED"/>
    <w:rsid w:val="00907604"/>
    <w:rsid w:val="00907AC2"/>
    <w:rsid w:val="00907B27"/>
    <w:rsid w:val="00907BBE"/>
    <w:rsid w:val="00907E9A"/>
    <w:rsid w:val="00910259"/>
    <w:rsid w:val="00910412"/>
    <w:rsid w:val="00910422"/>
    <w:rsid w:val="00910455"/>
    <w:rsid w:val="009107E4"/>
    <w:rsid w:val="009107F5"/>
    <w:rsid w:val="00910832"/>
    <w:rsid w:val="00910A32"/>
    <w:rsid w:val="00910CED"/>
    <w:rsid w:val="00910EE8"/>
    <w:rsid w:val="00910F6E"/>
    <w:rsid w:val="00910F83"/>
    <w:rsid w:val="00910FD7"/>
    <w:rsid w:val="00911270"/>
    <w:rsid w:val="00911278"/>
    <w:rsid w:val="009115BB"/>
    <w:rsid w:val="00911639"/>
    <w:rsid w:val="009117C6"/>
    <w:rsid w:val="00911947"/>
    <w:rsid w:val="00911A9D"/>
    <w:rsid w:val="00911BBF"/>
    <w:rsid w:val="0091259A"/>
    <w:rsid w:val="00912BDE"/>
    <w:rsid w:val="00912EEE"/>
    <w:rsid w:val="00912F51"/>
    <w:rsid w:val="009131EC"/>
    <w:rsid w:val="0091324D"/>
    <w:rsid w:val="00913445"/>
    <w:rsid w:val="009136B4"/>
    <w:rsid w:val="009136CA"/>
    <w:rsid w:val="00913CEE"/>
    <w:rsid w:val="00913DCF"/>
    <w:rsid w:val="009141B2"/>
    <w:rsid w:val="009142AD"/>
    <w:rsid w:val="0091432D"/>
    <w:rsid w:val="00914BD1"/>
    <w:rsid w:val="00914CD0"/>
    <w:rsid w:val="00914DC0"/>
    <w:rsid w:val="00914E4C"/>
    <w:rsid w:val="00914F65"/>
    <w:rsid w:val="009152FF"/>
    <w:rsid w:val="0091541B"/>
    <w:rsid w:val="009154B0"/>
    <w:rsid w:val="009157B2"/>
    <w:rsid w:val="00915821"/>
    <w:rsid w:val="00915A63"/>
    <w:rsid w:val="00915EF3"/>
    <w:rsid w:val="00915FBF"/>
    <w:rsid w:val="00915FC6"/>
    <w:rsid w:val="009168D4"/>
    <w:rsid w:val="00916908"/>
    <w:rsid w:val="00916CF7"/>
    <w:rsid w:val="00916EB2"/>
    <w:rsid w:val="00917175"/>
    <w:rsid w:val="0091762D"/>
    <w:rsid w:val="009177D8"/>
    <w:rsid w:val="00917A4F"/>
    <w:rsid w:val="00917B90"/>
    <w:rsid w:val="0092005C"/>
    <w:rsid w:val="009201DB"/>
    <w:rsid w:val="00920209"/>
    <w:rsid w:val="0092033B"/>
    <w:rsid w:val="009204C4"/>
    <w:rsid w:val="009205C1"/>
    <w:rsid w:val="0092067F"/>
    <w:rsid w:val="00920923"/>
    <w:rsid w:val="00920ADB"/>
    <w:rsid w:val="00920BF1"/>
    <w:rsid w:val="00920C92"/>
    <w:rsid w:val="00920CBF"/>
    <w:rsid w:val="00920D77"/>
    <w:rsid w:val="009210F0"/>
    <w:rsid w:val="009211D1"/>
    <w:rsid w:val="009215B2"/>
    <w:rsid w:val="009217D6"/>
    <w:rsid w:val="009217EE"/>
    <w:rsid w:val="00921846"/>
    <w:rsid w:val="0092184A"/>
    <w:rsid w:val="00921CAD"/>
    <w:rsid w:val="00921E9A"/>
    <w:rsid w:val="00922481"/>
    <w:rsid w:val="009226FB"/>
    <w:rsid w:val="00922ECF"/>
    <w:rsid w:val="00923092"/>
    <w:rsid w:val="009231BC"/>
    <w:rsid w:val="009231DC"/>
    <w:rsid w:val="009232E3"/>
    <w:rsid w:val="0092330D"/>
    <w:rsid w:val="009233CD"/>
    <w:rsid w:val="009234A1"/>
    <w:rsid w:val="00923881"/>
    <w:rsid w:val="00923A7F"/>
    <w:rsid w:val="00923B39"/>
    <w:rsid w:val="00923CAC"/>
    <w:rsid w:val="00923D18"/>
    <w:rsid w:val="00923D1C"/>
    <w:rsid w:val="00924150"/>
    <w:rsid w:val="00924208"/>
    <w:rsid w:val="009245E1"/>
    <w:rsid w:val="009246EF"/>
    <w:rsid w:val="0092498B"/>
    <w:rsid w:val="009249A3"/>
    <w:rsid w:val="00924B8D"/>
    <w:rsid w:val="00924D43"/>
    <w:rsid w:val="00924F9A"/>
    <w:rsid w:val="0092510C"/>
    <w:rsid w:val="009251E1"/>
    <w:rsid w:val="009252F0"/>
    <w:rsid w:val="00925870"/>
    <w:rsid w:val="00925946"/>
    <w:rsid w:val="00925AD5"/>
    <w:rsid w:val="00925FBF"/>
    <w:rsid w:val="0092606F"/>
    <w:rsid w:val="00926347"/>
    <w:rsid w:val="009263BA"/>
    <w:rsid w:val="0092657E"/>
    <w:rsid w:val="00926837"/>
    <w:rsid w:val="00926A86"/>
    <w:rsid w:val="00926AFF"/>
    <w:rsid w:val="00927126"/>
    <w:rsid w:val="009276B5"/>
    <w:rsid w:val="00927758"/>
    <w:rsid w:val="00927913"/>
    <w:rsid w:val="00927987"/>
    <w:rsid w:val="00927B2F"/>
    <w:rsid w:val="00927C80"/>
    <w:rsid w:val="00927D3C"/>
    <w:rsid w:val="00927F58"/>
    <w:rsid w:val="00930063"/>
    <w:rsid w:val="009305F1"/>
    <w:rsid w:val="0093065A"/>
    <w:rsid w:val="00930B2A"/>
    <w:rsid w:val="00930D85"/>
    <w:rsid w:val="00930F3E"/>
    <w:rsid w:val="00931144"/>
    <w:rsid w:val="009312FC"/>
    <w:rsid w:val="009315BA"/>
    <w:rsid w:val="0093175F"/>
    <w:rsid w:val="00931AB8"/>
    <w:rsid w:val="00931BC2"/>
    <w:rsid w:val="00931DB3"/>
    <w:rsid w:val="00931E9E"/>
    <w:rsid w:val="00932106"/>
    <w:rsid w:val="009326FE"/>
    <w:rsid w:val="00932746"/>
    <w:rsid w:val="009328DF"/>
    <w:rsid w:val="00932990"/>
    <w:rsid w:val="00932C9B"/>
    <w:rsid w:val="00932CA3"/>
    <w:rsid w:val="0093322F"/>
    <w:rsid w:val="00933350"/>
    <w:rsid w:val="00933379"/>
    <w:rsid w:val="0093374D"/>
    <w:rsid w:val="009337AC"/>
    <w:rsid w:val="00933813"/>
    <w:rsid w:val="00933BCC"/>
    <w:rsid w:val="00933D05"/>
    <w:rsid w:val="00933E0F"/>
    <w:rsid w:val="009341A8"/>
    <w:rsid w:val="0093422D"/>
    <w:rsid w:val="0093428E"/>
    <w:rsid w:val="009342D9"/>
    <w:rsid w:val="009342F2"/>
    <w:rsid w:val="00934309"/>
    <w:rsid w:val="009343DE"/>
    <w:rsid w:val="00934533"/>
    <w:rsid w:val="00934709"/>
    <w:rsid w:val="00934800"/>
    <w:rsid w:val="0093481E"/>
    <w:rsid w:val="0093485C"/>
    <w:rsid w:val="00934A0C"/>
    <w:rsid w:val="00934C2A"/>
    <w:rsid w:val="00934E49"/>
    <w:rsid w:val="00934F9A"/>
    <w:rsid w:val="00935346"/>
    <w:rsid w:val="00935410"/>
    <w:rsid w:val="009355EC"/>
    <w:rsid w:val="009355F5"/>
    <w:rsid w:val="00935B2B"/>
    <w:rsid w:val="00935B74"/>
    <w:rsid w:val="00935E0F"/>
    <w:rsid w:val="00935F85"/>
    <w:rsid w:val="00936658"/>
    <w:rsid w:val="00936CCE"/>
    <w:rsid w:val="00936CF4"/>
    <w:rsid w:val="00936E80"/>
    <w:rsid w:val="009370A1"/>
    <w:rsid w:val="00937175"/>
    <w:rsid w:val="00937275"/>
    <w:rsid w:val="00937276"/>
    <w:rsid w:val="00937653"/>
    <w:rsid w:val="00937760"/>
    <w:rsid w:val="009377E4"/>
    <w:rsid w:val="00937BB5"/>
    <w:rsid w:val="0094008E"/>
    <w:rsid w:val="00940266"/>
    <w:rsid w:val="00940373"/>
    <w:rsid w:val="00940537"/>
    <w:rsid w:val="009405B3"/>
    <w:rsid w:val="009406DE"/>
    <w:rsid w:val="00940CDC"/>
    <w:rsid w:val="00940EBC"/>
    <w:rsid w:val="00940F49"/>
    <w:rsid w:val="0094112C"/>
    <w:rsid w:val="00941137"/>
    <w:rsid w:val="0094124E"/>
    <w:rsid w:val="009412BE"/>
    <w:rsid w:val="009413F8"/>
    <w:rsid w:val="00941920"/>
    <w:rsid w:val="009419EE"/>
    <w:rsid w:val="00941D68"/>
    <w:rsid w:val="00941FAC"/>
    <w:rsid w:val="00942270"/>
    <w:rsid w:val="009427AB"/>
    <w:rsid w:val="009429B6"/>
    <w:rsid w:val="00943077"/>
    <w:rsid w:val="0094321B"/>
    <w:rsid w:val="00943A3D"/>
    <w:rsid w:val="00943B07"/>
    <w:rsid w:val="00943DCF"/>
    <w:rsid w:val="00943DE2"/>
    <w:rsid w:val="00943E9A"/>
    <w:rsid w:val="009441E4"/>
    <w:rsid w:val="009441F5"/>
    <w:rsid w:val="009442FA"/>
    <w:rsid w:val="00944375"/>
    <w:rsid w:val="00944845"/>
    <w:rsid w:val="00944B9C"/>
    <w:rsid w:val="00944E0B"/>
    <w:rsid w:val="00944E96"/>
    <w:rsid w:val="009451C8"/>
    <w:rsid w:val="0094538B"/>
    <w:rsid w:val="009455B1"/>
    <w:rsid w:val="00945742"/>
    <w:rsid w:val="00945824"/>
    <w:rsid w:val="00945988"/>
    <w:rsid w:val="00945A6B"/>
    <w:rsid w:val="00945D77"/>
    <w:rsid w:val="00945F9F"/>
    <w:rsid w:val="00946198"/>
    <w:rsid w:val="0094624D"/>
    <w:rsid w:val="009463BF"/>
    <w:rsid w:val="0094667B"/>
    <w:rsid w:val="00946746"/>
    <w:rsid w:val="00946C09"/>
    <w:rsid w:val="00946EE4"/>
    <w:rsid w:val="00947142"/>
    <w:rsid w:val="009472CF"/>
    <w:rsid w:val="00947339"/>
    <w:rsid w:val="009473AB"/>
    <w:rsid w:val="00947511"/>
    <w:rsid w:val="009475D0"/>
    <w:rsid w:val="00947611"/>
    <w:rsid w:val="00947D9F"/>
    <w:rsid w:val="00947E10"/>
    <w:rsid w:val="00947FE4"/>
    <w:rsid w:val="00950292"/>
    <w:rsid w:val="0095032F"/>
    <w:rsid w:val="00950499"/>
    <w:rsid w:val="009507D6"/>
    <w:rsid w:val="00950937"/>
    <w:rsid w:val="0095099F"/>
    <w:rsid w:val="00950AD0"/>
    <w:rsid w:val="00950AEF"/>
    <w:rsid w:val="00950C04"/>
    <w:rsid w:val="00950D8E"/>
    <w:rsid w:val="00950F38"/>
    <w:rsid w:val="009510C4"/>
    <w:rsid w:val="0095114E"/>
    <w:rsid w:val="0095147A"/>
    <w:rsid w:val="009516C4"/>
    <w:rsid w:val="009519DA"/>
    <w:rsid w:val="00951AAD"/>
    <w:rsid w:val="00951B64"/>
    <w:rsid w:val="00951CE3"/>
    <w:rsid w:val="00952202"/>
    <w:rsid w:val="009522A4"/>
    <w:rsid w:val="0095239B"/>
    <w:rsid w:val="009525CB"/>
    <w:rsid w:val="00952974"/>
    <w:rsid w:val="009529F3"/>
    <w:rsid w:val="00952A1B"/>
    <w:rsid w:val="00952CFE"/>
    <w:rsid w:val="00952E5F"/>
    <w:rsid w:val="0095313A"/>
    <w:rsid w:val="009532AC"/>
    <w:rsid w:val="00953322"/>
    <w:rsid w:val="009537A7"/>
    <w:rsid w:val="00953A4C"/>
    <w:rsid w:val="00953A7E"/>
    <w:rsid w:val="00953CE0"/>
    <w:rsid w:val="00953CF4"/>
    <w:rsid w:val="00953E1B"/>
    <w:rsid w:val="00953F73"/>
    <w:rsid w:val="00953FA1"/>
    <w:rsid w:val="009541AC"/>
    <w:rsid w:val="00954263"/>
    <w:rsid w:val="00954286"/>
    <w:rsid w:val="009542A8"/>
    <w:rsid w:val="00954501"/>
    <w:rsid w:val="00954892"/>
    <w:rsid w:val="009549F9"/>
    <w:rsid w:val="00954ADB"/>
    <w:rsid w:val="00954BF0"/>
    <w:rsid w:val="009552EA"/>
    <w:rsid w:val="009554E7"/>
    <w:rsid w:val="0095582B"/>
    <w:rsid w:val="009559B6"/>
    <w:rsid w:val="00955DDE"/>
    <w:rsid w:val="009560A6"/>
    <w:rsid w:val="009561EF"/>
    <w:rsid w:val="0095622E"/>
    <w:rsid w:val="00956793"/>
    <w:rsid w:val="00956827"/>
    <w:rsid w:val="009568F4"/>
    <w:rsid w:val="00956C96"/>
    <w:rsid w:val="00956E87"/>
    <w:rsid w:val="00956FD3"/>
    <w:rsid w:val="009571A6"/>
    <w:rsid w:val="00957C78"/>
    <w:rsid w:val="00957CEF"/>
    <w:rsid w:val="00957E04"/>
    <w:rsid w:val="0096018A"/>
    <w:rsid w:val="0096034D"/>
    <w:rsid w:val="009603BD"/>
    <w:rsid w:val="00960559"/>
    <w:rsid w:val="009606F6"/>
    <w:rsid w:val="00960972"/>
    <w:rsid w:val="00960A6A"/>
    <w:rsid w:val="00960C62"/>
    <w:rsid w:val="00960C9C"/>
    <w:rsid w:val="00960FEE"/>
    <w:rsid w:val="009616EC"/>
    <w:rsid w:val="0096174B"/>
    <w:rsid w:val="00961909"/>
    <w:rsid w:val="00961B9A"/>
    <w:rsid w:val="00961D17"/>
    <w:rsid w:val="00961D8D"/>
    <w:rsid w:val="00961EA3"/>
    <w:rsid w:val="00961F76"/>
    <w:rsid w:val="00961FCD"/>
    <w:rsid w:val="0096203D"/>
    <w:rsid w:val="00962117"/>
    <w:rsid w:val="0096215D"/>
    <w:rsid w:val="009621C5"/>
    <w:rsid w:val="0096221B"/>
    <w:rsid w:val="00962243"/>
    <w:rsid w:val="00962362"/>
    <w:rsid w:val="00962587"/>
    <w:rsid w:val="00962A49"/>
    <w:rsid w:val="00962AF0"/>
    <w:rsid w:val="00962CC0"/>
    <w:rsid w:val="00962DA1"/>
    <w:rsid w:val="00962F80"/>
    <w:rsid w:val="00963025"/>
    <w:rsid w:val="00963187"/>
    <w:rsid w:val="00963420"/>
    <w:rsid w:val="009635A6"/>
    <w:rsid w:val="00963639"/>
    <w:rsid w:val="00963885"/>
    <w:rsid w:val="00963AC8"/>
    <w:rsid w:val="00963AF2"/>
    <w:rsid w:val="00963EC6"/>
    <w:rsid w:val="0096417C"/>
    <w:rsid w:val="009645D2"/>
    <w:rsid w:val="00964834"/>
    <w:rsid w:val="00964EA4"/>
    <w:rsid w:val="00964F50"/>
    <w:rsid w:val="009653A7"/>
    <w:rsid w:val="00965698"/>
    <w:rsid w:val="009658C6"/>
    <w:rsid w:val="009658DD"/>
    <w:rsid w:val="00965A9D"/>
    <w:rsid w:val="00965AD4"/>
    <w:rsid w:val="00965C8E"/>
    <w:rsid w:val="00965CB9"/>
    <w:rsid w:val="00965DF9"/>
    <w:rsid w:val="00965FD4"/>
    <w:rsid w:val="00965FE7"/>
    <w:rsid w:val="009660AB"/>
    <w:rsid w:val="009661AC"/>
    <w:rsid w:val="00966389"/>
    <w:rsid w:val="009663F1"/>
    <w:rsid w:val="00966488"/>
    <w:rsid w:val="009665B9"/>
    <w:rsid w:val="009665DA"/>
    <w:rsid w:val="0096669B"/>
    <w:rsid w:val="009669BE"/>
    <w:rsid w:val="009669EC"/>
    <w:rsid w:val="00966B4A"/>
    <w:rsid w:val="00966C5E"/>
    <w:rsid w:val="00966C9C"/>
    <w:rsid w:val="00967021"/>
    <w:rsid w:val="0096706B"/>
    <w:rsid w:val="009674AC"/>
    <w:rsid w:val="00967660"/>
    <w:rsid w:val="009676C2"/>
    <w:rsid w:val="00967754"/>
    <w:rsid w:val="0096777C"/>
    <w:rsid w:val="009678A2"/>
    <w:rsid w:val="00967B58"/>
    <w:rsid w:val="00967EF5"/>
    <w:rsid w:val="00970039"/>
    <w:rsid w:val="009702C1"/>
    <w:rsid w:val="00970389"/>
    <w:rsid w:val="0097041A"/>
    <w:rsid w:val="00970687"/>
    <w:rsid w:val="009706E1"/>
    <w:rsid w:val="00970793"/>
    <w:rsid w:val="0097083A"/>
    <w:rsid w:val="00970CD4"/>
    <w:rsid w:val="00970F19"/>
    <w:rsid w:val="00971146"/>
    <w:rsid w:val="009711A9"/>
    <w:rsid w:val="009711CD"/>
    <w:rsid w:val="0097195B"/>
    <w:rsid w:val="00971C42"/>
    <w:rsid w:val="00971E6E"/>
    <w:rsid w:val="00971FDE"/>
    <w:rsid w:val="00972316"/>
    <w:rsid w:val="0097240E"/>
    <w:rsid w:val="0097242F"/>
    <w:rsid w:val="009725FF"/>
    <w:rsid w:val="00972E0C"/>
    <w:rsid w:val="00972F5B"/>
    <w:rsid w:val="00972F66"/>
    <w:rsid w:val="009733B4"/>
    <w:rsid w:val="009733D4"/>
    <w:rsid w:val="009734B2"/>
    <w:rsid w:val="00973604"/>
    <w:rsid w:val="00973607"/>
    <w:rsid w:val="009739F4"/>
    <w:rsid w:val="00973BDF"/>
    <w:rsid w:val="00973FF9"/>
    <w:rsid w:val="009740EE"/>
    <w:rsid w:val="00974552"/>
    <w:rsid w:val="009745C3"/>
    <w:rsid w:val="009745F4"/>
    <w:rsid w:val="00974688"/>
    <w:rsid w:val="00974B6E"/>
    <w:rsid w:val="00974CD8"/>
    <w:rsid w:val="00974E5C"/>
    <w:rsid w:val="00975097"/>
    <w:rsid w:val="009753D0"/>
    <w:rsid w:val="00975444"/>
    <w:rsid w:val="00975594"/>
    <w:rsid w:val="0097578E"/>
    <w:rsid w:val="00975933"/>
    <w:rsid w:val="00975951"/>
    <w:rsid w:val="00975965"/>
    <w:rsid w:val="00975977"/>
    <w:rsid w:val="00975DB5"/>
    <w:rsid w:val="00976045"/>
    <w:rsid w:val="00976088"/>
    <w:rsid w:val="0097626D"/>
    <w:rsid w:val="00976338"/>
    <w:rsid w:val="00976442"/>
    <w:rsid w:val="00976A05"/>
    <w:rsid w:val="00976A8A"/>
    <w:rsid w:val="00976C08"/>
    <w:rsid w:val="009772A5"/>
    <w:rsid w:val="00977342"/>
    <w:rsid w:val="00977354"/>
    <w:rsid w:val="0097750D"/>
    <w:rsid w:val="009777C2"/>
    <w:rsid w:val="00977866"/>
    <w:rsid w:val="00977E3C"/>
    <w:rsid w:val="00977FE6"/>
    <w:rsid w:val="00980064"/>
    <w:rsid w:val="0098013A"/>
    <w:rsid w:val="00980301"/>
    <w:rsid w:val="00980390"/>
    <w:rsid w:val="009804B5"/>
    <w:rsid w:val="0098050D"/>
    <w:rsid w:val="0098083F"/>
    <w:rsid w:val="00980865"/>
    <w:rsid w:val="00980B01"/>
    <w:rsid w:val="00980B57"/>
    <w:rsid w:val="00980E28"/>
    <w:rsid w:val="00980E63"/>
    <w:rsid w:val="009815EC"/>
    <w:rsid w:val="009818A8"/>
    <w:rsid w:val="00981C16"/>
    <w:rsid w:val="00981C32"/>
    <w:rsid w:val="00981D00"/>
    <w:rsid w:val="00981D20"/>
    <w:rsid w:val="00981E6F"/>
    <w:rsid w:val="00982182"/>
    <w:rsid w:val="00982465"/>
    <w:rsid w:val="009824A2"/>
    <w:rsid w:val="009824D5"/>
    <w:rsid w:val="00982534"/>
    <w:rsid w:val="00982B80"/>
    <w:rsid w:val="00982CBB"/>
    <w:rsid w:val="00982E2B"/>
    <w:rsid w:val="00982E47"/>
    <w:rsid w:val="009830E6"/>
    <w:rsid w:val="0098325C"/>
    <w:rsid w:val="00983580"/>
    <w:rsid w:val="0098373F"/>
    <w:rsid w:val="00983B10"/>
    <w:rsid w:val="00983BDE"/>
    <w:rsid w:val="00983DC3"/>
    <w:rsid w:val="0098408A"/>
    <w:rsid w:val="0098410D"/>
    <w:rsid w:val="00984240"/>
    <w:rsid w:val="00984369"/>
    <w:rsid w:val="0098449E"/>
    <w:rsid w:val="0098464F"/>
    <w:rsid w:val="0098480B"/>
    <w:rsid w:val="00985149"/>
    <w:rsid w:val="00985488"/>
    <w:rsid w:val="009854FA"/>
    <w:rsid w:val="00985C21"/>
    <w:rsid w:val="00985C48"/>
    <w:rsid w:val="00985E24"/>
    <w:rsid w:val="00986304"/>
    <w:rsid w:val="0098673A"/>
    <w:rsid w:val="009868DF"/>
    <w:rsid w:val="00986CF1"/>
    <w:rsid w:val="00986DA8"/>
    <w:rsid w:val="00986E12"/>
    <w:rsid w:val="009875AA"/>
    <w:rsid w:val="009877AD"/>
    <w:rsid w:val="009877BF"/>
    <w:rsid w:val="0098F9FA"/>
    <w:rsid w:val="00990461"/>
    <w:rsid w:val="00990698"/>
    <w:rsid w:val="00990790"/>
    <w:rsid w:val="0099095D"/>
    <w:rsid w:val="00990A5D"/>
    <w:rsid w:val="00990BA3"/>
    <w:rsid w:val="00990BE4"/>
    <w:rsid w:val="00990C54"/>
    <w:rsid w:val="009910BA"/>
    <w:rsid w:val="0099135D"/>
    <w:rsid w:val="0099168F"/>
    <w:rsid w:val="009918EC"/>
    <w:rsid w:val="00991ACA"/>
    <w:rsid w:val="00991D3C"/>
    <w:rsid w:val="00991D93"/>
    <w:rsid w:val="0099234E"/>
    <w:rsid w:val="00992394"/>
    <w:rsid w:val="0099264F"/>
    <w:rsid w:val="00992B2B"/>
    <w:rsid w:val="00992B68"/>
    <w:rsid w:val="00992D80"/>
    <w:rsid w:val="0099316E"/>
    <w:rsid w:val="00993183"/>
    <w:rsid w:val="009932C9"/>
    <w:rsid w:val="00993329"/>
    <w:rsid w:val="00993630"/>
    <w:rsid w:val="0099366C"/>
    <w:rsid w:val="00993714"/>
    <w:rsid w:val="00993A2A"/>
    <w:rsid w:val="00993B08"/>
    <w:rsid w:val="00993B7B"/>
    <w:rsid w:val="00993B7C"/>
    <w:rsid w:val="00993CC2"/>
    <w:rsid w:val="00993DF8"/>
    <w:rsid w:val="0099414F"/>
    <w:rsid w:val="00994284"/>
    <w:rsid w:val="009945D8"/>
    <w:rsid w:val="0099470F"/>
    <w:rsid w:val="00994959"/>
    <w:rsid w:val="00994B76"/>
    <w:rsid w:val="00994CA4"/>
    <w:rsid w:val="00995104"/>
    <w:rsid w:val="00995106"/>
    <w:rsid w:val="009951D8"/>
    <w:rsid w:val="00995295"/>
    <w:rsid w:val="00995AC7"/>
    <w:rsid w:val="00995D14"/>
    <w:rsid w:val="00995D18"/>
    <w:rsid w:val="00995D1E"/>
    <w:rsid w:val="00995E52"/>
    <w:rsid w:val="00995E56"/>
    <w:rsid w:val="00996099"/>
    <w:rsid w:val="009960AC"/>
    <w:rsid w:val="00996242"/>
    <w:rsid w:val="009965FE"/>
    <w:rsid w:val="009966ED"/>
    <w:rsid w:val="0099690C"/>
    <w:rsid w:val="00996960"/>
    <w:rsid w:val="00996ABB"/>
    <w:rsid w:val="00996F81"/>
    <w:rsid w:val="00996FA9"/>
    <w:rsid w:val="00997172"/>
    <w:rsid w:val="0099721B"/>
    <w:rsid w:val="00997369"/>
    <w:rsid w:val="0099745B"/>
    <w:rsid w:val="0099757A"/>
    <w:rsid w:val="0099773F"/>
    <w:rsid w:val="00997E3B"/>
    <w:rsid w:val="00997E9D"/>
    <w:rsid w:val="009A0087"/>
    <w:rsid w:val="009A0452"/>
    <w:rsid w:val="009A0582"/>
    <w:rsid w:val="009A05E5"/>
    <w:rsid w:val="009A0696"/>
    <w:rsid w:val="009A07BE"/>
    <w:rsid w:val="009A07FB"/>
    <w:rsid w:val="009A0922"/>
    <w:rsid w:val="009A0CE2"/>
    <w:rsid w:val="009A0D05"/>
    <w:rsid w:val="009A0DD2"/>
    <w:rsid w:val="009A0E0E"/>
    <w:rsid w:val="009A0F0E"/>
    <w:rsid w:val="009A11FA"/>
    <w:rsid w:val="009A133C"/>
    <w:rsid w:val="009A15CF"/>
    <w:rsid w:val="009A174C"/>
    <w:rsid w:val="009A1896"/>
    <w:rsid w:val="009A1CB7"/>
    <w:rsid w:val="009A1F37"/>
    <w:rsid w:val="009A2048"/>
    <w:rsid w:val="009A207E"/>
    <w:rsid w:val="009A23E0"/>
    <w:rsid w:val="009A2518"/>
    <w:rsid w:val="009A26C8"/>
    <w:rsid w:val="009A26FF"/>
    <w:rsid w:val="009A27AE"/>
    <w:rsid w:val="009A2BEA"/>
    <w:rsid w:val="009A2C73"/>
    <w:rsid w:val="009A2EA3"/>
    <w:rsid w:val="009A302F"/>
    <w:rsid w:val="009A3191"/>
    <w:rsid w:val="009A39B2"/>
    <w:rsid w:val="009A3DA0"/>
    <w:rsid w:val="009A402B"/>
    <w:rsid w:val="009A41F0"/>
    <w:rsid w:val="009A4321"/>
    <w:rsid w:val="009A46B9"/>
    <w:rsid w:val="009A4A04"/>
    <w:rsid w:val="009A4A94"/>
    <w:rsid w:val="009A4CD7"/>
    <w:rsid w:val="009A4D3E"/>
    <w:rsid w:val="009A4F66"/>
    <w:rsid w:val="009A50A4"/>
    <w:rsid w:val="009A597B"/>
    <w:rsid w:val="009A60B8"/>
    <w:rsid w:val="009A6382"/>
    <w:rsid w:val="009A695E"/>
    <w:rsid w:val="009A6A1A"/>
    <w:rsid w:val="009A6B3E"/>
    <w:rsid w:val="009A6BC5"/>
    <w:rsid w:val="009A6CA4"/>
    <w:rsid w:val="009A6EA0"/>
    <w:rsid w:val="009A6FD9"/>
    <w:rsid w:val="009A6FF6"/>
    <w:rsid w:val="009A70AF"/>
    <w:rsid w:val="009A724D"/>
    <w:rsid w:val="009A7274"/>
    <w:rsid w:val="009A727F"/>
    <w:rsid w:val="009A742A"/>
    <w:rsid w:val="009A7624"/>
    <w:rsid w:val="009A7692"/>
    <w:rsid w:val="009A772C"/>
    <w:rsid w:val="009A78F8"/>
    <w:rsid w:val="009A794E"/>
    <w:rsid w:val="009A7C10"/>
    <w:rsid w:val="009A7F8E"/>
    <w:rsid w:val="009B000F"/>
    <w:rsid w:val="009B007C"/>
    <w:rsid w:val="009B010F"/>
    <w:rsid w:val="009B018C"/>
    <w:rsid w:val="009B058B"/>
    <w:rsid w:val="009B0680"/>
    <w:rsid w:val="009B094D"/>
    <w:rsid w:val="009B09D9"/>
    <w:rsid w:val="009B0A3C"/>
    <w:rsid w:val="009B0CA1"/>
    <w:rsid w:val="009B0F4B"/>
    <w:rsid w:val="009B106D"/>
    <w:rsid w:val="009B1547"/>
    <w:rsid w:val="009B1561"/>
    <w:rsid w:val="009B15F1"/>
    <w:rsid w:val="009B165A"/>
    <w:rsid w:val="009B172E"/>
    <w:rsid w:val="009B1742"/>
    <w:rsid w:val="009B1BCA"/>
    <w:rsid w:val="009B1CD1"/>
    <w:rsid w:val="009B1E2D"/>
    <w:rsid w:val="009B269A"/>
    <w:rsid w:val="009B296B"/>
    <w:rsid w:val="009B2B38"/>
    <w:rsid w:val="009B32BA"/>
    <w:rsid w:val="009B32E4"/>
    <w:rsid w:val="009B33C7"/>
    <w:rsid w:val="009B3615"/>
    <w:rsid w:val="009B3840"/>
    <w:rsid w:val="009B3B3A"/>
    <w:rsid w:val="009B4268"/>
    <w:rsid w:val="009B433D"/>
    <w:rsid w:val="009B46AF"/>
    <w:rsid w:val="009B4797"/>
    <w:rsid w:val="009B47BE"/>
    <w:rsid w:val="009B4CFD"/>
    <w:rsid w:val="009B4D72"/>
    <w:rsid w:val="009B4E72"/>
    <w:rsid w:val="009B504B"/>
    <w:rsid w:val="009B53A3"/>
    <w:rsid w:val="009B53BD"/>
    <w:rsid w:val="009B57EC"/>
    <w:rsid w:val="009B5BA4"/>
    <w:rsid w:val="009B5E8D"/>
    <w:rsid w:val="009B5F42"/>
    <w:rsid w:val="009B5FC2"/>
    <w:rsid w:val="009B61B8"/>
    <w:rsid w:val="009B6596"/>
    <w:rsid w:val="009B65AD"/>
    <w:rsid w:val="009B688E"/>
    <w:rsid w:val="009B6A31"/>
    <w:rsid w:val="009B6B3D"/>
    <w:rsid w:val="009B6DA1"/>
    <w:rsid w:val="009B6F81"/>
    <w:rsid w:val="009B6F8A"/>
    <w:rsid w:val="009B7003"/>
    <w:rsid w:val="009B782C"/>
    <w:rsid w:val="009B7E72"/>
    <w:rsid w:val="009B7EC9"/>
    <w:rsid w:val="009C056C"/>
    <w:rsid w:val="009C0732"/>
    <w:rsid w:val="009C0893"/>
    <w:rsid w:val="009C09AF"/>
    <w:rsid w:val="009C0A90"/>
    <w:rsid w:val="009C0BE8"/>
    <w:rsid w:val="009C11F9"/>
    <w:rsid w:val="009C1250"/>
    <w:rsid w:val="009C1251"/>
    <w:rsid w:val="009C125F"/>
    <w:rsid w:val="009C1551"/>
    <w:rsid w:val="009C156F"/>
    <w:rsid w:val="009C1592"/>
    <w:rsid w:val="009C1694"/>
    <w:rsid w:val="009C181E"/>
    <w:rsid w:val="009C18C4"/>
    <w:rsid w:val="009C1A28"/>
    <w:rsid w:val="009C1CDC"/>
    <w:rsid w:val="009C1D89"/>
    <w:rsid w:val="009C1E4E"/>
    <w:rsid w:val="009C20FD"/>
    <w:rsid w:val="009C2273"/>
    <w:rsid w:val="009C22B2"/>
    <w:rsid w:val="009C235B"/>
    <w:rsid w:val="009C28FD"/>
    <w:rsid w:val="009C2E33"/>
    <w:rsid w:val="009C2E3A"/>
    <w:rsid w:val="009C2F12"/>
    <w:rsid w:val="009C3012"/>
    <w:rsid w:val="009C3222"/>
    <w:rsid w:val="009C33D9"/>
    <w:rsid w:val="009C34D0"/>
    <w:rsid w:val="009C3526"/>
    <w:rsid w:val="009C3623"/>
    <w:rsid w:val="009C3A20"/>
    <w:rsid w:val="009C3CD6"/>
    <w:rsid w:val="009C3E2F"/>
    <w:rsid w:val="009C3E87"/>
    <w:rsid w:val="009C40AA"/>
    <w:rsid w:val="009C40EF"/>
    <w:rsid w:val="009C46AC"/>
    <w:rsid w:val="009C4B49"/>
    <w:rsid w:val="009C4BBB"/>
    <w:rsid w:val="009C4C6C"/>
    <w:rsid w:val="009C4D2B"/>
    <w:rsid w:val="009C4F45"/>
    <w:rsid w:val="009C5039"/>
    <w:rsid w:val="009C5067"/>
    <w:rsid w:val="009C50A7"/>
    <w:rsid w:val="009C55B8"/>
    <w:rsid w:val="009C5634"/>
    <w:rsid w:val="009C565D"/>
    <w:rsid w:val="009C56E0"/>
    <w:rsid w:val="009C57B3"/>
    <w:rsid w:val="009C5864"/>
    <w:rsid w:val="009C5D3E"/>
    <w:rsid w:val="009C5F69"/>
    <w:rsid w:val="009C5FD2"/>
    <w:rsid w:val="009C6193"/>
    <w:rsid w:val="009C6265"/>
    <w:rsid w:val="009C626B"/>
    <w:rsid w:val="009C6BDC"/>
    <w:rsid w:val="009C6F03"/>
    <w:rsid w:val="009C7016"/>
    <w:rsid w:val="009C704D"/>
    <w:rsid w:val="009C7070"/>
    <w:rsid w:val="009C7289"/>
    <w:rsid w:val="009C72D9"/>
    <w:rsid w:val="009C7315"/>
    <w:rsid w:val="009C7461"/>
    <w:rsid w:val="009C7770"/>
    <w:rsid w:val="009C7C11"/>
    <w:rsid w:val="009C7C5D"/>
    <w:rsid w:val="009C7D03"/>
    <w:rsid w:val="009D011E"/>
    <w:rsid w:val="009D0161"/>
    <w:rsid w:val="009D019B"/>
    <w:rsid w:val="009D05BF"/>
    <w:rsid w:val="009D06B5"/>
    <w:rsid w:val="009D08F6"/>
    <w:rsid w:val="009D09B5"/>
    <w:rsid w:val="009D0AFC"/>
    <w:rsid w:val="009D0F69"/>
    <w:rsid w:val="009D12BD"/>
    <w:rsid w:val="009D15AE"/>
    <w:rsid w:val="009D17EA"/>
    <w:rsid w:val="009D17FA"/>
    <w:rsid w:val="009D18AC"/>
    <w:rsid w:val="009D1A01"/>
    <w:rsid w:val="009D1D2B"/>
    <w:rsid w:val="009D1F0C"/>
    <w:rsid w:val="009D1F29"/>
    <w:rsid w:val="009D1F88"/>
    <w:rsid w:val="009D1FAF"/>
    <w:rsid w:val="009D203F"/>
    <w:rsid w:val="009D268F"/>
    <w:rsid w:val="009D2740"/>
    <w:rsid w:val="009D2B9C"/>
    <w:rsid w:val="009D2BD0"/>
    <w:rsid w:val="009D2DE3"/>
    <w:rsid w:val="009D2E33"/>
    <w:rsid w:val="009D38C0"/>
    <w:rsid w:val="009D3A3D"/>
    <w:rsid w:val="009D3B39"/>
    <w:rsid w:val="009D3C12"/>
    <w:rsid w:val="009D3D89"/>
    <w:rsid w:val="009D4016"/>
    <w:rsid w:val="009D4291"/>
    <w:rsid w:val="009D4778"/>
    <w:rsid w:val="009D51AA"/>
    <w:rsid w:val="009D5417"/>
    <w:rsid w:val="009D569C"/>
    <w:rsid w:val="009D579A"/>
    <w:rsid w:val="009D58F8"/>
    <w:rsid w:val="009D5941"/>
    <w:rsid w:val="009D5C71"/>
    <w:rsid w:val="009D5E2A"/>
    <w:rsid w:val="009D6277"/>
    <w:rsid w:val="009D676E"/>
    <w:rsid w:val="009D691F"/>
    <w:rsid w:val="009D69AC"/>
    <w:rsid w:val="009D6A99"/>
    <w:rsid w:val="009D6DDE"/>
    <w:rsid w:val="009D704A"/>
    <w:rsid w:val="009D7112"/>
    <w:rsid w:val="009D72DF"/>
    <w:rsid w:val="009D755F"/>
    <w:rsid w:val="009D7797"/>
    <w:rsid w:val="009D7B15"/>
    <w:rsid w:val="009D7E7F"/>
    <w:rsid w:val="009D7F7C"/>
    <w:rsid w:val="009E0625"/>
    <w:rsid w:val="009E0768"/>
    <w:rsid w:val="009E07CF"/>
    <w:rsid w:val="009E0978"/>
    <w:rsid w:val="009E0AD2"/>
    <w:rsid w:val="009E0B18"/>
    <w:rsid w:val="009E1439"/>
    <w:rsid w:val="009E149D"/>
    <w:rsid w:val="009E175C"/>
    <w:rsid w:val="009E175E"/>
    <w:rsid w:val="009E187B"/>
    <w:rsid w:val="009E19FF"/>
    <w:rsid w:val="009E1CA3"/>
    <w:rsid w:val="009E1D65"/>
    <w:rsid w:val="009E1DD1"/>
    <w:rsid w:val="009E1E6F"/>
    <w:rsid w:val="009E1EEF"/>
    <w:rsid w:val="009E216E"/>
    <w:rsid w:val="009E2245"/>
    <w:rsid w:val="009E22DA"/>
    <w:rsid w:val="009E276A"/>
    <w:rsid w:val="009E27E3"/>
    <w:rsid w:val="009E29A1"/>
    <w:rsid w:val="009E2D74"/>
    <w:rsid w:val="009E2FE1"/>
    <w:rsid w:val="009E2FF2"/>
    <w:rsid w:val="009E3297"/>
    <w:rsid w:val="009E32B8"/>
    <w:rsid w:val="009E3E52"/>
    <w:rsid w:val="009E3EBA"/>
    <w:rsid w:val="009E430F"/>
    <w:rsid w:val="009E449A"/>
    <w:rsid w:val="009E44BB"/>
    <w:rsid w:val="009E4A53"/>
    <w:rsid w:val="009E4C2D"/>
    <w:rsid w:val="009E4CA1"/>
    <w:rsid w:val="009E4CC5"/>
    <w:rsid w:val="009E4ED5"/>
    <w:rsid w:val="009E4F89"/>
    <w:rsid w:val="009E524B"/>
    <w:rsid w:val="009E532A"/>
    <w:rsid w:val="009E5394"/>
    <w:rsid w:val="009E53D3"/>
    <w:rsid w:val="009E5549"/>
    <w:rsid w:val="009E55D5"/>
    <w:rsid w:val="009E560C"/>
    <w:rsid w:val="009E570C"/>
    <w:rsid w:val="009E57AD"/>
    <w:rsid w:val="009E592A"/>
    <w:rsid w:val="009E59B4"/>
    <w:rsid w:val="009E5B20"/>
    <w:rsid w:val="009E5B4D"/>
    <w:rsid w:val="009E5B90"/>
    <w:rsid w:val="009E5BF9"/>
    <w:rsid w:val="009E5DCF"/>
    <w:rsid w:val="009E5F36"/>
    <w:rsid w:val="009E5F3B"/>
    <w:rsid w:val="009E610E"/>
    <w:rsid w:val="009E6283"/>
    <w:rsid w:val="009E62B7"/>
    <w:rsid w:val="009E634F"/>
    <w:rsid w:val="009E6381"/>
    <w:rsid w:val="009E6426"/>
    <w:rsid w:val="009E67AA"/>
    <w:rsid w:val="009E6B48"/>
    <w:rsid w:val="009E6CDE"/>
    <w:rsid w:val="009E71AF"/>
    <w:rsid w:val="009E72D8"/>
    <w:rsid w:val="009E734D"/>
    <w:rsid w:val="009E7364"/>
    <w:rsid w:val="009E74F7"/>
    <w:rsid w:val="009E76CA"/>
    <w:rsid w:val="009E76F9"/>
    <w:rsid w:val="009E77FC"/>
    <w:rsid w:val="009E789A"/>
    <w:rsid w:val="009E7C1D"/>
    <w:rsid w:val="009E7F7B"/>
    <w:rsid w:val="009F0014"/>
    <w:rsid w:val="009F028D"/>
    <w:rsid w:val="009F09D7"/>
    <w:rsid w:val="009F0A1D"/>
    <w:rsid w:val="009F0BB9"/>
    <w:rsid w:val="009F0DCC"/>
    <w:rsid w:val="009F0E1A"/>
    <w:rsid w:val="009F122A"/>
    <w:rsid w:val="009F13D3"/>
    <w:rsid w:val="009F1804"/>
    <w:rsid w:val="009F1C9B"/>
    <w:rsid w:val="009F1D06"/>
    <w:rsid w:val="009F21C4"/>
    <w:rsid w:val="009F2269"/>
    <w:rsid w:val="009F27B5"/>
    <w:rsid w:val="009F28B5"/>
    <w:rsid w:val="009F2BEF"/>
    <w:rsid w:val="009F2E5F"/>
    <w:rsid w:val="009F2F2C"/>
    <w:rsid w:val="009F3077"/>
    <w:rsid w:val="009F30A9"/>
    <w:rsid w:val="009F33E5"/>
    <w:rsid w:val="009F3581"/>
    <w:rsid w:val="009F3A71"/>
    <w:rsid w:val="009F3DD0"/>
    <w:rsid w:val="009F3DE5"/>
    <w:rsid w:val="009F3FB2"/>
    <w:rsid w:val="009F40A7"/>
    <w:rsid w:val="009F410E"/>
    <w:rsid w:val="009F4261"/>
    <w:rsid w:val="009F4450"/>
    <w:rsid w:val="009F48C0"/>
    <w:rsid w:val="009F4955"/>
    <w:rsid w:val="009F4D2D"/>
    <w:rsid w:val="009F4E2E"/>
    <w:rsid w:val="009F4E3D"/>
    <w:rsid w:val="009F50A4"/>
    <w:rsid w:val="009F52C4"/>
    <w:rsid w:val="009F5447"/>
    <w:rsid w:val="009F557B"/>
    <w:rsid w:val="009F568B"/>
    <w:rsid w:val="009F5828"/>
    <w:rsid w:val="009F5A25"/>
    <w:rsid w:val="009F5A79"/>
    <w:rsid w:val="009F6177"/>
    <w:rsid w:val="009F662B"/>
    <w:rsid w:val="009F68E2"/>
    <w:rsid w:val="009F6B62"/>
    <w:rsid w:val="009F6E3A"/>
    <w:rsid w:val="009F72B0"/>
    <w:rsid w:val="009F7403"/>
    <w:rsid w:val="009F741C"/>
    <w:rsid w:val="009F7500"/>
    <w:rsid w:val="009F758F"/>
    <w:rsid w:val="009F7626"/>
    <w:rsid w:val="009F768E"/>
    <w:rsid w:val="009F76E7"/>
    <w:rsid w:val="009F76F9"/>
    <w:rsid w:val="009F7A94"/>
    <w:rsid w:val="009F7B74"/>
    <w:rsid w:val="009F7D59"/>
    <w:rsid w:val="009F7D5D"/>
    <w:rsid w:val="00A0010B"/>
    <w:rsid w:val="00A010DC"/>
    <w:rsid w:val="00A012C7"/>
    <w:rsid w:val="00A01677"/>
    <w:rsid w:val="00A01B12"/>
    <w:rsid w:val="00A01E2A"/>
    <w:rsid w:val="00A01E81"/>
    <w:rsid w:val="00A022D4"/>
    <w:rsid w:val="00A023B0"/>
    <w:rsid w:val="00A0283D"/>
    <w:rsid w:val="00A029F2"/>
    <w:rsid w:val="00A02A02"/>
    <w:rsid w:val="00A02AB0"/>
    <w:rsid w:val="00A02D43"/>
    <w:rsid w:val="00A02D4C"/>
    <w:rsid w:val="00A03767"/>
    <w:rsid w:val="00A038E0"/>
    <w:rsid w:val="00A03ADC"/>
    <w:rsid w:val="00A03AE3"/>
    <w:rsid w:val="00A03CB8"/>
    <w:rsid w:val="00A03EF0"/>
    <w:rsid w:val="00A042BE"/>
    <w:rsid w:val="00A043BF"/>
    <w:rsid w:val="00A0454F"/>
    <w:rsid w:val="00A0458F"/>
    <w:rsid w:val="00A04690"/>
    <w:rsid w:val="00A046FB"/>
    <w:rsid w:val="00A04765"/>
    <w:rsid w:val="00A0492A"/>
    <w:rsid w:val="00A04B93"/>
    <w:rsid w:val="00A0512C"/>
    <w:rsid w:val="00A051CB"/>
    <w:rsid w:val="00A052DE"/>
    <w:rsid w:val="00A056B0"/>
    <w:rsid w:val="00A05977"/>
    <w:rsid w:val="00A05ABE"/>
    <w:rsid w:val="00A05CC5"/>
    <w:rsid w:val="00A05ED2"/>
    <w:rsid w:val="00A05F04"/>
    <w:rsid w:val="00A06019"/>
    <w:rsid w:val="00A06168"/>
    <w:rsid w:val="00A06186"/>
    <w:rsid w:val="00A06372"/>
    <w:rsid w:val="00A06D7F"/>
    <w:rsid w:val="00A071FD"/>
    <w:rsid w:val="00A07216"/>
    <w:rsid w:val="00A073CF"/>
    <w:rsid w:val="00A0752A"/>
    <w:rsid w:val="00A078F4"/>
    <w:rsid w:val="00A07980"/>
    <w:rsid w:val="00A07D10"/>
    <w:rsid w:val="00A102E4"/>
    <w:rsid w:val="00A10649"/>
    <w:rsid w:val="00A10808"/>
    <w:rsid w:val="00A10CC6"/>
    <w:rsid w:val="00A10D11"/>
    <w:rsid w:val="00A10F29"/>
    <w:rsid w:val="00A110CE"/>
    <w:rsid w:val="00A11444"/>
    <w:rsid w:val="00A116E5"/>
    <w:rsid w:val="00A11800"/>
    <w:rsid w:val="00A11A9A"/>
    <w:rsid w:val="00A11AB8"/>
    <w:rsid w:val="00A11C0C"/>
    <w:rsid w:val="00A11D59"/>
    <w:rsid w:val="00A11D5C"/>
    <w:rsid w:val="00A121E6"/>
    <w:rsid w:val="00A12403"/>
    <w:rsid w:val="00A126A9"/>
    <w:rsid w:val="00A12750"/>
    <w:rsid w:val="00A128C3"/>
    <w:rsid w:val="00A12B27"/>
    <w:rsid w:val="00A12B2A"/>
    <w:rsid w:val="00A12CA3"/>
    <w:rsid w:val="00A12CB4"/>
    <w:rsid w:val="00A12D69"/>
    <w:rsid w:val="00A12D9D"/>
    <w:rsid w:val="00A12E2D"/>
    <w:rsid w:val="00A135A8"/>
    <w:rsid w:val="00A13725"/>
    <w:rsid w:val="00A1386E"/>
    <w:rsid w:val="00A138EF"/>
    <w:rsid w:val="00A13C1F"/>
    <w:rsid w:val="00A13F0E"/>
    <w:rsid w:val="00A14081"/>
    <w:rsid w:val="00A141BA"/>
    <w:rsid w:val="00A14210"/>
    <w:rsid w:val="00A142AE"/>
    <w:rsid w:val="00A1474F"/>
    <w:rsid w:val="00A148BF"/>
    <w:rsid w:val="00A14A24"/>
    <w:rsid w:val="00A15108"/>
    <w:rsid w:val="00A1521B"/>
    <w:rsid w:val="00A159F7"/>
    <w:rsid w:val="00A15C50"/>
    <w:rsid w:val="00A15CF5"/>
    <w:rsid w:val="00A15F89"/>
    <w:rsid w:val="00A1649C"/>
    <w:rsid w:val="00A1660F"/>
    <w:rsid w:val="00A16616"/>
    <w:rsid w:val="00A16712"/>
    <w:rsid w:val="00A16B1D"/>
    <w:rsid w:val="00A16C9D"/>
    <w:rsid w:val="00A16EBB"/>
    <w:rsid w:val="00A1735A"/>
    <w:rsid w:val="00A1785B"/>
    <w:rsid w:val="00A178CF"/>
    <w:rsid w:val="00A17926"/>
    <w:rsid w:val="00A17C90"/>
    <w:rsid w:val="00A17DAE"/>
    <w:rsid w:val="00A203C1"/>
    <w:rsid w:val="00A203E2"/>
    <w:rsid w:val="00A20603"/>
    <w:rsid w:val="00A20925"/>
    <w:rsid w:val="00A20A4E"/>
    <w:rsid w:val="00A20C1B"/>
    <w:rsid w:val="00A21277"/>
    <w:rsid w:val="00A212EF"/>
    <w:rsid w:val="00A213E0"/>
    <w:rsid w:val="00A21569"/>
    <w:rsid w:val="00A217EC"/>
    <w:rsid w:val="00A21A94"/>
    <w:rsid w:val="00A21AE9"/>
    <w:rsid w:val="00A21B58"/>
    <w:rsid w:val="00A2222A"/>
    <w:rsid w:val="00A224EB"/>
    <w:rsid w:val="00A225CB"/>
    <w:rsid w:val="00A22951"/>
    <w:rsid w:val="00A22B7E"/>
    <w:rsid w:val="00A23113"/>
    <w:rsid w:val="00A231F2"/>
    <w:rsid w:val="00A236CB"/>
    <w:rsid w:val="00A237E3"/>
    <w:rsid w:val="00A23968"/>
    <w:rsid w:val="00A23B78"/>
    <w:rsid w:val="00A23C2D"/>
    <w:rsid w:val="00A23D71"/>
    <w:rsid w:val="00A23D7F"/>
    <w:rsid w:val="00A243EF"/>
    <w:rsid w:val="00A24401"/>
    <w:rsid w:val="00A244A8"/>
    <w:rsid w:val="00A24CB3"/>
    <w:rsid w:val="00A24E1D"/>
    <w:rsid w:val="00A24F5F"/>
    <w:rsid w:val="00A25395"/>
    <w:rsid w:val="00A253A6"/>
    <w:rsid w:val="00A25902"/>
    <w:rsid w:val="00A25A78"/>
    <w:rsid w:val="00A25ACB"/>
    <w:rsid w:val="00A25B9E"/>
    <w:rsid w:val="00A2642F"/>
    <w:rsid w:val="00A26B77"/>
    <w:rsid w:val="00A26E28"/>
    <w:rsid w:val="00A26E31"/>
    <w:rsid w:val="00A26EC4"/>
    <w:rsid w:val="00A272CE"/>
    <w:rsid w:val="00A2750B"/>
    <w:rsid w:val="00A275C3"/>
    <w:rsid w:val="00A276B9"/>
    <w:rsid w:val="00A2774B"/>
    <w:rsid w:val="00A27A5F"/>
    <w:rsid w:val="00A27B69"/>
    <w:rsid w:val="00A27D4B"/>
    <w:rsid w:val="00A27EB5"/>
    <w:rsid w:val="00A3002C"/>
    <w:rsid w:val="00A3022B"/>
    <w:rsid w:val="00A30338"/>
    <w:rsid w:val="00A303BB"/>
    <w:rsid w:val="00A30A01"/>
    <w:rsid w:val="00A30B08"/>
    <w:rsid w:val="00A30D9E"/>
    <w:rsid w:val="00A30E58"/>
    <w:rsid w:val="00A30E6F"/>
    <w:rsid w:val="00A3128B"/>
    <w:rsid w:val="00A312CC"/>
    <w:rsid w:val="00A3147A"/>
    <w:rsid w:val="00A314F4"/>
    <w:rsid w:val="00A31775"/>
    <w:rsid w:val="00A3183D"/>
    <w:rsid w:val="00A31B3F"/>
    <w:rsid w:val="00A31C0F"/>
    <w:rsid w:val="00A31C6D"/>
    <w:rsid w:val="00A31F64"/>
    <w:rsid w:val="00A32226"/>
    <w:rsid w:val="00A32378"/>
    <w:rsid w:val="00A32386"/>
    <w:rsid w:val="00A323A2"/>
    <w:rsid w:val="00A323B0"/>
    <w:rsid w:val="00A323BD"/>
    <w:rsid w:val="00A32885"/>
    <w:rsid w:val="00A328C5"/>
    <w:rsid w:val="00A329AC"/>
    <w:rsid w:val="00A32B8B"/>
    <w:rsid w:val="00A32E4F"/>
    <w:rsid w:val="00A3320F"/>
    <w:rsid w:val="00A33220"/>
    <w:rsid w:val="00A33266"/>
    <w:rsid w:val="00A33406"/>
    <w:rsid w:val="00A33432"/>
    <w:rsid w:val="00A335A9"/>
    <w:rsid w:val="00A3360C"/>
    <w:rsid w:val="00A33618"/>
    <w:rsid w:val="00A336C5"/>
    <w:rsid w:val="00A3376A"/>
    <w:rsid w:val="00A33939"/>
    <w:rsid w:val="00A33BCC"/>
    <w:rsid w:val="00A341A0"/>
    <w:rsid w:val="00A342D4"/>
    <w:rsid w:val="00A3445C"/>
    <w:rsid w:val="00A345AC"/>
    <w:rsid w:val="00A34854"/>
    <w:rsid w:val="00A3496B"/>
    <w:rsid w:val="00A34BA0"/>
    <w:rsid w:val="00A34CED"/>
    <w:rsid w:val="00A34CFC"/>
    <w:rsid w:val="00A34DD6"/>
    <w:rsid w:val="00A34E1F"/>
    <w:rsid w:val="00A34EAA"/>
    <w:rsid w:val="00A3517E"/>
    <w:rsid w:val="00A35286"/>
    <w:rsid w:val="00A352E1"/>
    <w:rsid w:val="00A35378"/>
    <w:rsid w:val="00A353CA"/>
    <w:rsid w:val="00A354DC"/>
    <w:rsid w:val="00A35576"/>
    <w:rsid w:val="00A35843"/>
    <w:rsid w:val="00A35CB2"/>
    <w:rsid w:val="00A36075"/>
    <w:rsid w:val="00A360CA"/>
    <w:rsid w:val="00A36298"/>
    <w:rsid w:val="00A3667C"/>
    <w:rsid w:val="00A367FD"/>
    <w:rsid w:val="00A36A97"/>
    <w:rsid w:val="00A36CE8"/>
    <w:rsid w:val="00A36D90"/>
    <w:rsid w:val="00A36F02"/>
    <w:rsid w:val="00A36F6A"/>
    <w:rsid w:val="00A37069"/>
    <w:rsid w:val="00A37327"/>
    <w:rsid w:val="00A37465"/>
    <w:rsid w:val="00A374A2"/>
    <w:rsid w:val="00A37603"/>
    <w:rsid w:val="00A376DE"/>
    <w:rsid w:val="00A376E4"/>
    <w:rsid w:val="00A37EE1"/>
    <w:rsid w:val="00A403D4"/>
    <w:rsid w:val="00A4047C"/>
    <w:rsid w:val="00A40516"/>
    <w:rsid w:val="00A408FA"/>
    <w:rsid w:val="00A40962"/>
    <w:rsid w:val="00A40B01"/>
    <w:rsid w:val="00A40CB8"/>
    <w:rsid w:val="00A40D3E"/>
    <w:rsid w:val="00A40D9A"/>
    <w:rsid w:val="00A41102"/>
    <w:rsid w:val="00A41371"/>
    <w:rsid w:val="00A41400"/>
    <w:rsid w:val="00A41404"/>
    <w:rsid w:val="00A414C9"/>
    <w:rsid w:val="00A41797"/>
    <w:rsid w:val="00A418A6"/>
    <w:rsid w:val="00A41DD3"/>
    <w:rsid w:val="00A41F51"/>
    <w:rsid w:val="00A42067"/>
    <w:rsid w:val="00A42165"/>
    <w:rsid w:val="00A42213"/>
    <w:rsid w:val="00A4223C"/>
    <w:rsid w:val="00A42463"/>
    <w:rsid w:val="00A42645"/>
    <w:rsid w:val="00A427B3"/>
    <w:rsid w:val="00A429F6"/>
    <w:rsid w:val="00A42AC6"/>
    <w:rsid w:val="00A42B71"/>
    <w:rsid w:val="00A42B99"/>
    <w:rsid w:val="00A43042"/>
    <w:rsid w:val="00A4317B"/>
    <w:rsid w:val="00A4353D"/>
    <w:rsid w:val="00A43806"/>
    <w:rsid w:val="00A4380E"/>
    <w:rsid w:val="00A438A2"/>
    <w:rsid w:val="00A43CC0"/>
    <w:rsid w:val="00A43E9C"/>
    <w:rsid w:val="00A43EA3"/>
    <w:rsid w:val="00A44006"/>
    <w:rsid w:val="00A443EC"/>
    <w:rsid w:val="00A447DD"/>
    <w:rsid w:val="00A44806"/>
    <w:rsid w:val="00A449DF"/>
    <w:rsid w:val="00A44AA7"/>
    <w:rsid w:val="00A44BF3"/>
    <w:rsid w:val="00A44C6A"/>
    <w:rsid w:val="00A44C83"/>
    <w:rsid w:val="00A44C96"/>
    <w:rsid w:val="00A44F67"/>
    <w:rsid w:val="00A45218"/>
    <w:rsid w:val="00A452E0"/>
    <w:rsid w:val="00A454CE"/>
    <w:rsid w:val="00A456A9"/>
    <w:rsid w:val="00A45893"/>
    <w:rsid w:val="00A45CF3"/>
    <w:rsid w:val="00A45D05"/>
    <w:rsid w:val="00A45D78"/>
    <w:rsid w:val="00A45E1D"/>
    <w:rsid w:val="00A45FE5"/>
    <w:rsid w:val="00A46189"/>
    <w:rsid w:val="00A46772"/>
    <w:rsid w:val="00A467B3"/>
    <w:rsid w:val="00A46FB6"/>
    <w:rsid w:val="00A4708A"/>
    <w:rsid w:val="00A4723A"/>
    <w:rsid w:val="00A47B6C"/>
    <w:rsid w:val="00A47CB5"/>
    <w:rsid w:val="00A47D19"/>
    <w:rsid w:val="00A47E64"/>
    <w:rsid w:val="00A50335"/>
    <w:rsid w:val="00A50490"/>
    <w:rsid w:val="00A50933"/>
    <w:rsid w:val="00A511D6"/>
    <w:rsid w:val="00A516D5"/>
    <w:rsid w:val="00A5191C"/>
    <w:rsid w:val="00A51C53"/>
    <w:rsid w:val="00A520B6"/>
    <w:rsid w:val="00A5217E"/>
    <w:rsid w:val="00A522A6"/>
    <w:rsid w:val="00A522FF"/>
    <w:rsid w:val="00A523E0"/>
    <w:rsid w:val="00A52402"/>
    <w:rsid w:val="00A52580"/>
    <w:rsid w:val="00A525D8"/>
    <w:rsid w:val="00A52805"/>
    <w:rsid w:val="00A528BA"/>
    <w:rsid w:val="00A52A26"/>
    <w:rsid w:val="00A52D50"/>
    <w:rsid w:val="00A52F74"/>
    <w:rsid w:val="00A530E3"/>
    <w:rsid w:val="00A5315A"/>
    <w:rsid w:val="00A534E0"/>
    <w:rsid w:val="00A535C9"/>
    <w:rsid w:val="00A53715"/>
    <w:rsid w:val="00A53735"/>
    <w:rsid w:val="00A5387E"/>
    <w:rsid w:val="00A53898"/>
    <w:rsid w:val="00A53936"/>
    <w:rsid w:val="00A53971"/>
    <w:rsid w:val="00A53B3D"/>
    <w:rsid w:val="00A53D4B"/>
    <w:rsid w:val="00A53DA8"/>
    <w:rsid w:val="00A54099"/>
    <w:rsid w:val="00A54148"/>
    <w:rsid w:val="00A54184"/>
    <w:rsid w:val="00A5418D"/>
    <w:rsid w:val="00A54403"/>
    <w:rsid w:val="00A544E6"/>
    <w:rsid w:val="00A5483D"/>
    <w:rsid w:val="00A54879"/>
    <w:rsid w:val="00A54925"/>
    <w:rsid w:val="00A54A3E"/>
    <w:rsid w:val="00A54BD6"/>
    <w:rsid w:val="00A54C1D"/>
    <w:rsid w:val="00A54DE9"/>
    <w:rsid w:val="00A54E4D"/>
    <w:rsid w:val="00A54FC0"/>
    <w:rsid w:val="00A55157"/>
    <w:rsid w:val="00A55424"/>
    <w:rsid w:val="00A554D2"/>
    <w:rsid w:val="00A556E5"/>
    <w:rsid w:val="00A55703"/>
    <w:rsid w:val="00A55722"/>
    <w:rsid w:val="00A55779"/>
    <w:rsid w:val="00A55A7B"/>
    <w:rsid w:val="00A55ECB"/>
    <w:rsid w:val="00A55FD9"/>
    <w:rsid w:val="00A5668D"/>
    <w:rsid w:val="00A56B05"/>
    <w:rsid w:val="00A56B33"/>
    <w:rsid w:val="00A57103"/>
    <w:rsid w:val="00A5715D"/>
    <w:rsid w:val="00A57162"/>
    <w:rsid w:val="00A571C1"/>
    <w:rsid w:val="00A57935"/>
    <w:rsid w:val="00A57B78"/>
    <w:rsid w:val="00A57C27"/>
    <w:rsid w:val="00A57CF9"/>
    <w:rsid w:val="00A6007C"/>
    <w:rsid w:val="00A602AD"/>
    <w:rsid w:val="00A60354"/>
    <w:rsid w:val="00A60708"/>
    <w:rsid w:val="00A609F0"/>
    <w:rsid w:val="00A60BFE"/>
    <w:rsid w:val="00A60DF7"/>
    <w:rsid w:val="00A60EEA"/>
    <w:rsid w:val="00A612B7"/>
    <w:rsid w:val="00A61AD3"/>
    <w:rsid w:val="00A61AF5"/>
    <w:rsid w:val="00A61D48"/>
    <w:rsid w:val="00A6212E"/>
    <w:rsid w:val="00A623AA"/>
    <w:rsid w:val="00A62533"/>
    <w:rsid w:val="00A62579"/>
    <w:rsid w:val="00A626A0"/>
    <w:rsid w:val="00A626E8"/>
    <w:rsid w:val="00A62A13"/>
    <w:rsid w:val="00A62B74"/>
    <w:rsid w:val="00A62C13"/>
    <w:rsid w:val="00A62C24"/>
    <w:rsid w:val="00A62C74"/>
    <w:rsid w:val="00A62C7B"/>
    <w:rsid w:val="00A62CB7"/>
    <w:rsid w:val="00A62DFF"/>
    <w:rsid w:val="00A62E6A"/>
    <w:rsid w:val="00A62FA7"/>
    <w:rsid w:val="00A631E9"/>
    <w:rsid w:val="00A63264"/>
    <w:rsid w:val="00A63518"/>
    <w:rsid w:val="00A63587"/>
    <w:rsid w:val="00A635B2"/>
    <w:rsid w:val="00A6397B"/>
    <w:rsid w:val="00A63DD5"/>
    <w:rsid w:val="00A63FA6"/>
    <w:rsid w:val="00A6400E"/>
    <w:rsid w:val="00A6433D"/>
    <w:rsid w:val="00A64370"/>
    <w:rsid w:val="00A64432"/>
    <w:rsid w:val="00A64892"/>
    <w:rsid w:val="00A648EF"/>
    <w:rsid w:val="00A64A2F"/>
    <w:rsid w:val="00A64A63"/>
    <w:rsid w:val="00A64BD3"/>
    <w:rsid w:val="00A64D7C"/>
    <w:rsid w:val="00A64FEF"/>
    <w:rsid w:val="00A65018"/>
    <w:rsid w:val="00A6514D"/>
    <w:rsid w:val="00A6519C"/>
    <w:rsid w:val="00A6540F"/>
    <w:rsid w:val="00A65683"/>
    <w:rsid w:val="00A65BE7"/>
    <w:rsid w:val="00A65D68"/>
    <w:rsid w:val="00A66005"/>
    <w:rsid w:val="00A6607F"/>
    <w:rsid w:val="00A6632C"/>
    <w:rsid w:val="00A6636C"/>
    <w:rsid w:val="00A66431"/>
    <w:rsid w:val="00A664E3"/>
    <w:rsid w:val="00A6659E"/>
    <w:rsid w:val="00A668DD"/>
    <w:rsid w:val="00A66C3D"/>
    <w:rsid w:val="00A66C8C"/>
    <w:rsid w:val="00A66C92"/>
    <w:rsid w:val="00A671FA"/>
    <w:rsid w:val="00A6732D"/>
    <w:rsid w:val="00A67353"/>
    <w:rsid w:val="00A67383"/>
    <w:rsid w:val="00A67710"/>
    <w:rsid w:val="00A677C7"/>
    <w:rsid w:val="00A70023"/>
    <w:rsid w:val="00A70394"/>
    <w:rsid w:val="00A703A0"/>
    <w:rsid w:val="00A704B9"/>
    <w:rsid w:val="00A7054C"/>
    <w:rsid w:val="00A7057A"/>
    <w:rsid w:val="00A70785"/>
    <w:rsid w:val="00A7097F"/>
    <w:rsid w:val="00A70A7D"/>
    <w:rsid w:val="00A70AEB"/>
    <w:rsid w:val="00A70C2E"/>
    <w:rsid w:val="00A70C6A"/>
    <w:rsid w:val="00A70C81"/>
    <w:rsid w:val="00A71010"/>
    <w:rsid w:val="00A71042"/>
    <w:rsid w:val="00A710EA"/>
    <w:rsid w:val="00A71343"/>
    <w:rsid w:val="00A714A4"/>
    <w:rsid w:val="00A71804"/>
    <w:rsid w:val="00A71875"/>
    <w:rsid w:val="00A71AFA"/>
    <w:rsid w:val="00A71B7D"/>
    <w:rsid w:val="00A71C84"/>
    <w:rsid w:val="00A71DB5"/>
    <w:rsid w:val="00A71E21"/>
    <w:rsid w:val="00A71E6D"/>
    <w:rsid w:val="00A7208A"/>
    <w:rsid w:val="00A721AB"/>
    <w:rsid w:val="00A728E1"/>
    <w:rsid w:val="00A72A44"/>
    <w:rsid w:val="00A72C65"/>
    <w:rsid w:val="00A730ED"/>
    <w:rsid w:val="00A73139"/>
    <w:rsid w:val="00A731F9"/>
    <w:rsid w:val="00A7327E"/>
    <w:rsid w:val="00A7340E"/>
    <w:rsid w:val="00A73621"/>
    <w:rsid w:val="00A73811"/>
    <w:rsid w:val="00A73D03"/>
    <w:rsid w:val="00A73F50"/>
    <w:rsid w:val="00A7428C"/>
    <w:rsid w:val="00A74790"/>
    <w:rsid w:val="00A749D2"/>
    <w:rsid w:val="00A74DB9"/>
    <w:rsid w:val="00A751EF"/>
    <w:rsid w:val="00A752D8"/>
    <w:rsid w:val="00A75423"/>
    <w:rsid w:val="00A75BD3"/>
    <w:rsid w:val="00A75E8D"/>
    <w:rsid w:val="00A75F81"/>
    <w:rsid w:val="00A762AA"/>
    <w:rsid w:val="00A766FF"/>
    <w:rsid w:val="00A76B4A"/>
    <w:rsid w:val="00A76E00"/>
    <w:rsid w:val="00A76EE9"/>
    <w:rsid w:val="00A7700E"/>
    <w:rsid w:val="00A77131"/>
    <w:rsid w:val="00A7746B"/>
    <w:rsid w:val="00A77620"/>
    <w:rsid w:val="00A77845"/>
    <w:rsid w:val="00A77B53"/>
    <w:rsid w:val="00A77C7B"/>
    <w:rsid w:val="00A77D15"/>
    <w:rsid w:val="00A77D45"/>
    <w:rsid w:val="00A77E99"/>
    <w:rsid w:val="00A8050B"/>
    <w:rsid w:val="00A80624"/>
    <w:rsid w:val="00A8094A"/>
    <w:rsid w:val="00A80A31"/>
    <w:rsid w:val="00A80C47"/>
    <w:rsid w:val="00A80FCE"/>
    <w:rsid w:val="00A81089"/>
    <w:rsid w:val="00A8111C"/>
    <w:rsid w:val="00A813B1"/>
    <w:rsid w:val="00A81559"/>
    <w:rsid w:val="00A81D11"/>
    <w:rsid w:val="00A81EFB"/>
    <w:rsid w:val="00A8210E"/>
    <w:rsid w:val="00A8212E"/>
    <w:rsid w:val="00A82335"/>
    <w:rsid w:val="00A8236D"/>
    <w:rsid w:val="00A823E1"/>
    <w:rsid w:val="00A82770"/>
    <w:rsid w:val="00A82D76"/>
    <w:rsid w:val="00A82E0C"/>
    <w:rsid w:val="00A831ED"/>
    <w:rsid w:val="00A83369"/>
    <w:rsid w:val="00A83525"/>
    <w:rsid w:val="00A836CD"/>
    <w:rsid w:val="00A83851"/>
    <w:rsid w:val="00A83BF4"/>
    <w:rsid w:val="00A83C2C"/>
    <w:rsid w:val="00A8409F"/>
    <w:rsid w:val="00A841B8"/>
    <w:rsid w:val="00A846D9"/>
    <w:rsid w:val="00A8489D"/>
    <w:rsid w:val="00A84967"/>
    <w:rsid w:val="00A849AF"/>
    <w:rsid w:val="00A849D1"/>
    <w:rsid w:val="00A84A59"/>
    <w:rsid w:val="00A84B62"/>
    <w:rsid w:val="00A84B65"/>
    <w:rsid w:val="00A84C30"/>
    <w:rsid w:val="00A84C41"/>
    <w:rsid w:val="00A85115"/>
    <w:rsid w:val="00A8546E"/>
    <w:rsid w:val="00A855C1"/>
    <w:rsid w:val="00A8597C"/>
    <w:rsid w:val="00A859E5"/>
    <w:rsid w:val="00A85C13"/>
    <w:rsid w:val="00A85C6A"/>
    <w:rsid w:val="00A861D1"/>
    <w:rsid w:val="00A86268"/>
    <w:rsid w:val="00A862C5"/>
    <w:rsid w:val="00A86418"/>
    <w:rsid w:val="00A86617"/>
    <w:rsid w:val="00A86E24"/>
    <w:rsid w:val="00A86F95"/>
    <w:rsid w:val="00A870D1"/>
    <w:rsid w:val="00A87180"/>
    <w:rsid w:val="00A87261"/>
    <w:rsid w:val="00A873C0"/>
    <w:rsid w:val="00A87514"/>
    <w:rsid w:val="00A87648"/>
    <w:rsid w:val="00A878D1"/>
    <w:rsid w:val="00A87C89"/>
    <w:rsid w:val="00A87CC9"/>
    <w:rsid w:val="00A90154"/>
    <w:rsid w:val="00A90272"/>
    <w:rsid w:val="00A90657"/>
    <w:rsid w:val="00A906FA"/>
    <w:rsid w:val="00A90944"/>
    <w:rsid w:val="00A90A7F"/>
    <w:rsid w:val="00A90AAD"/>
    <w:rsid w:val="00A90B82"/>
    <w:rsid w:val="00A91051"/>
    <w:rsid w:val="00A91215"/>
    <w:rsid w:val="00A9132A"/>
    <w:rsid w:val="00A9134F"/>
    <w:rsid w:val="00A91BCE"/>
    <w:rsid w:val="00A91E60"/>
    <w:rsid w:val="00A9216C"/>
    <w:rsid w:val="00A928CC"/>
    <w:rsid w:val="00A92B1E"/>
    <w:rsid w:val="00A92DBF"/>
    <w:rsid w:val="00A9343B"/>
    <w:rsid w:val="00A94106"/>
    <w:rsid w:val="00A945D4"/>
    <w:rsid w:val="00A94765"/>
    <w:rsid w:val="00A947DF"/>
    <w:rsid w:val="00A94ACE"/>
    <w:rsid w:val="00A94BF2"/>
    <w:rsid w:val="00A94FB6"/>
    <w:rsid w:val="00A950D0"/>
    <w:rsid w:val="00A9520D"/>
    <w:rsid w:val="00A952BB"/>
    <w:rsid w:val="00A95486"/>
    <w:rsid w:val="00A95715"/>
    <w:rsid w:val="00A957ED"/>
    <w:rsid w:val="00A958CB"/>
    <w:rsid w:val="00A9593F"/>
    <w:rsid w:val="00A959E2"/>
    <w:rsid w:val="00A95EAD"/>
    <w:rsid w:val="00A96099"/>
    <w:rsid w:val="00A9622F"/>
    <w:rsid w:val="00A96293"/>
    <w:rsid w:val="00A9692E"/>
    <w:rsid w:val="00A969CA"/>
    <w:rsid w:val="00A96AAF"/>
    <w:rsid w:val="00A97011"/>
    <w:rsid w:val="00A970D3"/>
    <w:rsid w:val="00A973E2"/>
    <w:rsid w:val="00A976F1"/>
    <w:rsid w:val="00A9775F"/>
    <w:rsid w:val="00A97A08"/>
    <w:rsid w:val="00A97BFE"/>
    <w:rsid w:val="00A97CE6"/>
    <w:rsid w:val="00AA02CB"/>
    <w:rsid w:val="00AA04A4"/>
    <w:rsid w:val="00AA05DF"/>
    <w:rsid w:val="00AA0AC1"/>
    <w:rsid w:val="00AA0B79"/>
    <w:rsid w:val="00AA0FDB"/>
    <w:rsid w:val="00AA1092"/>
    <w:rsid w:val="00AA13DA"/>
    <w:rsid w:val="00AA1532"/>
    <w:rsid w:val="00AA1757"/>
    <w:rsid w:val="00AA181B"/>
    <w:rsid w:val="00AA1907"/>
    <w:rsid w:val="00AA2221"/>
    <w:rsid w:val="00AA2801"/>
    <w:rsid w:val="00AA29BD"/>
    <w:rsid w:val="00AA2BE2"/>
    <w:rsid w:val="00AA3671"/>
    <w:rsid w:val="00AA3A33"/>
    <w:rsid w:val="00AA3AFC"/>
    <w:rsid w:val="00AA3CC0"/>
    <w:rsid w:val="00AA3D8D"/>
    <w:rsid w:val="00AA3EF2"/>
    <w:rsid w:val="00AA42AC"/>
    <w:rsid w:val="00AA450F"/>
    <w:rsid w:val="00AA467D"/>
    <w:rsid w:val="00AA47BA"/>
    <w:rsid w:val="00AA4802"/>
    <w:rsid w:val="00AA4BF2"/>
    <w:rsid w:val="00AA4C11"/>
    <w:rsid w:val="00AA4C22"/>
    <w:rsid w:val="00AA4D65"/>
    <w:rsid w:val="00AA4DF6"/>
    <w:rsid w:val="00AA5118"/>
    <w:rsid w:val="00AA5420"/>
    <w:rsid w:val="00AA54C6"/>
    <w:rsid w:val="00AA55B4"/>
    <w:rsid w:val="00AA56B0"/>
    <w:rsid w:val="00AA56D8"/>
    <w:rsid w:val="00AA575C"/>
    <w:rsid w:val="00AA5773"/>
    <w:rsid w:val="00AA58E0"/>
    <w:rsid w:val="00AA5A3C"/>
    <w:rsid w:val="00AA5BC6"/>
    <w:rsid w:val="00AA5D47"/>
    <w:rsid w:val="00AA5D55"/>
    <w:rsid w:val="00AA5E64"/>
    <w:rsid w:val="00AA6097"/>
    <w:rsid w:val="00AA6163"/>
    <w:rsid w:val="00AA61F2"/>
    <w:rsid w:val="00AA6616"/>
    <w:rsid w:val="00AA667E"/>
    <w:rsid w:val="00AA6686"/>
    <w:rsid w:val="00AA68D2"/>
    <w:rsid w:val="00AA6AC1"/>
    <w:rsid w:val="00AA6AE7"/>
    <w:rsid w:val="00AA6B65"/>
    <w:rsid w:val="00AA6BEF"/>
    <w:rsid w:val="00AA6DD4"/>
    <w:rsid w:val="00AA7090"/>
    <w:rsid w:val="00AA717D"/>
    <w:rsid w:val="00AA73D3"/>
    <w:rsid w:val="00AA73FF"/>
    <w:rsid w:val="00AA7751"/>
    <w:rsid w:val="00AA77EF"/>
    <w:rsid w:val="00AA7B36"/>
    <w:rsid w:val="00AA7D2E"/>
    <w:rsid w:val="00AB01F2"/>
    <w:rsid w:val="00AB0274"/>
    <w:rsid w:val="00AB036B"/>
    <w:rsid w:val="00AB039D"/>
    <w:rsid w:val="00AB03F7"/>
    <w:rsid w:val="00AB0436"/>
    <w:rsid w:val="00AB0504"/>
    <w:rsid w:val="00AB0D3A"/>
    <w:rsid w:val="00AB1196"/>
    <w:rsid w:val="00AB11AB"/>
    <w:rsid w:val="00AB14CC"/>
    <w:rsid w:val="00AB1738"/>
    <w:rsid w:val="00AB173C"/>
    <w:rsid w:val="00AB1811"/>
    <w:rsid w:val="00AB1950"/>
    <w:rsid w:val="00AB1AD7"/>
    <w:rsid w:val="00AB1D8F"/>
    <w:rsid w:val="00AB1DC2"/>
    <w:rsid w:val="00AB1EF6"/>
    <w:rsid w:val="00AB221A"/>
    <w:rsid w:val="00AB2456"/>
    <w:rsid w:val="00AB2569"/>
    <w:rsid w:val="00AB261F"/>
    <w:rsid w:val="00AB289F"/>
    <w:rsid w:val="00AB2DC1"/>
    <w:rsid w:val="00AB2EC2"/>
    <w:rsid w:val="00AB2EEB"/>
    <w:rsid w:val="00AB2F7D"/>
    <w:rsid w:val="00AB3292"/>
    <w:rsid w:val="00AB33E3"/>
    <w:rsid w:val="00AB361A"/>
    <w:rsid w:val="00AB3620"/>
    <w:rsid w:val="00AB3657"/>
    <w:rsid w:val="00AB38C6"/>
    <w:rsid w:val="00AB3960"/>
    <w:rsid w:val="00AB39B3"/>
    <w:rsid w:val="00AB3A69"/>
    <w:rsid w:val="00AB3B51"/>
    <w:rsid w:val="00AB3B56"/>
    <w:rsid w:val="00AB3E86"/>
    <w:rsid w:val="00AB4271"/>
    <w:rsid w:val="00AB4299"/>
    <w:rsid w:val="00AB44AC"/>
    <w:rsid w:val="00AB4865"/>
    <w:rsid w:val="00AB4D93"/>
    <w:rsid w:val="00AB4DA2"/>
    <w:rsid w:val="00AB52DD"/>
    <w:rsid w:val="00AB56A2"/>
    <w:rsid w:val="00AB56B4"/>
    <w:rsid w:val="00AB58D2"/>
    <w:rsid w:val="00AB5DE5"/>
    <w:rsid w:val="00AB5E40"/>
    <w:rsid w:val="00AB5F98"/>
    <w:rsid w:val="00AB608D"/>
    <w:rsid w:val="00AB61FB"/>
    <w:rsid w:val="00AB627F"/>
    <w:rsid w:val="00AB63A6"/>
    <w:rsid w:val="00AB650D"/>
    <w:rsid w:val="00AB688C"/>
    <w:rsid w:val="00AB6D49"/>
    <w:rsid w:val="00AB6EC3"/>
    <w:rsid w:val="00AB6F6C"/>
    <w:rsid w:val="00AB70BE"/>
    <w:rsid w:val="00AB7255"/>
    <w:rsid w:val="00AB7787"/>
    <w:rsid w:val="00AB77E5"/>
    <w:rsid w:val="00AB78D9"/>
    <w:rsid w:val="00AB7DC2"/>
    <w:rsid w:val="00AB7E74"/>
    <w:rsid w:val="00AB7FD0"/>
    <w:rsid w:val="00AC00F3"/>
    <w:rsid w:val="00AC0222"/>
    <w:rsid w:val="00AC04C8"/>
    <w:rsid w:val="00AC07B8"/>
    <w:rsid w:val="00AC0AB1"/>
    <w:rsid w:val="00AC1217"/>
    <w:rsid w:val="00AC1346"/>
    <w:rsid w:val="00AC18D9"/>
    <w:rsid w:val="00AC2487"/>
    <w:rsid w:val="00AC27FF"/>
    <w:rsid w:val="00AC2967"/>
    <w:rsid w:val="00AC2A2F"/>
    <w:rsid w:val="00AC2C04"/>
    <w:rsid w:val="00AC2C70"/>
    <w:rsid w:val="00AC2E9B"/>
    <w:rsid w:val="00AC3185"/>
    <w:rsid w:val="00AC31EC"/>
    <w:rsid w:val="00AC31FD"/>
    <w:rsid w:val="00AC3293"/>
    <w:rsid w:val="00AC329D"/>
    <w:rsid w:val="00AC3624"/>
    <w:rsid w:val="00AC3650"/>
    <w:rsid w:val="00AC39FE"/>
    <w:rsid w:val="00AC3B0B"/>
    <w:rsid w:val="00AC3B27"/>
    <w:rsid w:val="00AC410C"/>
    <w:rsid w:val="00AC413E"/>
    <w:rsid w:val="00AC429F"/>
    <w:rsid w:val="00AC4321"/>
    <w:rsid w:val="00AC4557"/>
    <w:rsid w:val="00AC48DF"/>
    <w:rsid w:val="00AC49CF"/>
    <w:rsid w:val="00AC4A47"/>
    <w:rsid w:val="00AC4B2B"/>
    <w:rsid w:val="00AC527B"/>
    <w:rsid w:val="00AC53D7"/>
    <w:rsid w:val="00AC53F6"/>
    <w:rsid w:val="00AC542C"/>
    <w:rsid w:val="00AC59A7"/>
    <w:rsid w:val="00AC5B6C"/>
    <w:rsid w:val="00AC5BE8"/>
    <w:rsid w:val="00AC5C06"/>
    <w:rsid w:val="00AC5EFE"/>
    <w:rsid w:val="00AC654B"/>
    <w:rsid w:val="00AC6623"/>
    <w:rsid w:val="00AC68C8"/>
    <w:rsid w:val="00AC6955"/>
    <w:rsid w:val="00AC6AFA"/>
    <w:rsid w:val="00AC6D70"/>
    <w:rsid w:val="00AC6F35"/>
    <w:rsid w:val="00AC717A"/>
    <w:rsid w:val="00AC77CB"/>
    <w:rsid w:val="00AC782D"/>
    <w:rsid w:val="00AC7908"/>
    <w:rsid w:val="00AC79A0"/>
    <w:rsid w:val="00AC7A16"/>
    <w:rsid w:val="00AC7C5A"/>
    <w:rsid w:val="00AC7E54"/>
    <w:rsid w:val="00AD0009"/>
    <w:rsid w:val="00AD012E"/>
    <w:rsid w:val="00AD0610"/>
    <w:rsid w:val="00AD069D"/>
    <w:rsid w:val="00AD081B"/>
    <w:rsid w:val="00AD084B"/>
    <w:rsid w:val="00AD0A55"/>
    <w:rsid w:val="00AD0C38"/>
    <w:rsid w:val="00AD101C"/>
    <w:rsid w:val="00AD1295"/>
    <w:rsid w:val="00AD14C1"/>
    <w:rsid w:val="00AD16FC"/>
    <w:rsid w:val="00AD1A5D"/>
    <w:rsid w:val="00AD1C9D"/>
    <w:rsid w:val="00AD1E58"/>
    <w:rsid w:val="00AD1F54"/>
    <w:rsid w:val="00AD2058"/>
    <w:rsid w:val="00AD2113"/>
    <w:rsid w:val="00AD212F"/>
    <w:rsid w:val="00AD22EF"/>
    <w:rsid w:val="00AD292E"/>
    <w:rsid w:val="00AD2DAC"/>
    <w:rsid w:val="00AD2DC1"/>
    <w:rsid w:val="00AD2E1C"/>
    <w:rsid w:val="00AD2E79"/>
    <w:rsid w:val="00AD2EC5"/>
    <w:rsid w:val="00AD323C"/>
    <w:rsid w:val="00AD340C"/>
    <w:rsid w:val="00AD36E0"/>
    <w:rsid w:val="00AD3888"/>
    <w:rsid w:val="00AD38A2"/>
    <w:rsid w:val="00AD38EF"/>
    <w:rsid w:val="00AD3A52"/>
    <w:rsid w:val="00AD3A59"/>
    <w:rsid w:val="00AD3F62"/>
    <w:rsid w:val="00AD4035"/>
    <w:rsid w:val="00AD44DE"/>
    <w:rsid w:val="00AD4872"/>
    <w:rsid w:val="00AD4DB2"/>
    <w:rsid w:val="00AD500B"/>
    <w:rsid w:val="00AD51AB"/>
    <w:rsid w:val="00AD5205"/>
    <w:rsid w:val="00AD5330"/>
    <w:rsid w:val="00AD5708"/>
    <w:rsid w:val="00AD5852"/>
    <w:rsid w:val="00AD598B"/>
    <w:rsid w:val="00AD5E0C"/>
    <w:rsid w:val="00AD6123"/>
    <w:rsid w:val="00AD6845"/>
    <w:rsid w:val="00AD688B"/>
    <w:rsid w:val="00AD68C1"/>
    <w:rsid w:val="00AD6C00"/>
    <w:rsid w:val="00AD6C74"/>
    <w:rsid w:val="00AD7053"/>
    <w:rsid w:val="00AD748B"/>
    <w:rsid w:val="00AD7659"/>
    <w:rsid w:val="00AD7895"/>
    <w:rsid w:val="00AD79F1"/>
    <w:rsid w:val="00AD79F4"/>
    <w:rsid w:val="00AD7B8E"/>
    <w:rsid w:val="00AD7FC8"/>
    <w:rsid w:val="00AE00E2"/>
    <w:rsid w:val="00AE01CF"/>
    <w:rsid w:val="00AE01E4"/>
    <w:rsid w:val="00AE0677"/>
    <w:rsid w:val="00AE0A3A"/>
    <w:rsid w:val="00AE0C87"/>
    <w:rsid w:val="00AE0DCC"/>
    <w:rsid w:val="00AE11DA"/>
    <w:rsid w:val="00AE1315"/>
    <w:rsid w:val="00AE1842"/>
    <w:rsid w:val="00AE1C39"/>
    <w:rsid w:val="00AE1CC1"/>
    <w:rsid w:val="00AE2025"/>
    <w:rsid w:val="00AE2421"/>
    <w:rsid w:val="00AE26DD"/>
    <w:rsid w:val="00AE2725"/>
    <w:rsid w:val="00AE2837"/>
    <w:rsid w:val="00AE288D"/>
    <w:rsid w:val="00AE2A19"/>
    <w:rsid w:val="00AE2EA0"/>
    <w:rsid w:val="00AE33B8"/>
    <w:rsid w:val="00AE368F"/>
    <w:rsid w:val="00AE386E"/>
    <w:rsid w:val="00AE3EB0"/>
    <w:rsid w:val="00AE41B1"/>
    <w:rsid w:val="00AE4240"/>
    <w:rsid w:val="00AE43E9"/>
    <w:rsid w:val="00AE45D5"/>
    <w:rsid w:val="00AE46C8"/>
    <w:rsid w:val="00AE4955"/>
    <w:rsid w:val="00AE4C04"/>
    <w:rsid w:val="00AE4E68"/>
    <w:rsid w:val="00AE4E9D"/>
    <w:rsid w:val="00AE527A"/>
    <w:rsid w:val="00AE5404"/>
    <w:rsid w:val="00AE5422"/>
    <w:rsid w:val="00AE56D3"/>
    <w:rsid w:val="00AE5791"/>
    <w:rsid w:val="00AE579B"/>
    <w:rsid w:val="00AE57BB"/>
    <w:rsid w:val="00AE59A6"/>
    <w:rsid w:val="00AE5D0E"/>
    <w:rsid w:val="00AE6AAA"/>
    <w:rsid w:val="00AE6BE3"/>
    <w:rsid w:val="00AE6F13"/>
    <w:rsid w:val="00AE7068"/>
    <w:rsid w:val="00AE7288"/>
    <w:rsid w:val="00AE7321"/>
    <w:rsid w:val="00AE73D7"/>
    <w:rsid w:val="00AE7552"/>
    <w:rsid w:val="00AE75C1"/>
    <w:rsid w:val="00AE76FD"/>
    <w:rsid w:val="00AE7841"/>
    <w:rsid w:val="00AE7B30"/>
    <w:rsid w:val="00AE7C82"/>
    <w:rsid w:val="00AE7D10"/>
    <w:rsid w:val="00AF0244"/>
    <w:rsid w:val="00AF025C"/>
    <w:rsid w:val="00AF043A"/>
    <w:rsid w:val="00AF05B0"/>
    <w:rsid w:val="00AF0E17"/>
    <w:rsid w:val="00AF1058"/>
    <w:rsid w:val="00AF10B2"/>
    <w:rsid w:val="00AF112A"/>
    <w:rsid w:val="00AF11C4"/>
    <w:rsid w:val="00AF12A8"/>
    <w:rsid w:val="00AF18E7"/>
    <w:rsid w:val="00AF1BE6"/>
    <w:rsid w:val="00AF1C90"/>
    <w:rsid w:val="00AF1D41"/>
    <w:rsid w:val="00AF1F1A"/>
    <w:rsid w:val="00AF2181"/>
    <w:rsid w:val="00AF24DF"/>
    <w:rsid w:val="00AF263B"/>
    <w:rsid w:val="00AF29F6"/>
    <w:rsid w:val="00AF2A7B"/>
    <w:rsid w:val="00AF2C75"/>
    <w:rsid w:val="00AF2CCD"/>
    <w:rsid w:val="00AF2EB0"/>
    <w:rsid w:val="00AF34A0"/>
    <w:rsid w:val="00AF3828"/>
    <w:rsid w:val="00AF383A"/>
    <w:rsid w:val="00AF3903"/>
    <w:rsid w:val="00AF3B34"/>
    <w:rsid w:val="00AF3C5C"/>
    <w:rsid w:val="00AF3D83"/>
    <w:rsid w:val="00AF3DCD"/>
    <w:rsid w:val="00AF427C"/>
    <w:rsid w:val="00AF45D7"/>
    <w:rsid w:val="00AF47D4"/>
    <w:rsid w:val="00AF48C4"/>
    <w:rsid w:val="00AF495B"/>
    <w:rsid w:val="00AF49DD"/>
    <w:rsid w:val="00AF4F3A"/>
    <w:rsid w:val="00AF4F9C"/>
    <w:rsid w:val="00AF52BC"/>
    <w:rsid w:val="00AF5337"/>
    <w:rsid w:val="00AF540E"/>
    <w:rsid w:val="00AF5676"/>
    <w:rsid w:val="00AF57F7"/>
    <w:rsid w:val="00AF5C5D"/>
    <w:rsid w:val="00AF64B6"/>
    <w:rsid w:val="00AF64C5"/>
    <w:rsid w:val="00AF659E"/>
    <w:rsid w:val="00AF6681"/>
    <w:rsid w:val="00AF66A9"/>
    <w:rsid w:val="00AF67DD"/>
    <w:rsid w:val="00AF692A"/>
    <w:rsid w:val="00AF6CF2"/>
    <w:rsid w:val="00AF6FE6"/>
    <w:rsid w:val="00AF744E"/>
    <w:rsid w:val="00AF74C2"/>
    <w:rsid w:val="00AF76E1"/>
    <w:rsid w:val="00AF79E5"/>
    <w:rsid w:val="00AF7A9B"/>
    <w:rsid w:val="00AF7E92"/>
    <w:rsid w:val="00AFF395"/>
    <w:rsid w:val="00B00018"/>
    <w:rsid w:val="00B000BE"/>
    <w:rsid w:val="00B0030E"/>
    <w:rsid w:val="00B00879"/>
    <w:rsid w:val="00B00938"/>
    <w:rsid w:val="00B00C29"/>
    <w:rsid w:val="00B00C5A"/>
    <w:rsid w:val="00B00D80"/>
    <w:rsid w:val="00B012CA"/>
    <w:rsid w:val="00B01369"/>
    <w:rsid w:val="00B01D56"/>
    <w:rsid w:val="00B01E3F"/>
    <w:rsid w:val="00B020EA"/>
    <w:rsid w:val="00B023FD"/>
    <w:rsid w:val="00B0249F"/>
    <w:rsid w:val="00B02584"/>
    <w:rsid w:val="00B029D0"/>
    <w:rsid w:val="00B02C47"/>
    <w:rsid w:val="00B035D9"/>
    <w:rsid w:val="00B03AAB"/>
    <w:rsid w:val="00B03AC1"/>
    <w:rsid w:val="00B03BF2"/>
    <w:rsid w:val="00B04024"/>
    <w:rsid w:val="00B042BF"/>
    <w:rsid w:val="00B04410"/>
    <w:rsid w:val="00B044CA"/>
    <w:rsid w:val="00B044E2"/>
    <w:rsid w:val="00B0470A"/>
    <w:rsid w:val="00B04734"/>
    <w:rsid w:val="00B0479B"/>
    <w:rsid w:val="00B048F0"/>
    <w:rsid w:val="00B04D56"/>
    <w:rsid w:val="00B04E02"/>
    <w:rsid w:val="00B0510E"/>
    <w:rsid w:val="00B05139"/>
    <w:rsid w:val="00B052E1"/>
    <w:rsid w:val="00B052F6"/>
    <w:rsid w:val="00B05423"/>
    <w:rsid w:val="00B054ED"/>
    <w:rsid w:val="00B05D68"/>
    <w:rsid w:val="00B05FEC"/>
    <w:rsid w:val="00B0627F"/>
    <w:rsid w:val="00B062B1"/>
    <w:rsid w:val="00B064DB"/>
    <w:rsid w:val="00B066FD"/>
    <w:rsid w:val="00B06898"/>
    <w:rsid w:val="00B0726C"/>
    <w:rsid w:val="00B073B7"/>
    <w:rsid w:val="00B073DD"/>
    <w:rsid w:val="00B07428"/>
    <w:rsid w:val="00B07491"/>
    <w:rsid w:val="00B07527"/>
    <w:rsid w:val="00B07569"/>
    <w:rsid w:val="00B07601"/>
    <w:rsid w:val="00B076A4"/>
    <w:rsid w:val="00B079BF"/>
    <w:rsid w:val="00B07AC0"/>
    <w:rsid w:val="00B07BA0"/>
    <w:rsid w:val="00B07C18"/>
    <w:rsid w:val="00B07D12"/>
    <w:rsid w:val="00B07F3D"/>
    <w:rsid w:val="00B1019C"/>
    <w:rsid w:val="00B101CD"/>
    <w:rsid w:val="00B10463"/>
    <w:rsid w:val="00B105C4"/>
    <w:rsid w:val="00B1068B"/>
    <w:rsid w:val="00B10790"/>
    <w:rsid w:val="00B10A48"/>
    <w:rsid w:val="00B10B4E"/>
    <w:rsid w:val="00B10CD5"/>
    <w:rsid w:val="00B110CA"/>
    <w:rsid w:val="00B110F5"/>
    <w:rsid w:val="00B1119D"/>
    <w:rsid w:val="00B11322"/>
    <w:rsid w:val="00B11430"/>
    <w:rsid w:val="00B118D1"/>
    <w:rsid w:val="00B11B5F"/>
    <w:rsid w:val="00B11BD3"/>
    <w:rsid w:val="00B11BFB"/>
    <w:rsid w:val="00B11F81"/>
    <w:rsid w:val="00B121CA"/>
    <w:rsid w:val="00B12319"/>
    <w:rsid w:val="00B1265F"/>
    <w:rsid w:val="00B12B3E"/>
    <w:rsid w:val="00B12F0E"/>
    <w:rsid w:val="00B12F3B"/>
    <w:rsid w:val="00B13015"/>
    <w:rsid w:val="00B13206"/>
    <w:rsid w:val="00B13405"/>
    <w:rsid w:val="00B136FB"/>
    <w:rsid w:val="00B13794"/>
    <w:rsid w:val="00B1382F"/>
    <w:rsid w:val="00B13921"/>
    <w:rsid w:val="00B13A33"/>
    <w:rsid w:val="00B13A9F"/>
    <w:rsid w:val="00B13B99"/>
    <w:rsid w:val="00B13CD1"/>
    <w:rsid w:val="00B13FCC"/>
    <w:rsid w:val="00B1412C"/>
    <w:rsid w:val="00B144A8"/>
    <w:rsid w:val="00B14578"/>
    <w:rsid w:val="00B14915"/>
    <w:rsid w:val="00B14A35"/>
    <w:rsid w:val="00B14F54"/>
    <w:rsid w:val="00B15302"/>
    <w:rsid w:val="00B1535C"/>
    <w:rsid w:val="00B1536C"/>
    <w:rsid w:val="00B15397"/>
    <w:rsid w:val="00B15581"/>
    <w:rsid w:val="00B155AE"/>
    <w:rsid w:val="00B15A59"/>
    <w:rsid w:val="00B15AEB"/>
    <w:rsid w:val="00B15B52"/>
    <w:rsid w:val="00B161E9"/>
    <w:rsid w:val="00B16354"/>
    <w:rsid w:val="00B16548"/>
    <w:rsid w:val="00B1699F"/>
    <w:rsid w:val="00B169DB"/>
    <w:rsid w:val="00B169F0"/>
    <w:rsid w:val="00B16AEC"/>
    <w:rsid w:val="00B16C7D"/>
    <w:rsid w:val="00B16EFC"/>
    <w:rsid w:val="00B17232"/>
    <w:rsid w:val="00B17420"/>
    <w:rsid w:val="00B17491"/>
    <w:rsid w:val="00B177EA"/>
    <w:rsid w:val="00B17AFB"/>
    <w:rsid w:val="00B17F37"/>
    <w:rsid w:val="00B17F6C"/>
    <w:rsid w:val="00B20090"/>
    <w:rsid w:val="00B202D4"/>
    <w:rsid w:val="00B20515"/>
    <w:rsid w:val="00B20E42"/>
    <w:rsid w:val="00B20E6A"/>
    <w:rsid w:val="00B20E83"/>
    <w:rsid w:val="00B21057"/>
    <w:rsid w:val="00B2112B"/>
    <w:rsid w:val="00B2130E"/>
    <w:rsid w:val="00B21593"/>
    <w:rsid w:val="00B216EC"/>
    <w:rsid w:val="00B21868"/>
    <w:rsid w:val="00B21A36"/>
    <w:rsid w:val="00B21A6C"/>
    <w:rsid w:val="00B21B7A"/>
    <w:rsid w:val="00B21CF3"/>
    <w:rsid w:val="00B21D69"/>
    <w:rsid w:val="00B21DEF"/>
    <w:rsid w:val="00B21F61"/>
    <w:rsid w:val="00B21F71"/>
    <w:rsid w:val="00B21FFA"/>
    <w:rsid w:val="00B220CC"/>
    <w:rsid w:val="00B2217D"/>
    <w:rsid w:val="00B22449"/>
    <w:rsid w:val="00B22760"/>
    <w:rsid w:val="00B2295C"/>
    <w:rsid w:val="00B22A4E"/>
    <w:rsid w:val="00B22AC9"/>
    <w:rsid w:val="00B22CEE"/>
    <w:rsid w:val="00B22E39"/>
    <w:rsid w:val="00B22F1E"/>
    <w:rsid w:val="00B2319A"/>
    <w:rsid w:val="00B234C3"/>
    <w:rsid w:val="00B235E1"/>
    <w:rsid w:val="00B2377F"/>
    <w:rsid w:val="00B237DE"/>
    <w:rsid w:val="00B23887"/>
    <w:rsid w:val="00B23950"/>
    <w:rsid w:val="00B23DBD"/>
    <w:rsid w:val="00B24082"/>
    <w:rsid w:val="00B241F9"/>
    <w:rsid w:val="00B24238"/>
    <w:rsid w:val="00B24416"/>
    <w:rsid w:val="00B24CD7"/>
    <w:rsid w:val="00B24F22"/>
    <w:rsid w:val="00B24F96"/>
    <w:rsid w:val="00B25579"/>
    <w:rsid w:val="00B25994"/>
    <w:rsid w:val="00B259BD"/>
    <w:rsid w:val="00B259CD"/>
    <w:rsid w:val="00B25CB8"/>
    <w:rsid w:val="00B25F06"/>
    <w:rsid w:val="00B25F50"/>
    <w:rsid w:val="00B25F52"/>
    <w:rsid w:val="00B2603B"/>
    <w:rsid w:val="00B261AA"/>
    <w:rsid w:val="00B261DE"/>
    <w:rsid w:val="00B2621B"/>
    <w:rsid w:val="00B263D0"/>
    <w:rsid w:val="00B266A0"/>
    <w:rsid w:val="00B266C8"/>
    <w:rsid w:val="00B26A1F"/>
    <w:rsid w:val="00B26A5D"/>
    <w:rsid w:val="00B26B55"/>
    <w:rsid w:val="00B27104"/>
    <w:rsid w:val="00B2748A"/>
    <w:rsid w:val="00B27560"/>
    <w:rsid w:val="00B275FA"/>
    <w:rsid w:val="00B276E7"/>
    <w:rsid w:val="00B2779E"/>
    <w:rsid w:val="00B27937"/>
    <w:rsid w:val="00B27B06"/>
    <w:rsid w:val="00B27BC2"/>
    <w:rsid w:val="00B27BD5"/>
    <w:rsid w:val="00B27D92"/>
    <w:rsid w:val="00B27EAF"/>
    <w:rsid w:val="00B302ED"/>
    <w:rsid w:val="00B3034D"/>
    <w:rsid w:val="00B305A8"/>
    <w:rsid w:val="00B30852"/>
    <w:rsid w:val="00B3087F"/>
    <w:rsid w:val="00B30929"/>
    <w:rsid w:val="00B3114C"/>
    <w:rsid w:val="00B31308"/>
    <w:rsid w:val="00B3141B"/>
    <w:rsid w:val="00B31441"/>
    <w:rsid w:val="00B31560"/>
    <w:rsid w:val="00B31669"/>
    <w:rsid w:val="00B317FA"/>
    <w:rsid w:val="00B3191D"/>
    <w:rsid w:val="00B32343"/>
    <w:rsid w:val="00B3274B"/>
    <w:rsid w:val="00B32D73"/>
    <w:rsid w:val="00B32F05"/>
    <w:rsid w:val="00B32FAD"/>
    <w:rsid w:val="00B330EE"/>
    <w:rsid w:val="00B331E1"/>
    <w:rsid w:val="00B332CB"/>
    <w:rsid w:val="00B33494"/>
    <w:rsid w:val="00B336BF"/>
    <w:rsid w:val="00B33C54"/>
    <w:rsid w:val="00B33CF1"/>
    <w:rsid w:val="00B33E67"/>
    <w:rsid w:val="00B33F8B"/>
    <w:rsid w:val="00B3400C"/>
    <w:rsid w:val="00B34194"/>
    <w:rsid w:val="00B3452F"/>
    <w:rsid w:val="00B34564"/>
    <w:rsid w:val="00B3464E"/>
    <w:rsid w:val="00B34AF9"/>
    <w:rsid w:val="00B34F0D"/>
    <w:rsid w:val="00B34F20"/>
    <w:rsid w:val="00B352C0"/>
    <w:rsid w:val="00B3533D"/>
    <w:rsid w:val="00B35523"/>
    <w:rsid w:val="00B3590C"/>
    <w:rsid w:val="00B35BF4"/>
    <w:rsid w:val="00B35E70"/>
    <w:rsid w:val="00B3614B"/>
    <w:rsid w:val="00B36749"/>
    <w:rsid w:val="00B36803"/>
    <w:rsid w:val="00B36921"/>
    <w:rsid w:val="00B36924"/>
    <w:rsid w:val="00B36DE3"/>
    <w:rsid w:val="00B3750F"/>
    <w:rsid w:val="00B37757"/>
    <w:rsid w:val="00B37D40"/>
    <w:rsid w:val="00B37DE1"/>
    <w:rsid w:val="00B37DFC"/>
    <w:rsid w:val="00B37EA2"/>
    <w:rsid w:val="00B37EF4"/>
    <w:rsid w:val="00B406EF"/>
    <w:rsid w:val="00B40760"/>
    <w:rsid w:val="00B409C0"/>
    <w:rsid w:val="00B409E4"/>
    <w:rsid w:val="00B409F4"/>
    <w:rsid w:val="00B40CD0"/>
    <w:rsid w:val="00B40E39"/>
    <w:rsid w:val="00B4135A"/>
    <w:rsid w:val="00B4141A"/>
    <w:rsid w:val="00B41471"/>
    <w:rsid w:val="00B414BD"/>
    <w:rsid w:val="00B4159C"/>
    <w:rsid w:val="00B415F0"/>
    <w:rsid w:val="00B41749"/>
    <w:rsid w:val="00B417DF"/>
    <w:rsid w:val="00B4197F"/>
    <w:rsid w:val="00B41AD3"/>
    <w:rsid w:val="00B42146"/>
    <w:rsid w:val="00B42270"/>
    <w:rsid w:val="00B426F8"/>
    <w:rsid w:val="00B4288D"/>
    <w:rsid w:val="00B42D23"/>
    <w:rsid w:val="00B42FC1"/>
    <w:rsid w:val="00B432AA"/>
    <w:rsid w:val="00B4361C"/>
    <w:rsid w:val="00B4387A"/>
    <w:rsid w:val="00B43A66"/>
    <w:rsid w:val="00B43A9A"/>
    <w:rsid w:val="00B43B10"/>
    <w:rsid w:val="00B43C3E"/>
    <w:rsid w:val="00B43D20"/>
    <w:rsid w:val="00B43D9C"/>
    <w:rsid w:val="00B441DB"/>
    <w:rsid w:val="00B443C1"/>
    <w:rsid w:val="00B44422"/>
    <w:rsid w:val="00B445C1"/>
    <w:rsid w:val="00B44674"/>
    <w:rsid w:val="00B44915"/>
    <w:rsid w:val="00B44C24"/>
    <w:rsid w:val="00B45079"/>
    <w:rsid w:val="00B4556A"/>
    <w:rsid w:val="00B45626"/>
    <w:rsid w:val="00B45AF9"/>
    <w:rsid w:val="00B45B79"/>
    <w:rsid w:val="00B45B7A"/>
    <w:rsid w:val="00B46B64"/>
    <w:rsid w:val="00B46BDD"/>
    <w:rsid w:val="00B46CC1"/>
    <w:rsid w:val="00B46DBE"/>
    <w:rsid w:val="00B470EA"/>
    <w:rsid w:val="00B47394"/>
    <w:rsid w:val="00B475A9"/>
    <w:rsid w:val="00B4782B"/>
    <w:rsid w:val="00B47906"/>
    <w:rsid w:val="00B4799D"/>
    <w:rsid w:val="00B47A89"/>
    <w:rsid w:val="00B47B3C"/>
    <w:rsid w:val="00B47D66"/>
    <w:rsid w:val="00B47F0C"/>
    <w:rsid w:val="00B50211"/>
    <w:rsid w:val="00B50331"/>
    <w:rsid w:val="00B50334"/>
    <w:rsid w:val="00B50BD7"/>
    <w:rsid w:val="00B50C5A"/>
    <w:rsid w:val="00B50D1D"/>
    <w:rsid w:val="00B50DBD"/>
    <w:rsid w:val="00B50EB7"/>
    <w:rsid w:val="00B50EBE"/>
    <w:rsid w:val="00B50ED8"/>
    <w:rsid w:val="00B5135D"/>
    <w:rsid w:val="00B5160C"/>
    <w:rsid w:val="00B51A16"/>
    <w:rsid w:val="00B51ACB"/>
    <w:rsid w:val="00B51BFA"/>
    <w:rsid w:val="00B51C48"/>
    <w:rsid w:val="00B51E10"/>
    <w:rsid w:val="00B51E46"/>
    <w:rsid w:val="00B51EB4"/>
    <w:rsid w:val="00B52323"/>
    <w:rsid w:val="00B5274E"/>
    <w:rsid w:val="00B52872"/>
    <w:rsid w:val="00B52B71"/>
    <w:rsid w:val="00B52B80"/>
    <w:rsid w:val="00B52BFA"/>
    <w:rsid w:val="00B52CCA"/>
    <w:rsid w:val="00B52D3E"/>
    <w:rsid w:val="00B52DCB"/>
    <w:rsid w:val="00B52E0E"/>
    <w:rsid w:val="00B52F34"/>
    <w:rsid w:val="00B530DC"/>
    <w:rsid w:val="00B5313E"/>
    <w:rsid w:val="00B53267"/>
    <w:rsid w:val="00B53387"/>
    <w:rsid w:val="00B534F0"/>
    <w:rsid w:val="00B53AEF"/>
    <w:rsid w:val="00B53BC9"/>
    <w:rsid w:val="00B53D03"/>
    <w:rsid w:val="00B53D0A"/>
    <w:rsid w:val="00B53E86"/>
    <w:rsid w:val="00B5417C"/>
    <w:rsid w:val="00B546E2"/>
    <w:rsid w:val="00B54900"/>
    <w:rsid w:val="00B551B6"/>
    <w:rsid w:val="00B5548E"/>
    <w:rsid w:val="00B55AC6"/>
    <w:rsid w:val="00B55D1F"/>
    <w:rsid w:val="00B55D56"/>
    <w:rsid w:val="00B55F3C"/>
    <w:rsid w:val="00B55F9E"/>
    <w:rsid w:val="00B55FBA"/>
    <w:rsid w:val="00B560F0"/>
    <w:rsid w:val="00B56134"/>
    <w:rsid w:val="00B566BA"/>
    <w:rsid w:val="00B56928"/>
    <w:rsid w:val="00B569A4"/>
    <w:rsid w:val="00B569B8"/>
    <w:rsid w:val="00B56D40"/>
    <w:rsid w:val="00B570F1"/>
    <w:rsid w:val="00B573DC"/>
    <w:rsid w:val="00B5765F"/>
    <w:rsid w:val="00B57DC9"/>
    <w:rsid w:val="00B57E2F"/>
    <w:rsid w:val="00B60365"/>
    <w:rsid w:val="00B60670"/>
    <w:rsid w:val="00B607A6"/>
    <w:rsid w:val="00B60950"/>
    <w:rsid w:val="00B609BB"/>
    <w:rsid w:val="00B60D86"/>
    <w:rsid w:val="00B60DEB"/>
    <w:rsid w:val="00B6114D"/>
    <w:rsid w:val="00B6132E"/>
    <w:rsid w:val="00B613EC"/>
    <w:rsid w:val="00B615D3"/>
    <w:rsid w:val="00B61650"/>
    <w:rsid w:val="00B61B64"/>
    <w:rsid w:val="00B61EB6"/>
    <w:rsid w:val="00B61FA7"/>
    <w:rsid w:val="00B620AA"/>
    <w:rsid w:val="00B6212A"/>
    <w:rsid w:val="00B62148"/>
    <w:rsid w:val="00B62226"/>
    <w:rsid w:val="00B626A3"/>
    <w:rsid w:val="00B62746"/>
    <w:rsid w:val="00B62954"/>
    <w:rsid w:val="00B62DAF"/>
    <w:rsid w:val="00B62E1E"/>
    <w:rsid w:val="00B62F2A"/>
    <w:rsid w:val="00B62FE1"/>
    <w:rsid w:val="00B63358"/>
    <w:rsid w:val="00B6392E"/>
    <w:rsid w:val="00B63BA9"/>
    <w:rsid w:val="00B63C03"/>
    <w:rsid w:val="00B64103"/>
    <w:rsid w:val="00B6415C"/>
    <w:rsid w:val="00B641A2"/>
    <w:rsid w:val="00B6429C"/>
    <w:rsid w:val="00B6442F"/>
    <w:rsid w:val="00B64AB2"/>
    <w:rsid w:val="00B64B2E"/>
    <w:rsid w:val="00B651FC"/>
    <w:rsid w:val="00B65207"/>
    <w:rsid w:val="00B6522F"/>
    <w:rsid w:val="00B65343"/>
    <w:rsid w:val="00B654FC"/>
    <w:rsid w:val="00B65888"/>
    <w:rsid w:val="00B65BE6"/>
    <w:rsid w:val="00B65C8F"/>
    <w:rsid w:val="00B65D39"/>
    <w:rsid w:val="00B65EDD"/>
    <w:rsid w:val="00B65FEF"/>
    <w:rsid w:val="00B6648B"/>
    <w:rsid w:val="00B665B6"/>
    <w:rsid w:val="00B66615"/>
    <w:rsid w:val="00B667B3"/>
    <w:rsid w:val="00B66D07"/>
    <w:rsid w:val="00B66D23"/>
    <w:rsid w:val="00B66E04"/>
    <w:rsid w:val="00B67104"/>
    <w:rsid w:val="00B672A1"/>
    <w:rsid w:val="00B67333"/>
    <w:rsid w:val="00B673C4"/>
    <w:rsid w:val="00B67518"/>
    <w:rsid w:val="00B678D5"/>
    <w:rsid w:val="00B678D9"/>
    <w:rsid w:val="00B67C49"/>
    <w:rsid w:val="00B67CB0"/>
    <w:rsid w:val="00B67DB4"/>
    <w:rsid w:val="00B67DB7"/>
    <w:rsid w:val="00B67DC3"/>
    <w:rsid w:val="00B67E5F"/>
    <w:rsid w:val="00B700A8"/>
    <w:rsid w:val="00B70554"/>
    <w:rsid w:val="00B706D1"/>
    <w:rsid w:val="00B71015"/>
    <w:rsid w:val="00B71248"/>
    <w:rsid w:val="00B7127C"/>
    <w:rsid w:val="00B71B61"/>
    <w:rsid w:val="00B72018"/>
    <w:rsid w:val="00B7262A"/>
    <w:rsid w:val="00B72633"/>
    <w:rsid w:val="00B727D2"/>
    <w:rsid w:val="00B72965"/>
    <w:rsid w:val="00B72A38"/>
    <w:rsid w:val="00B72A3E"/>
    <w:rsid w:val="00B72E6C"/>
    <w:rsid w:val="00B72F50"/>
    <w:rsid w:val="00B731DE"/>
    <w:rsid w:val="00B731EC"/>
    <w:rsid w:val="00B732C5"/>
    <w:rsid w:val="00B7354A"/>
    <w:rsid w:val="00B739B0"/>
    <w:rsid w:val="00B73A00"/>
    <w:rsid w:val="00B73AAF"/>
    <w:rsid w:val="00B73D41"/>
    <w:rsid w:val="00B73DE6"/>
    <w:rsid w:val="00B73DF3"/>
    <w:rsid w:val="00B73EB9"/>
    <w:rsid w:val="00B73F25"/>
    <w:rsid w:val="00B741AF"/>
    <w:rsid w:val="00B7439A"/>
    <w:rsid w:val="00B74454"/>
    <w:rsid w:val="00B7465C"/>
    <w:rsid w:val="00B748CC"/>
    <w:rsid w:val="00B74A97"/>
    <w:rsid w:val="00B74B49"/>
    <w:rsid w:val="00B74B4A"/>
    <w:rsid w:val="00B74B7D"/>
    <w:rsid w:val="00B74FAA"/>
    <w:rsid w:val="00B75285"/>
    <w:rsid w:val="00B75485"/>
    <w:rsid w:val="00B75488"/>
    <w:rsid w:val="00B7555F"/>
    <w:rsid w:val="00B757AA"/>
    <w:rsid w:val="00B758A5"/>
    <w:rsid w:val="00B7596E"/>
    <w:rsid w:val="00B75A8C"/>
    <w:rsid w:val="00B75B2C"/>
    <w:rsid w:val="00B75E18"/>
    <w:rsid w:val="00B76067"/>
    <w:rsid w:val="00B76260"/>
    <w:rsid w:val="00B76399"/>
    <w:rsid w:val="00B76706"/>
    <w:rsid w:val="00B76966"/>
    <w:rsid w:val="00B76E0E"/>
    <w:rsid w:val="00B76EBD"/>
    <w:rsid w:val="00B76ECE"/>
    <w:rsid w:val="00B77545"/>
    <w:rsid w:val="00B775BE"/>
    <w:rsid w:val="00B776CD"/>
    <w:rsid w:val="00B77801"/>
    <w:rsid w:val="00B77BB6"/>
    <w:rsid w:val="00B80197"/>
    <w:rsid w:val="00B801A8"/>
    <w:rsid w:val="00B80214"/>
    <w:rsid w:val="00B80329"/>
    <w:rsid w:val="00B80476"/>
    <w:rsid w:val="00B80617"/>
    <w:rsid w:val="00B8064C"/>
    <w:rsid w:val="00B806CB"/>
    <w:rsid w:val="00B808E4"/>
    <w:rsid w:val="00B80A92"/>
    <w:rsid w:val="00B80C40"/>
    <w:rsid w:val="00B80E47"/>
    <w:rsid w:val="00B81052"/>
    <w:rsid w:val="00B81156"/>
    <w:rsid w:val="00B812BD"/>
    <w:rsid w:val="00B812D6"/>
    <w:rsid w:val="00B81309"/>
    <w:rsid w:val="00B815B0"/>
    <w:rsid w:val="00B81879"/>
    <w:rsid w:val="00B81A78"/>
    <w:rsid w:val="00B81B6B"/>
    <w:rsid w:val="00B81C89"/>
    <w:rsid w:val="00B81E3E"/>
    <w:rsid w:val="00B82082"/>
    <w:rsid w:val="00B82321"/>
    <w:rsid w:val="00B8245B"/>
    <w:rsid w:val="00B82529"/>
    <w:rsid w:val="00B8255F"/>
    <w:rsid w:val="00B825B0"/>
    <w:rsid w:val="00B8290E"/>
    <w:rsid w:val="00B82A7D"/>
    <w:rsid w:val="00B82C01"/>
    <w:rsid w:val="00B82C1F"/>
    <w:rsid w:val="00B82E52"/>
    <w:rsid w:val="00B8304C"/>
    <w:rsid w:val="00B8320B"/>
    <w:rsid w:val="00B83381"/>
    <w:rsid w:val="00B8346F"/>
    <w:rsid w:val="00B835A3"/>
    <w:rsid w:val="00B83E46"/>
    <w:rsid w:val="00B843B6"/>
    <w:rsid w:val="00B84689"/>
    <w:rsid w:val="00B849C9"/>
    <w:rsid w:val="00B84A62"/>
    <w:rsid w:val="00B84ED3"/>
    <w:rsid w:val="00B84F34"/>
    <w:rsid w:val="00B84F7F"/>
    <w:rsid w:val="00B853C7"/>
    <w:rsid w:val="00B85414"/>
    <w:rsid w:val="00B85465"/>
    <w:rsid w:val="00B85747"/>
    <w:rsid w:val="00B857F2"/>
    <w:rsid w:val="00B8645C"/>
    <w:rsid w:val="00B86801"/>
    <w:rsid w:val="00B86933"/>
    <w:rsid w:val="00B86BB1"/>
    <w:rsid w:val="00B86C48"/>
    <w:rsid w:val="00B87258"/>
    <w:rsid w:val="00B873B1"/>
    <w:rsid w:val="00B87688"/>
    <w:rsid w:val="00B8777E"/>
    <w:rsid w:val="00B87944"/>
    <w:rsid w:val="00B879CE"/>
    <w:rsid w:val="00B87D7A"/>
    <w:rsid w:val="00B87D9D"/>
    <w:rsid w:val="00B87F86"/>
    <w:rsid w:val="00B908F8"/>
    <w:rsid w:val="00B90B26"/>
    <w:rsid w:val="00B90D71"/>
    <w:rsid w:val="00B90DBE"/>
    <w:rsid w:val="00B90DC1"/>
    <w:rsid w:val="00B9101E"/>
    <w:rsid w:val="00B91027"/>
    <w:rsid w:val="00B9111B"/>
    <w:rsid w:val="00B911E7"/>
    <w:rsid w:val="00B91223"/>
    <w:rsid w:val="00B91278"/>
    <w:rsid w:val="00B9141B"/>
    <w:rsid w:val="00B91487"/>
    <w:rsid w:val="00B9155B"/>
    <w:rsid w:val="00B917C1"/>
    <w:rsid w:val="00B91BC9"/>
    <w:rsid w:val="00B91D5A"/>
    <w:rsid w:val="00B91F97"/>
    <w:rsid w:val="00B9203F"/>
    <w:rsid w:val="00B921B0"/>
    <w:rsid w:val="00B9245F"/>
    <w:rsid w:val="00B9259E"/>
    <w:rsid w:val="00B927CB"/>
    <w:rsid w:val="00B92CB2"/>
    <w:rsid w:val="00B92DCC"/>
    <w:rsid w:val="00B92FE6"/>
    <w:rsid w:val="00B93044"/>
    <w:rsid w:val="00B935F8"/>
    <w:rsid w:val="00B93D0B"/>
    <w:rsid w:val="00B93D3B"/>
    <w:rsid w:val="00B93E98"/>
    <w:rsid w:val="00B943FB"/>
    <w:rsid w:val="00B944F9"/>
    <w:rsid w:val="00B94914"/>
    <w:rsid w:val="00B9494A"/>
    <w:rsid w:val="00B94A79"/>
    <w:rsid w:val="00B94ADD"/>
    <w:rsid w:val="00B94C87"/>
    <w:rsid w:val="00B94D17"/>
    <w:rsid w:val="00B950CA"/>
    <w:rsid w:val="00B9516F"/>
    <w:rsid w:val="00B952F6"/>
    <w:rsid w:val="00B953B9"/>
    <w:rsid w:val="00B95491"/>
    <w:rsid w:val="00B95568"/>
    <w:rsid w:val="00B9557F"/>
    <w:rsid w:val="00B95AB2"/>
    <w:rsid w:val="00B95D4B"/>
    <w:rsid w:val="00B95D73"/>
    <w:rsid w:val="00B96316"/>
    <w:rsid w:val="00B963DB"/>
    <w:rsid w:val="00B964E1"/>
    <w:rsid w:val="00B9652D"/>
    <w:rsid w:val="00B965FD"/>
    <w:rsid w:val="00B96766"/>
    <w:rsid w:val="00B96B23"/>
    <w:rsid w:val="00B96C7F"/>
    <w:rsid w:val="00B96E51"/>
    <w:rsid w:val="00B970A0"/>
    <w:rsid w:val="00B97189"/>
    <w:rsid w:val="00B972E1"/>
    <w:rsid w:val="00B972F6"/>
    <w:rsid w:val="00B973EA"/>
    <w:rsid w:val="00B977E4"/>
    <w:rsid w:val="00B97A18"/>
    <w:rsid w:val="00B97B3D"/>
    <w:rsid w:val="00B97EC5"/>
    <w:rsid w:val="00BA008D"/>
    <w:rsid w:val="00BA015D"/>
    <w:rsid w:val="00BA0229"/>
    <w:rsid w:val="00BA0483"/>
    <w:rsid w:val="00BA0860"/>
    <w:rsid w:val="00BA0A8E"/>
    <w:rsid w:val="00BA0ECC"/>
    <w:rsid w:val="00BA1631"/>
    <w:rsid w:val="00BA17E4"/>
    <w:rsid w:val="00BA1A10"/>
    <w:rsid w:val="00BA1B35"/>
    <w:rsid w:val="00BA1B99"/>
    <w:rsid w:val="00BA1C72"/>
    <w:rsid w:val="00BA1C8A"/>
    <w:rsid w:val="00BA1F1A"/>
    <w:rsid w:val="00BA2652"/>
    <w:rsid w:val="00BA2914"/>
    <w:rsid w:val="00BA29DF"/>
    <w:rsid w:val="00BA2B6F"/>
    <w:rsid w:val="00BA2DD7"/>
    <w:rsid w:val="00BA3072"/>
    <w:rsid w:val="00BA30C7"/>
    <w:rsid w:val="00BA35C5"/>
    <w:rsid w:val="00BA3857"/>
    <w:rsid w:val="00BA3A00"/>
    <w:rsid w:val="00BA3CB8"/>
    <w:rsid w:val="00BA3CFD"/>
    <w:rsid w:val="00BA3D55"/>
    <w:rsid w:val="00BA3E9B"/>
    <w:rsid w:val="00BA4183"/>
    <w:rsid w:val="00BA4192"/>
    <w:rsid w:val="00BA449D"/>
    <w:rsid w:val="00BA45D8"/>
    <w:rsid w:val="00BA52B6"/>
    <w:rsid w:val="00BA5320"/>
    <w:rsid w:val="00BA532E"/>
    <w:rsid w:val="00BA5982"/>
    <w:rsid w:val="00BA5B32"/>
    <w:rsid w:val="00BA5B52"/>
    <w:rsid w:val="00BA5B9A"/>
    <w:rsid w:val="00BA5E53"/>
    <w:rsid w:val="00BA5E6B"/>
    <w:rsid w:val="00BA5ED7"/>
    <w:rsid w:val="00BA613A"/>
    <w:rsid w:val="00BA6226"/>
    <w:rsid w:val="00BA6510"/>
    <w:rsid w:val="00BA65AB"/>
    <w:rsid w:val="00BA688B"/>
    <w:rsid w:val="00BA6C06"/>
    <w:rsid w:val="00BA6DF7"/>
    <w:rsid w:val="00BA7246"/>
    <w:rsid w:val="00BA7262"/>
    <w:rsid w:val="00BA7269"/>
    <w:rsid w:val="00BA757B"/>
    <w:rsid w:val="00BA7993"/>
    <w:rsid w:val="00BA7AAD"/>
    <w:rsid w:val="00BA7AB6"/>
    <w:rsid w:val="00BA7B74"/>
    <w:rsid w:val="00BA7D3A"/>
    <w:rsid w:val="00BB0A50"/>
    <w:rsid w:val="00BB0E11"/>
    <w:rsid w:val="00BB0F25"/>
    <w:rsid w:val="00BB0F4D"/>
    <w:rsid w:val="00BB1628"/>
    <w:rsid w:val="00BB1803"/>
    <w:rsid w:val="00BB1837"/>
    <w:rsid w:val="00BB1857"/>
    <w:rsid w:val="00BB18C4"/>
    <w:rsid w:val="00BB1C14"/>
    <w:rsid w:val="00BB1CBA"/>
    <w:rsid w:val="00BB25A9"/>
    <w:rsid w:val="00BB27DE"/>
    <w:rsid w:val="00BB27F8"/>
    <w:rsid w:val="00BB298C"/>
    <w:rsid w:val="00BB29AF"/>
    <w:rsid w:val="00BB2ABC"/>
    <w:rsid w:val="00BB2D92"/>
    <w:rsid w:val="00BB33C8"/>
    <w:rsid w:val="00BB3461"/>
    <w:rsid w:val="00BB3619"/>
    <w:rsid w:val="00BB36B1"/>
    <w:rsid w:val="00BB372A"/>
    <w:rsid w:val="00BB3895"/>
    <w:rsid w:val="00BB3990"/>
    <w:rsid w:val="00BB3F05"/>
    <w:rsid w:val="00BB4035"/>
    <w:rsid w:val="00BB434B"/>
    <w:rsid w:val="00BB4485"/>
    <w:rsid w:val="00BB44DA"/>
    <w:rsid w:val="00BB4AEA"/>
    <w:rsid w:val="00BB4B7E"/>
    <w:rsid w:val="00BB4C83"/>
    <w:rsid w:val="00BB4F35"/>
    <w:rsid w:val="00BB5673"/>
    <w:rsid w:val="00BB5AAA"/>
    <w:rsid w:val="00BB5B80"/>
    <w:rsid w:val="00BB5EEC"/>
    <w:rsid w:val="00BB617F"/>
    <w:rsid w:val="00BB65E2"/>
    <w:rsid w:val="00BB67F4"/>
    <w:rsid w:val="00BB68FD"/>
    <w:rsid w:val="00BB6C69"/>
    <w:rsid w:val="00BB70C8"/>
    <w:rsid w:val="00BB7218"/>
    <w:rsid w:val="00BB7227"/>
    <w:rsid w:val="00BB7345"/>
    <w:rsid w:val="00BB7410"/>
    <w:rsid w:val="00BB761A"/>
    <w:rsid w:val="00BB788E"/>
    <w:rsid w:val="00BB78D1"/>
    <w:rsid w:val="00BC0455"/>
    <w:rsid w:val="00BC0974"/>
    <w:rsid w:val="00BC0A36"/>
    <w:rsid w:val="00BC0AB0"/>
    <w:rsid w:val="00BC0C75"/>
    <w:rsid w:val="00BC0DEC"/>
    <w:rsid w:val="00BC0E32"/>
    <w:rsid w:val="00BC0E33"/>
    <w:rsid w:val="00BC0F7E"/>
    <w:rsid w:val="00BC1177"/>
    <w:rsid w:val="00BC126B"/>
    <w:rsid w:val="00BC129F"/>
    <w:rsid w:val="00BC130F"/>
    <w:rsid w:val="00BC150C"/>
    <w:rsid w:val="00BC18C9"/>
    <w:rsid w:val="00BC1918"/>
    <w:rsid w:val="00BC1A76"/>
    <w:rsid w:val="00BC1AB4"/>
    <w:rsid w:val="00BC1B77"/>
    <w:rsid w:val="00BC1FFB"/>
    <w:rsid w:val="00BC2122"/>
    <w:rsid w:val="00BC23A5"/>
    <w:rsid w:val="00BC265E"/>
    <w:rsid w:val="00BC269F"/>
    <w:rsid w:val="00BC26E6"/>
    <w:rsid w:val="00BC29C7"/>
    <w:rsid w:val="00BC2AF1"/>
    <w:rsid w:val="00BC2BC9"/>
    <w:rsid w:val="00BC2BE0"/>
    <w:rsid w:val="00BC2D2B"/>
    <w:rsid w:val="00BC2DB1"/>
    <w:rsid w:val="00BC2DD0"/>
    <w:rsid w:val="00BC3162"/>
    <w:rsid w:val="00BC33CF"/>
    <w:rsid w:val="00BC35A6"/>
    <w:rsid w:val="00BC38CE"/>
    <w:rsid w:val="00BC3991"/>
    <w:rsid w:val="00BC3FD0"/>
    <w:rsid w:val="00BC4609"/>
    <w:rsid w:val="00BC4B45"/>
    <w:rsid w:val="00BC4B70"/>
    <w:rsid w:val="00BC555E"/>
    <w:rsid w:val="00BC575C"/>
    <w:rsid w:val="00BC5923"/>
    <w:rsid w:val="00BC5A95"/>
    <w:rsid w:val="00BC5AD6"/>
    <w:rsid w:val="00BC5D3A"/>
    <w:rsid w:val="00BC61C4"/>
    <w:rsid w:val="00BC65D9"/>
    <w:rsid w:val="00BC683D"/>
    <w:rsid w:val="00BC69AA"/>
    <w:rsid w:val="00BC6B48"/>
    <w:rsid w:val="00BC6CC5"/>
    <w:rsid w:val="00BC6D68"/>
    <w:rsid w:val="00BC6DC4"/>
    <w:rsid w:val="00BC7240"/>
    <w:rsid w:val="00BC74D6"/>
    <w:rsid w:val="00BC76EA"/>
    <w:rsid w:val="00BC79A6"/>
    <w:rsid w:val="00BC79B3"/>
    <w:rsid w:val="00BC7C7C"/>
    <w:rsid w:val="00BD028E"/>
    <w:rsid w:val="00BD0322"/>
    <w:rsid w:val="00BD05D8"/>
    <w:rsid w:val="00BD0606"/>
    <w:rsid w:val="00BD06E7"/>
    <w:rsid w:val="00BD0A2B"/>
    <w:rsid w:val="00BD0C7F"/>
    <w:rsid w:val="00BD0CAD"/>
    <w:rsid w:val="00BD1838"/>
    <w:rsid w:val="00BD1BAB"/>
    <w:rsid w:val="00BD1CFD"/>
    <w:rsid w:val="00BD20C3"/>
    <w:rsid w:val="00BD216D"/>
    <w:rsid w:val="00BD244B"/>
    <w:rsid w:val="00BD2502"/>
    <w:rsid w:val="00BD2C72"/>
    <w:rsid w:val="00BD2CF3"/>
    <w:rsid w:val="00BD3003"/>
    <w:rsid w:val="00BD30D1"/>
    <w:rsid w:val="00BD31F7"/>
    <w:rsid w:val="00BD33D9"/>
    <w:rsid w:val="00BD36DF"/>
    <w:rsid w:val="00BD3886"/>
    <w:rsid w:val="00BD3A20"/>
    <w:rsid w:val="00BD3C13"/>
    <w:rsid w:val="00BD3D49"/>
    <w:rsid w:val="00BD3E51"/>
    <w:rsid w:val="00BD3E6C"/>
    <w:rsid w:val="00BD3EC7"/>
    <w:rsid w:val="00BD3F08"/>
    <w:rsid w:val="00BD3F85"/>
    <w:rsid w:val="00BD4202"/>
    <w:rsid w:val="00BD4222"/>
    <w:rsid w:val="00BD4388"/>
    <w:rsid w:val="00BD446A"/>
    <w:rsid w:val="00BD460A"/>
    <w:rsid w:val="00BD4D9A"/>
    <w:rsid w:val="00BD4F54"/>
    <w:rsid w:val="00BD4FEC"/>
    <w:rsid w:val="00BD503E"/>
    <w:rsid w:val="00BD5550"/>
    <w:rsid w:val="00BD559C"/>
    <w:rsid w:val="00BD56B8"/>
    <w:rsid w:val="00BD5802"/>
    <w:rsid w:val="00BD618C"/>
    <w:rsid w:val="00BD64BE"/>
    <w:rsid w:val="00BD6593"/>
    <w:rsid w:val="00BD6630"/>
    <w:rsid w:val="00BD6C37"/>
    <w:rsid w:val="00BD6DFD"/>
    <w:rsid w:val="00BD6FDD"/>
    <w:rsid w:val="00BD7460"/>
    <w:rsid w:val="00BD74BF"/>
    <w:rsid w:val="00BE0156"/>
    <w:rsid w:val="00BE04EA"/>
    <w:rsid w:val="00BE05B9"/>
    <w:rsid w:val="00BE0AC6"/>
    <w:rsid w:val="00BE0F22"/>
    <w:rsid w:val="00BE0F8B"/>
    <w:rsid w:val="00BE0F99"/>
    <w:rsid w:val="00BE101D"/>
    <w:rsid w:val="00BE108F"/>
    <w:rsid w:val="00BE1176"/>
    <w:rsid w:val="00BE12C9"/>
    <w:rsid w:val="00BE140E"/>
    <w:rsid w:val="00BE1529"/>
    <w:rsid w:val="00BE16AB"/>
    <w:rsid w:val="00BE1CB8"/>
    <w:rsid w:val="00BE1EB7"/>
    <w:rsid w:val="00BE211A"/>
    <w:rsid w:val="00BE2334"/>
    <w:rsid w:val="00BE2550"/>
    <w:rsid w:val="00BE2748"/>
    <w:rsid w:val="00BE2A26"/>
    <w:rsid w:val="00BE2A83"/>
    <w:rsid w:val="00BE2A90"/>
    <w:rsid w:val="00BE2C59"/>
    <w:rsid w:val="00BE3137"/>
    <w:rsid w:val="00BE3459"/>
    <w:rsid w:val="00BE3651"/>
    <w:rsid w:val="00BE37FF"/>
    <w:rsid w:val="00BE383D"/>
    <w:rsid w:val="00BE39B4"/>
    <w:rsid w:val="00BE39DE"/>
    <w:rsid w:val="00BE39E5"/>
    <w:rsid w:val="00BE3AD1"/>
    <w:rsid w:val="00BE3D27"/>
    <w:rsid w:val="00BE3D57"/>
    <w:rsid w:val="00BE3DBE"/>
    <w:rsid w:val="00BE3E6B"/>
    <w:rsid w:val="00BE3F3F"/>
    <w:rsid w:val="00BE410A"/>
    <w:rsid w:val="00BE47DD"/>
    <w:rsid w:val="00BE48E6"/>
    <w:rsid w:val="00BE4BEB"/>
    <w:rsid w:val="00BE4DC7"/>
    <w:rsid w:val="00BE4DFE"/>
    <w:rsid w:val="00BE5116"/>
    <w:rsid w:val="00BE534A"/>
    <w:rsid w:val="00BE5ACB"/>
    <w:rsid w:val="00BE5B67"/>
    <w:rsid w:val="00BE5DD0"/>
    <w:rsid w:val="00BE5E4E"/>
    <w:rsid w:val="00BE5FB1"/>
    <w:rsid w:val="00BE6113"/>
    <w:rsid w:val="00BE6458"/>
    <w:rsid w:val="00BE65C9"/>
    <w:rsid w:val="00BE6628"/>
    <w:rsid w:val="00BE664F"/>
    <w:rsid w:val="00BE6C18"/>
    <w:rsid w:val="00BE6CE4"/>
    <w:rsid w:val="00BE6F52"/>
    <w:rsid w:val="00BE74FD"/>
    <w:rsid w:val="00BE7598"/>
    <w:rsid w:val="00BE78AF"/>
    <w:rsid w:val="00BE7912"/>
    <w:rsid w:val="00BE7CF2"/>
    <w:rsid w:val="00BE7D8F"/>
    <w:rsid w:val="00BE7DC5"/>
    <w:rsid w:val="00BF000B"/>
    <w:rsid w:val="00BF0046"/>
    <w:rsid w:val="00BF0052"/>
    <w:rsid w:val="00BF026E"/>
    <w:rsid w:val="00BF044C"/>
    <w:rsid w:val="00BF04CC"/>
    <w:rsid w:val="00BF0757"/>
    <w:rsid w:val="00BF0A16"/>
    <w:rsid w:val="00BF0BA0"/>
    <w:rsid w:val="00BF0D9C"/>
    <w:rsid w:val="00BF0E35"/>
    <w:rsid w:val="00BF0F33"/>
    <w:rsid w:val="00BF132A"/>
    <w:rsid w:val="00BF16CF"/>
    <w:rsid w:val="00BF198A"/>
    <w:rsid w:val="00BF19BB"/>
    <w:rsid w:val="00BF1AF8"/>
    <w:rsid w:val="00BF24D5"/>
    <w:rsid w:val="00BF2509"/>
    <w:rsid w:val="00BF2632"/>
    <w:rsid w:val="00BF27DA"/>
    <w:rsid w:val="00BF27F2"/>
    <w:rsid w:val="00BF2B0D"/>
    <w:rsid w:val="00BF2C55"/>
    <w:rsid w:val="00BF3073"/>
    <w:rsid w:val="00BF322D"/>
    <w:rsid w:val="00BF325C"/>
    <w:rsid w:val="00BF32B7"/>
    <w:rsid w:val="00BF330A"/>
    <w:rsid w:val="00BF3715"/>
    <w:rsid w:val="00BF38CD"/>
    <w:rsid w:val="00BF3A55"/>
    <w:rsid w:val="00BF3B82"/>
    <w:rsid w:val="00BF3BE9"/>
    <w:rsid w:val="00BF3E3F"/>
    <w:rsid w:val="00BF4775"/>
    <w:rsid w:val="00BF4860"/>
    <w:rsid w:val="00BF48E2"/>
    <w:rsid w:val="00BF4BF3"/>
    <w:rsid w:val="00BF4EE4"/>
    <w:rsid w:val="00BF4F5D"/>
    <w:rsid w:val="00BF5122"/>
    <w:rsid w:val="00BF5455"/>
    <w:rsid w:val="00BF5B8E"/>
    <w:rsid w:val="00BF62E6"/>
    <w:rsid w:val="00BF63B6"/>
    <w:rsid w:val="00BF653F"/>
    <w:rsid w:val="00BF65A5"/>
    <w:rsid w:val="00BF676E"/>
    <w:rsid w:val="00BF6A44"/>
    <w:rsid w:val="00BF6B2D"/>
    <w:rsid w:val="00BF6E21"/>
    <w:rsid w:val="00BF6FD1"/>
    <w:rsid w:val="00BF7598"/>
    <w:rsid w:val="00BF764A"/>
    <w:rsid w:val="00BF7860"/>
    <w:rsid w:val="00BF7886"/>
    <w:rsid w:val="00C000A3"/>
    <w:rsid w:val="00C0042E"/>
    <w:rsid w:val="00C0061E"/>
    <w:rsid w:val="00C006A0"/>
    <w:rsid w:val="00C008E5"/>
    <w:rsid w:val="00C00E0A"/>
    <w:rsid w:val="00C00EDF"/>
    <w:rsid w:val="00C01169"/>
    <w:rsid w:val="00C012AF"/>
    <w:rsid w:val="00C01844"/>
    <w:rsid w:val="00C01876"/>
    <w:rsid w:val="00C018AE"/>
    <w:rsid w:val="00C01B16"/>
    <w:rsid w:val="00C01B60"/>
    <w:rsid w:val="00C024A0"/>
    <w:rsid w:val="00C0297F"/>
    <w:rsid w:val="00C029D7"/>
    <w:rsid w:val="00C02BD0"/>
    <w:rsid w:val="00C02D1E"/>
    <w:rsid w:val="00C030ED"/>
    <w:rsid w:val="00C030FE"/>
    <w:rsid w:val="00C03530"/>
    <w:rsid w:val="00C036B9"/>
    <w:rsid w:val="00C0370B"/>
    <w:rsid w:val="00C03B79"/>
    <w:rsid w:val="00C03CD4"/>
    <w:rsid w:val="00C03EF6"/>
    <w:rsid w:val="00C03F43"/>
    <w:rsid w:val="00C03F48"/>
    <w:rsid w:val="00C03FD8"/>
    <w:rsid w:val="00C04513"/>
    <w:rsid w:val="00C04557"/>
    <w:rsid w:val="00C04597"/>
    <w:rsid w:val="00C04870"/>
    <w:rsid w:val="00C04CDB"/>
    <w:rsid w:val="00C04DD1"/>
    <w:rsid w:val="00C0502A"/>
    <w:rsid w:val="00C05121"/>
    <w:rsid w:val="00C05248"/>
    <w:rsid w:val="00C056C9"/>
    <w:rsid w:val="00C057EB"/>
    <w:rsid w:val="00C05900"/>
    <w:rsid w:val="00C05AE7"/>
    <w:rsid w:val="00C05EFF"/>
    <w:rsid w:val="00C05FFB"/>
    <w:rsid w:val="00C06098"/>
    <w:rsid w:val="00C06179"/>
    <w:rsid w:val="00C06186"/>
    <w:rsid w:val="00C0691E"/>
    <w:rsid w:val="00C069F1"/>
    <w:rsid w:val="00C06BCE"/>
    <w:rsid w:val="00C06CC8"/>
    <w:rsid w:val="00C06DB4"/>
    <w:rsid w:val="00C06F28"/>
    <w:rsid w:val="00C06FD0"/>
    <w:rsid w:val="00C0707C"/>
    <w:rsid w:val="00C07267"/>
    <w:rsid w:val="00C0747B"/>
    <w:rsid w:val="00C076C2"/>
    <w:rsid w:val="00C076D1"/>
    <w:rsid w:val="00C07972"/>
    <w:rsid w:val="00C07E81"/>
    <w:rsid w:val="00C07ED2"/>
    <w:rsid w:val="00C10022"/>
    <w:rsid w:val="00C10448"/>
    <w:rsid w:val="00C1049F"/>
    <w:rsid w:val="00C105C2"/>
    <w:rsid w:val="00C109CB"/>
    <w:rsid w:val="00C10C9B"/>
    <w:rsid w:val="00C10CC1"/>
    <w:rsid w:val="00C10F6E"/>
    <w:rsid w:val="00C10F78"/>
    <w:rsid w:val="00C111FD"/>
    <w:rsid w:val="00C11561"/>
    <w:rsid w:val="00C11755"/>
    <w:rsid w:val="00C117BA"/>
    <w:rsid w:val="00C1200C"/>
    <w:rsid w:val="00C1249E"/>
    <w:rsid w:val="00C124C9"/>
    <w:rsid w:val="00C12554"/>
    <w:rsid w:val="00C1256A"/>
    <w:rsid w:val="00C127B6"/>
    <w:rsid w:val="00C128E9"/>
    <w:rsid w:val="00C12A64"/>
    <w:rsid w:val="00C12C86"/>
    <w:rsid w:val="00C12DD6"/>
    <w:rsid w:val="00C13416"/>
    <w:rsid w:val="00C138AF"/>
    <w:rsid w:val="00C13C42"/>
    <w:rsid w:val="00C1406C"/>
    <w:rsid w:val="00C14C63"/>
    <w:rsid w:val="00C14E4B"/>
    <w:rsid w:val="00C14F48"/>
    <w:rsid w:val="00C151E3"/>
    <w:rsid w:val="00C15221"/>
    <w:rsid w:val="00C152E3"/>
    <w:rsid w:val="00C154CD"/>
    <w:rsid w:val="00C15507"/>
    <w:rsid w:val="00C15562"/>
    <w:rsid w:val="00C15671"/>
    <w:rsid w:val="00C158D3"/>
    <w:rsid w:val="00C158DA"/>
    <w:rsid w:val="00C15C39"/>
    <w:rsid w:val="00C160CD"/>
    <w:rsid w:val="00C1640D"/>
    <w:rsid w:val="00C165B2"/>
    <w:rsid w:val="00C16703"/>
    <w:rsid w:val="00C16863"/>
    <w:rsid w:val="00C16AB2"/>
    <w:rsid w:val="00C16C05"/>
    <w:rsid w:val="00C16C8A"/>
    <w:rsid w:val="00C17036"/>
    <w:rsid w:val="00C17215"/>
    <w:rsid w:val="00C173AD"/>
    <w:rsid w:val="00C1758F"/>
    <w:rsid w:val="00C176CB"/>
    <w:rsid w:val="00C17B66"/>
    <w:rsid w:val="00C17D07"/>
    <w:rsid w:val="00C17DE5"/>
    <w:rsid w:val="00C17E68"/>
    <w:rsid w:val="00C17F3E"/>
    <w:rsid w:val="00C17FB2"/>
    <w:rsid w:val="00C2055B"/>
    <w:rsid w:val="00C205D3"/>
    <w:rsid w:val="00C208D5"/>
    <w:rsid w:val="00C20B43"/>
    <w:rsid w:val="00C20CAB"/>
    <w:rsid w:val="00C20E95"/>
    <w:rsid w:val="00C20F7A"/>
    <w:rsid w:val="00C21163"/>
    <w:rsid w:val="00C2128A"/>
    <w:rsid w:val="00C214C5"/>
    <w:rsid w:val="00C214E6"/>
    <w:rsid w:val="00C2151A"/>
    <w:rsid w:val="00C219FD"/>
    <w:rsid w:val="00C21A38"/>
    <w:rsid w:val="00C21C30"/>
    <w:rsid w:val="00C21EAB"/>
    <w:rsid w:val="00C21F85"/>
    <w:rsid w:val="00C21F8F"/>
    <w:rsid w:val="00C220D3"/>
    <w:rsid w:val="00C224F6"/>
    <w:rsid w:val="00C2251E"/>
    <w:rsid w:val="00C225D6"/>
    <w:rsid w:val="00C22D7F"/>
    <w:rsid w:val="00C22EDF"/>
    <w:rsid w:val="00C23005"/>
    <w:rsid w:val="00C230B7"/>
    <w:rsid w:val="00C2346D"/>
    <w:rsid w:val="00C236F1"/>
    <w:rsid w:val="00C2374B"/>
    <w:rsid w:val="00C23C8C"/>
    <w:rsid w:val="00C23D6B"/>
    <w:rsid w:val="00C23EC1"/>
    <w:rsid w:val="00C23F67"/>
    <w:rsid w:val="00C240BF"/>
    <w:rsid w:val="00C24245"/>
    <w:rsid w:val="00C243EB"/>
    <w:rsid w:val="00C2479D"/>
    <w:rsid w:val="00C247BF"/>
    <w:rsid w:val="00C24B95"/>
    <w:rsid w:val="00C24BE2"/>
    <w:rsid w:val="00C24ED1"/>
    <w:rsid w:val="00C24F1D"/>
    <w:rsid w:val="00C24F6C"/>
    <w:rsid w:val="00C25159"/>
    <w:rsid w:val="00C253E2"/>
    <w:rsid w:val="00C2597D"/>
    <w:rsid w:val="00C25D5F"/>
    <w:rsid w:val="00C26040"/>
    <w:rsid w:val="00C267C6"/>
    <w:rsid w:val="00C26CC7"/>
    <w:rsid w:val="00C26F45"/>
    <w:rsid w:val="00C27030"/>
    <w:rsid w:val="00C271E2"/>
    <w:rsid w:val="00C27518"/>
    <w:rsid w:val="00C275F3"/>
    <w:rsid w:val="00C2784F"/>
    <w:rsid w:val="00C27879"/>
    <w:rsid w:val="00C27C96"/>
    <w:rsid w:val="00C27D1D"/>
    <w:rsid w:val="00C27EC7"/>
    <w:rsid w:val="00C27F24"/>
    <w:rsid w:val="00C301B8"/>
    <w:rsid w:val="00C3023F"/>
    <w:rsid w:val="00C30438"/>
    <w:rsid w:val="00C304C5"/>
    <w:rsid w:val="00C30873"/>
    <w:rsid w:val="00C30902"/>
    <w:rsid w:val="00C30C6B"/>
    <w:rsid w:val="00C30E82"/>
    <w:rsid w:val="00C3105A"/>
    <w:rsid w:val="00C31313"/>
    <w:rsid w:val="00C313F4"/>
    <w:rsid w:val="00C3143C"/>
    <w:rsid w:val="00C31810"/>
    <w:rsid w:val="00C3184B"/>
    <w:rsid w:val="00C318E5"/>
    <w:rsid w:val="00C31D95"/>
    <w:rsid w:val="00C31DE4"/>
    <w:rsid w:val="00C31FBA"/>
    <w:rsid w:val="00C323D1"/>
    <w:rsid w:val="00C32576"/>
    <w:rsid w:val="00C325F9"/>
    <w:rsid w:val="00C32AFA"/>
    <w:rsid w:val="00C32C12"/>
    <w:rsid w:val="00C32C39"/>
    <w:rsid w:val="00C32E32"/>
    <w:rsid w:val="00C33439"/>
    <w:rsid w:val="00C33DAD"/>
    <w:rsid w:val="00C33FEE"/>
    <w:rsid w:val="00C34299"/>
    <w:rsid w:val="00C348C9"/>
    <w:rsid w:val="00C349B8"/>
    <w:rsid w:val="00C34A49"/>
    <w:rsid w:val="00C34BAA"/>
    <w:rsid w:val="00C34F1C"/>
    <w:rsid w:val="00C35048"/>
    <w:rsid w:val="00C35415"/>
    <w:rsid w:val="00C354E3"/>
    <w:rsid w:val="00C355EB"/>
    <w:rsid w:val="00C358AD"/>
    <w:rsid w:val="00C35D6A"/>
    <w:rsid w:val="00C35E06"/>
    <w:rsid w:val="00C35FB5"/>
    <w:rsid w:val="00C36132"/>
    <w:rsid w:val="00C36168"/>
    <w:rsid w:val="00C362BB"/>
    <w:rsid w:val="00C363F9"/>
    <w:rsid w:val="00C36535"/>
    <w:rsid w:val="00C3665A"/>
    <w:rsid w:val="00C367B2"/>
    <w:rsid w:val="00C36A1F"/>
    <w:rsid w:val="00C36B06"/>
    <w:rsid w:val="00C36B2D"/>
    <w:rsid w:val="00C36C89"/>
    <w:rsid w:val="00C36FA9"/>
    <w:rsid w:val="00C3705C"/>
    <w:rsid w:val="00C3708F"/>
    <w:rsid w:val="00C3728B"/>
    <w:rsid w:val="00C373CB"/>
    <w:rsid w:val="00C378EA"/>
    <w:rsid w:val="00C37BC1"/>
    <w:rsid w:val="00C37C88"/>
    <w:rsid w:val="00C37DE9"/>
    <w:rsid w:val="00C37FB8"/>
    <w:rsid w:val="00C401D1"/>
    <w:rsid w:val="00C40483"/>
    <w:rsid w:val="00C407AB"/>
    <w:rsid w:val="00C4090A"/>
    <w:rsid w:val="00C40AAF"/>
    <w:rsid w:val="00C40C50"/>
    <w:rsid w:val="00C40F89"/>
    <w:rsid w:val="00C41007"/>
    <w:rsid w:val="00C410E6"/>
    <w:rsid w:val="00C41695"/>
    <w:rsid w:val="00C41AFB"/>
    <w:rsid w:val="00C41B04"/>
    <w:rsid w:val="00C41D69"/>
    <w:rsid w:val="00C41F7A"/>
    <w:rsid w:val="00C42042"/>
    <w:rsid w:val="00C422FD"/>
    <w:rsid w:val="00C423C7"/>
    <w:rsid w:val="00C4265D"/>
    <w:rsid w:val="00C42674"/>
    <w:rsid w:val="00C428A6"/>
    <w:rsid w:val="00C42D3F"/>
    <w:rsid w:val="00C43613"/>
    <w:rsid w:val="00C43908"/>
    <w:rsid w:val="00C43B4A"/>
    <w:rsid w:val="00C43C91"/>
    <w:rsid w:val="00C43D63"/>
    <w:rsid w:val="00C44069"/>
    <w:rsid w:val="00C443DF"/>
    <w:rsid w:val="00C44476"/>
    <w:rsid w:val="00C4500C"/>
    <w:rsid w:val="00C4504E"/>
    <w:rsid w:val="00C45414"/>
    <w:rsid w:val="00C4545E"/>
    <w:rsid w:val="00C454C8"/>
    <w:rsid w:val="00C4574A"/>
    <w:rsid w:val="00C458FE"/>
    <w:rsid w:val="00C45A54"/>
    <w:rsid w:val="00C45C73"/>
    <w:rsid w:val="00C4629F"/>
    <w:rsid w:val="00C463D5"/>
    <w:rsid w:val="00C4644A"/>
    <w:rsid w:val="00C464FE"/>
    <w:rsid w:val="00C465E1"/>
    <w:rsid w:val="00C467FD"/>
    <w:rsid w:val="00C46812"/>
    <w:rsid w:val="00C46AA1"/>
    <w:rsid w:val="00C471B4"/>
    <w:rsid w:val="00C472B8"/>
    <w:rsid w:val="00C472DF"/>
    <w:rsid w:val="00C4730A"/>
    <w:rsid w:val="00C47503"/>
    <w:rsid w:val="00C4751E"/>
    <w:rsid w:val="00C4751F"/>
    <w:rsid w:val="00C47594"/>
    <w:rsid w:val="00C4762C"/>
    <w:rsid w:val="00C47831"/>
    <w:rsid w:val="00C47A2C"/>
    <w:rsid w:val="00C47AA1"/>
    <w:rsid w:val="00C47C2D"/>
    <w:rsid w:val="00C504E4"/>
    <w:rsid w:val="00C50676"/>
    <w:rsid w:val="00C50A03"/>
    <w:rsid w:val="00C5100D"/>
    <w:rsid w:val="00C512FD"/>
    <w:rsid w:val="00C51307"/>
    <w:rsid w:val="00C51415"/>
    <w:rsid w:val="00C5156D"/>
    <w:rsid w:val="00C517CA"/>
    <w:rsid w:val="00C51864"/>
    <w:rsid w:val="00C51878"/>
    <w:rsid w:val="00C51A6C"/>
    <w:rsid w:val="00C51D23"/>
    <w:rsid w:val="00C523B3"/>
    <w:rsid w:val="00C52470"/>
    <w:rsid w:val="00C524BE"/>
    <w:rsid w:val="00C5277B"/>
    <w:rsid w:val="00C52A5E"/>
    <w:rsid w:val="00C52BC1"/>
    <w:rsid w:val="00C52BF3"/>
    <w:rsid w:val="00C52DED"/>
    <w:rsid w:val="00C52F8C"/>
    <w:rsid w:val="00C531B8"/>
    <w:rsid w:val="00C53708"/>
    <w:rsid w:val="00C53728"/>
    <w:rsid w:val="00C53955"/>
    <w:rsid w:val="00C53A76"/>
    <w:rsid w:val="00C53BAC"/>
    <w:rsid w:val="00C53ED9"/>
    <w:rsid w:val="00C53F6B"/>
    <w:rsid w:val="00C540EA"/>
    <w:rsid w:val="00C54667"/>
    <w:rsid w:val="00C54668"/>
    <w:rsid w:val="00C546C6"/>
    <w:rsid w:val="00C5472E"/>
    <w:rsid w:val="00C548E5"/>
    <w:rsid w:val="00C54A5E"/>
    <w:rsid w:val="00C54DFB"/>
    <w:rsid w:val="00C55124"/>
    <w:rsid w:val="00C552C8"/>
    <w:rsid w:val="00C5537A"/>
    <w:rsid w:val="00C55395"/>
    <w:rsid w:val="00C55402"/>
    <w:rsid w:val="00C5552B"/>
    <w:rsid w:val="00C5579F"/>
    <w:rsid w:val="00C5599F"/>
    <w:rsid w:val="00C55A42"/>
    <w:rsid w:val="00C55BED"/>
    <w:rsid w:val="00C55D4D"/>
    <w:rsid w:val="00C56076"/>
    <w:rsid w:val="00C56A0D"/>
    <w:rsid w:val="00C56E99"/>
    <w:rsid w:val="00C5700F"/>
    <w:rsid w:val="00C57105"/>
    <w:rsid w:val="00C5723C"/>
    <w:rsid w:val="00C576C3"/>
    <w:rsid w:val="00C576E5"/>
    <w:rsid w:val="00C57ADB"/>
    <w:rsid w:val="00C57B31"/>
    <w:rsid w:val="00C57BC4"/>
    <w:rsid w:val="00C57C19"/>
    <w:rsid w:val="00C6020F"/>
    <w:rsid w:val="00C6028D"/>
    <w:rsid w:val="00C60337"/>
    <w:rsid w:val="00C60372"/>
    <w:rsid w:val="00C6054F"/>
    <w:rsid w:val="00C60659"/>
    <w:rsid w:val="00C6066C"/>
    <w:rsid w:val="00C606D0"/>
    <w:rsid w:val="00C606E8"/>
    <w:rsid w:val="00C607C3"/>
    <w:rsid w:val="00C60A10"/>
    <w:rsid w:val="00C60C67"/>
    <w:rsid w:val="00C612E0"/>
    <w:rsid w:val="00C61516"/>
    <w:rsid w:val="00C61646"/>
    <w:rsid w:val="00C616E3"/>
    <w:rsid w:val="00C61856"/>
    <w:rsid w:val="00C618C3"/>
    <w:rsid w:val="00C618D8"/>
    <w:rsid w:val="00C61916"/>
    <w:rsid w:val="00C6191E"/>
    <w:rsid w:val="00C619ED"/>
    <w:rsid w:val="00C61E6A"/>
    <w:rsid w:val="00C62091"/>
    <w:rsid w:val="00C62171"/>
    <w:rsid w:val="00C622CA"/>
    <w:rsid w:val="00C622F5"/>
    <w:rsid w:val="00C62699"/>
    <w:rsid w:val="00C626A2"/>
    <w:rsid w:val="00C62853"/>
    <w:rsid w:val="00C62975"/>
    <w:rsid w:val="00C629C6"/>
    <w:rsid w:val="00C62E15"/>
    <w:rsid w:val="00C62E42"/>
    <w:rsid w:val="00C62EE7"/>
    <w:rsid w:val="00C62F90"/>
    <w:rsid w:val="00C63051"/>
    <w:rsid w:val="00C630A4"/>
    <w:rsid w:val="00C632C3"/>
    <w:rsid w:val="00C636CC"/>
    <w:rsid w:val="00C6371E"/>
    <w:rsid w:val="00C6376F"/>
    <w:rsid w:val="00C6386F"/>
    <w:rsid w:val="00C63F0A"/>
    <w:rsid w:val="00C641E9"/>
    <w:rsid w:val="00C646E0"/>
    <w:rsid w:val="00C646F0"/>
    <w:rsid w:val="00C6492D"/>
    <w:rsid w:val="00C64AF1"/>
    <w:rsid w:val="00C64B75"/>
    <w:rsid w:val="00C64CA8"/>
    <w:rsid w:val="00C64E07"/>
    <w:rsid w:val="00C64F10"/>
    <w:rsid w:val="00C64F4F"/>
    <w:rsid w:val="00C652DA"/>
    <w:rsid w:val="00C65572"/>
    <w:rsid w:val="00C65655"/>
    <w:rsid w:val="00C657DD"/>
    <w:rsid w:val="00C65A5E"/>
    <w:rsid w:val="00C65A69"/>
    <w:rsid w:val="00C65A6A"/>
    <w:rsid w:val="00C65D4F"/>
    <w:rsid w:val="00C65EF5"/>
    <w:rsid w:val="00C66083"/>
    <w:rsid w:val="00C66225"/>
    <w:rsid w:val="00C662B0"/>
    <w:rsid w:val="00C663FE"/>
    <w:rsid w:val="00C6645A"/>
    <w:rsid w:val="00C66482"/>
    <w:rsid w:val="00C66878"/>
    <w:rsid w:val="00C66ABC"/>
    <w:rsid w:val="00C66B3A"/>
    <w:rsid w:val="00C66C0D"/>
    <w:rsid w:val="00C66F28"/>
    <w:rsid w:val="00C67001"/>
    <w:rsid w:val="00C67495"/>
    <w:rsid w:val="00C67507"/>
    <w:rsid w:val="00C70017"/>
    <w:rsid w:val="00C7026C"/>
    <w:rsid w:val="00C7031D"/>
    <w:rsid w:val="00C704C0"/>
    <w:rsid w:val="00C704C9"/>
    <w:rsid w:val="00C70720"/>
    <w:rsid w:val="00C70A1C"/>
    <w:rsid w:val="00C70BC1"/>
    <w:rsid w:val="00C70ED2"/>
    <w:rsid w:val="00C71189"/>
    <w:rsid w:val="00C71824"/>
    <w:rsid w:val="00C71889"/>
    <w:rsid w:val="00C7198A"/>
    <w:rsid w:val="00C71CA7"/>
    <w:rsid w:val="00C72074"/>
    <w:rsid w:val="00C7217C"/>
    <w:rsid w:val="00C7233C"/>
    <w:rsid w:val="00C72406"/>
    <w:rsid w:val="00C7288A"/>
    <w:rsid w:val="00C72BA9"/>
    <w:rsid w:val="00C72C42"/>
    <w:rsid w:val="00C72EDE"/>
    <w:rsid w:val="00C732CF"/>
    <w:rsid w:val="00C7359D"/>
    <w:rsid w:val="00C735BB"/>
    <w:rsid w:val="00C737F5"/>
    <w:rsid w:val="00C73805"/>
    <w:rsid w:val="00C738CF"/>
    <w:rsid w:val="00C73A42"/>
    <w:rsid w:val="00C73DD4"/>
    <w:rsid w:val="00C74147"/>
    <w:rsid w:val="00C74327"/>
    <w:rsid w:val="00C74A6B"/>
    <w:rsid w:val="00C751FF"/>
    <w:rsid w:val="00C75517"/>
    <w:rsid w:val="00C75619"/>
    <w:rsid w:val="00C75861"/>
    <w:rsid w:val="00C75A74"/>
    <w:rsid w:val="00C75C38"/>
    <w:rsid w:val="00C75FB2"/>
    <w:rsid w:val="00C76077"/>
    <w:rsid w:val="00C76228"/>
    <w:rsid w:val="00C764E4"/>
    <w:rsid w:val="00C76AAB"/>
    <w:rsid w:val="00C76BB9"/>
    <w:rsid w:val="00C76C31"/>
    <w:rsid w:val="00C76E57"/>
    <w:rsid w:val="00C77060"/>
    <w:rsid w:val="00C770CE"/>
    <w:rsid w:val="00C7724F"/>
    <w:rsid w:val="00C77281"/>
    <w:rsid w:val="00C777A7"/>
    <w:rsid w:val="00C777E9"/>
    <w:rsid w:val="00C77804"/>
    <w:rsid w:val="00C809A2"/>
    <w:rsid w:val="00C80A72"/>
    <w:rsid w:val="00C80AF3"/>
    <w:rsid w:val="00C810B3"/>
    <w:rsid w:val="00C8110D"/>
    <w:rsid w:val="00C8113C"/>
    <w:rsid w:val="00C81331"/>
    <w:rsid w:val="00C81975"/>
    <w:rsid w:val="00C81BF0"/>
    <w:rsid w:val="00C82540"/>
    <w:rsid w:val="00C825BA"/>
    <w:rsid w:val="00C82624"/>
    <w:rsid w:val="00C82A81"/>
    <w:rsid w:val="00C82EBF"/>
    <w:rsid w:val="00C82ED3"/>
    <w:rsid w:val="00C82FB5"/>
    <w:rsid w:val="00C83405"/>
    <w:rsid w:val="00C83613"/>
    <w:rsid w:val="00C83958"/>
    <w:rsid w:val="00C83F9A"/>
    <w:rsid w:val="00C84324"/>
    <w:rsid w:val="00C8434D"/>
    <w:rsid w:val="00C84898"/>
    <w:rsid w:val="00C848A0"/>
    <w:rsid w:val="00C84A98"/>
    <w:rsid w:val="00C84AE5"/>
    <w:rsid w:val="00C84D61"/>
    <w:rsid w:val="00C84DB5"/>
    <w:rsid w:val="00C850F8"/>
    <w:rsid w:val="00C85145"/>
    <w:rsid w:val="00C85608"/>
    <w:rsid w:val="00C85B6F"/>
    <w:rsid w:val="00C86183"/>
    <w:rsid w:val="00C86245"/>
    <w:rsid w:val="00C86370"/>
    <w:rsid w:val="00C867AE"/>
    <w:rsid w:val="00C867E1"/>
    <w:rsid w:val="00C86D7B"/>
    <w:rsid w:val="00C86EEC"/>
    <w:rsid w:val="00C87318"/>
    <w:rsid w:val="00C875F0"/>
    <w:rsid w:val="00C8771A"/>
    <w:rsid w:val="00C87C1D"/>
    <w:rsid w:val="00C904A8"/>
    <w:rsid w:val="00C90603"/>
    <w:rsid w:val="00C90C5E"/>
    <w:rsid w:val="00C90DA1"/>
    <w:rsid w:val="00C90F11"/>
    <w:rsid w:val="00C90F8D"/>
    <w:rsid w:val="00C9131E"/>
    <w:rsid w:val="00C915A0"/>
    <w:rsid w:val="00C9185A"/>
    <w:rsid w:val="00C919DA"/>
    <w:rsid w:val="00C91A1D"/>
    <w:rsid w:val="00C91AB0"/>
    <w:rsid w:val="00C91BE3"/>
    <w:rsid w:val="00C91D36"/>
    <w:rsid w:val="00C91E07"/>
    <w:rsid w:val="00C91E8F"/>
    <w:rsid w:val="00C91F7A"/>
    <w:rsid w:val="00C9215C"/>
    <w:rsid w:val="00C92222"/>
    <w:rsid w:val="00C92571"/>
    <w:rsid w:val="00C9268B"/>
    <w:rsid w:val="00C9268D"/>
    <w:rsid w:val="00C92715"/>
    <w:rsid w:val="00C92957"/>
    <w:rsid w:val="00C92A7A"/>
    <w:rsid w:val="00C92C0C"/>
    <w:rsid w:val="00C92CFA"/>
    <w:rsid w:val="00C92F0A"/>
    <w:rsid w:val="00C92F77"/>
    <w:rsid w:val="00C930C9"/>
    <w:rsid w:val="00C93579"/>
    <w:rsid w:val="00C936DC"/>
    <w:rsid w:val="00C9371E"/>
    <w:rsid w:val="00C937E9"/>
    <w:rsid w:val="00C93A91"/>
    <w:rsid w:val="00C93C21"/>
    <w:rsid w:val="00C93CB0"/>
    <w:rsid w:val="00C941E2"/>
    <w:rsid w:val="00C942CD"/>
    <w:rsid w:val="00C945E1"/>
    <w:rsid w:val="00C94D06"/>
    <w:rsid w:val="00C95083"/>
    <w:rsid w:val="00C953CB"/>
    <w:rsid w:val="00C95639"/>
    <w:rsid w:val="00C95761"/>
    <w:rsid w:val="00C95ED5"/>
    <w:rsid w:val="00C9653E"/>
    <w:rsid w:val="00C965B2"/>
    <w:rsid w:val="00C966AC"/>
    <w:rsid w:val="00C96859"/>
    <w:rsid w:val="00C969DE"/>
    <w:rsid w:val="00C96B91"/>
    <w:rsid w:val="00C96FEF"/>
    <w:rsid w:val="00C976DF"/>
    <w:rsid w:val="00C9786D"/>
    <w:rsid w:val="00C97969"/>
    <w:rsid w:val="00C97AB4"/>
    <w:rsid w:val="00C97ADC"/>
    <w:rsid w:val="00C97BE8"/>
    <w:rsid w:val="00C97D4F"/>
    <w:rsid w:val="00C97E64"/>
    <w:rsid w:val="00CA0104"/>
    <w:rsid w:val="00CA0188"/>
    <w:rsid w:val="00CA03B4"/>
    <w:rsid w:val="00CA0416"/>
    <w:rsid w:val="00CA04BA"/>
    <w:rsid w:val="00CA0576"/>
    <w:rsid w:val="00CA05D1"/>
    <w:rsid w:val="00CA0719"/>
    <w:rsid w:val="00CA07B2"/>
    <w:rsid w:val="00CA09D3"/>
    <w:rsid w:val="00CA0C34"/>
    <w:rsid w:val="00CA0D7E"/>
    <w:rsid w:val="00CA0E1E"/>
    <w:rsid w:val="00CA0FA1"/>
    <w:rsid w:val="00CA114E"/>
    <w:rsid w:val="00CA115A"/>
    <w:rsid w:val="00CA19B2"/>
    <w:rsid w:val="00CA1B6B"/>
    <w:rsid w:val="00CA1C94"/>
    <w:rsid w:val="00CA23ED"/>
    <w:rsid w:val="00CA2473"/>
    <w:rsid w:val="00CA24D9"/>
    <w:rsid w:val="00CA28A3"/>
    <w:rsid w:val="00CA28C2"/>
    <w:rsid w:val="00CA2B50"/>
    <w:rsid w:val="00CA2EE2"/>
    <w:rsid w:val="00CA326D"/>
    <w:rsid w:val="00CA3AD1"/>
    <w:rsid w:val="00CA3CDD"/>
    <w:rsid w:val="00CA3DCC"/>
    <w:rsid w:val="00CA404F"/>
    <w:rsid w:val="00CA44E4"/>
    <w:rsid w:val="00CA463C"/>
    <w:rsid w:val="00CA474B"/>
    <w:rsid w:val="00CA4760"/>
    <w:rsid w:val="00CA4863"/>
    <w:rsid w:val="00CA4887"/>
    <w:rsid w:val="00CA4C2D"/>
    <w:rsid w:val="00CA4C6A"/>
    <w:rsid w:val="00CA4CE0"/>
    <w:rsid w:val="00CA4E79"/>
    <w:rsid w:val="00CA51C3"/>
    <w:rsid w:val="00CA5B0F"/>
    <w:rsid w:val="00CA5B28"/>
    <w:rsid w:val="00CA5CEA"/>
    <w:rsid w:val="00CA5D19"/>
    <w:rsid w:val="00CA5E54"/>
    <w:rsid w:val="00CA5FAC"/>
    <w:rsid w:val="00CA633D"/>
    <w:rsid w:val="00CA63D9"/>
    <w:rsid w:val="00CA66F5"/>
    <w:rsid w:val="00CA6759"/>
    <w:rsid w:val="00CA76F9"/>
    <w:rsid w:val="00CA7700"/>
    <w:rsid w:val="00CA7755"/>
    <w:rsid w:val="00CA776B"/>
    <w:rsid w:val="00CA7A40"/>
    <w:rsid w:val="00CA7AA0"/>
    <w:rsid w:val="00CA7BAC"/>
    <w:rsid w:val="00CA7D9A"/>
    <w:rsid w:val="00CB0237"/>
    <w:rsid w:val="00CB0447"/>
    <w:rsid w:val="00CB053B"/>
    <w:rsid w:val="00CB0729"/>
    <w:rsid w:val="00CB074A"/>
    <w:rsid w:val="00CB07D9"/>
    <w:rsid w:val="00CB08CA"/>
    <w:rsid w:val="00CB09B7"/>
    <w:rsid w:val="00CB0F1F"/>
    <w:rsid w:val="00CB0F7E"/>
    <w:rsid w:val="00CB102A"/>
    <w:rsid w:val="00CB1792"/>
    <w:rsid w:val="00CB184E"/>
    <w:rsid w:val="00CB202F"/>
    <w:rsid w:val="00CB224B"/>
    <w:rsid w:val="00CB23F7"/>
    <w:rsid w:val="00CB257A"/>
    <w:rsid w:val="00CB2643"/>
    <w:rsid w:val="00CB2775"/>
    <w:rsid w:val="00CB27F6"/>
    <w:rsid w:val="00CB2EB3"/>
    <w:rsid w:val="00CB346D"/>
    <w:rsid w:val="00CB34E4"/>
    <w:rsid w:val="00CB3621"/>
    <w:rsid w:val="00CB373A"/>
    <w:rsid w:val="00CB38DE"/>
    <w:rsid w:val="00CB400B"/>
    <w:rsid w:val="00CB4184"/>
    <w:rsid w:val="00CB41DB"/>
    <w:rsid w:val="00CB421E"/>
    <w:rsid w:val="00CB4505"/>
    <w:rsid w:val="00CB469E"/>
    <w:rsid w:val="00CB486E"/>
    <w:rsid w:val="00CB494A"/>
    <w:rsid w:val="00CB4995"/>
    <w:rsid w:val="00CB4D0B"/>
    <w:rsid w:val="00CB50D9"/>
    <w:rsid w:val="00CB5175"/>
    <w:rsid w:val="00CB52FD"/>
    <w:rsid w:val="00CB5470"/>
    <w:rsid w:val="00CB5653"/>
    <w:rsid w:val="00CB56EC"/>
    <w:rsid w:val="00CB56F2"/>
    <w:rsid w:val="00CB58B3"/>
    <w:rsid w:val="00CB5A25"/>
    <w:rsid w:val="00CB5B93"/>
    <w:rsid w:val="00CB5E6C"/>
    <w:rsid w:val="00CB5F55"/>
    <w:rsid w:val="00CB623C"/>
    <w:rsid w:val="00CB649E"/>
    <w:rsid w:val="00CB66D8"/>
    <w:rsid w:val="00CB6733"/>
    <w:rsid w:val="00CB6737"/>
    <w:rsid w:val="00CB6A01"/>
    <w:rsid w:val="00CB6F0C"/>
    <w:rsid w:val="00CB6FA6"/>
    <w:rsid w:val="00CB7274"/>
    <w:rsid w:val="00CB72C9"/>
    <w:rsid w:val="00CB740D"/>
    <w:rsid w:val="00CB7483"/>
    <w:rsid w:val="00CB78B6"/>
    <w:rsid w:val="00CB7B22"/>
    <w:rsid w:val="00CB7C5C"/>
    <w:rsid w:val="00CB7CCE"/>
    <w:rsid w:val="00CB7DE0"/>
    <w:rsid w:val="00CC0543"/>
    <w:rsid w:val="00CC05D3"/>
    <w:rsid w:val="00CC0609"/>
    <w:rsid w:val="00CC071E"/>
    <w:rsid w:val="00CC083E"/>
    <w:rsid w:val="00CC0F6D"/>
    <w:rsid w:val="00CC1463"/>
    <w:rsid w:val="00CC158D"/>
    <w:rsid w:val="00CC15B0"/>
    <w:rsid w:val="00CC168E"/>
    <w:rsid w:val="00CC1C59"/>
    <w:rsid w:val="00CC1D4B"/>
    <w:rsid w:val="00CC1E96"/>
    <w:rsid w:val="00CC20BF"/>
    <w:rsid w:val="00CC2255"/>
    <w:rsid w:val="00CC237C"/>
    <w:rsid w:val="00CC23B9"/>
    <w:rsid w:val="00CC246F"/>
    <w:rsid w:val="00CC25A8"/>
    <w:rsid w:val="00CC263C"/>
    <w:rsid w:val="00CC2E07"/>
    <w:rsid w:val="00CC2EB4"/>
    <w:rsid w:val="00CC31E7"/>
    <w:rsid w:val="00CC3491"/>
    <w:rsid w:val="00CC3A21"/>
    <w:rsid w:val="00CC3A34"/>
    <w:rsid w:val="00CC3CEC"/>
    <w:rsid w:val="00CC3DC2"/>
    <w:rsid w:val="00CC40EB"/>
    <w:rsid w:val="00CC4179"/>
    <w:rsid w:val="00CC4314"/>
    <w:rsid w:val="00CC4522"/>
    <w:rsid w:val="00CC474D"/>
    <w:rsid w:val="00CC4818"/>
    <w:rsid w:val="00CC49F5"/>
    <w:rsid w:val="00CC4B9D"/>
    <w:rsid w:val="00CC4FFC"/>
    <w:rsid w:val="00CC50F1"/>
    <w:rsid w:val="00CC5105"/>
    <w:rsid w:val="00CC5180"/>
    <w:rsid w:val="00CC51D6"/>
    <w:rsid w:val="00CC5280"/>
    <w:rsid w:val="00CC52A6"/>
    <w:rsid w:val="00CC554A"/>
    <w:rsid w:val="00CC56C5"/>
    <w:rsid w:val="00CC5C70"/>
    <w:rsid w:val="00CC5DBC"/>
    <w:rsid w:val="00CC6139"/>
    <w:rsid w:val="00CC6282"/>
    <w:rsid w:val="00CC6445"/>
    <w:rsid w:val="00CC67AF"/>
    <w:rsid w:val="00CC6897"/>
    <w:rsid w:val="00CC68DC"/>
    <w:rsid w:val="00CC6A7E"/>
    <w:rsid w:val="00CC6E68"/>
    <w:rsid w:val="00CC6F8F"/>
    <w:rsid w:val="00CC745A"/>
    <w:rsid w:val="00CC75FA"/>
    <w:rsid w:val="00CC761A"/>
    <w:rsid w:val="00CC7832"/>
    <w:rsid w:val="00CC783C"/>
    <w:rsid w:val="00CC7B5F"/>
    <w:rsid w:val="00CC7E1E"/>
    <w:rsid w:val="00CC7E5C"/>
    <w:rsid w:val="00CC7FD7"/>
    <w:rsid w:val="00CD0113"/>
    <w:rsid w:val="00CD0127"/>
    <w:rsid w:val="00CD028A"/>
    <w:rsid w:val="00CD052F"/>
    <w:rsid w:val="00CD05A1"/>
    <w:rsid w:val="00CD0667"/>
    <w:rsid w:val="00CD06E4"/>
    <w:rsid w:val="00CD076C"/>
    <w:rsid w:val="00CD07A1"/>
    <w:rsid w:val="00CD087F"/>
    <w:rsid w:val="00CD0AD1"/>
    <w:rsid w:val="00CD0D43"/>
    <w:rsid w:val="00CD0E95"/>
    <w:rsid w:val="00CD13A4"/>
    <w:rsid w:val="00CD18D9"/>
    <w:rsid w:val="00CD19EB"/>
    <w:rsid w:val="00CD1B28"/>
    <w:rsid w:val="00CD1B29"/>
    <w:rsid w:val="00CD1C40"/>
    <w:rsid w:val="00CD1DDE"/>
    <w:rsid w:val="00CD1E87"/>
    <w:rsid w:val="00CD2013"/>
    <w:rsid w:val="00CD208C"/>
    <w:rsid w:val="00CD2242"/>
    <w:rsid w:val="00CD22BE"/>
    <w:rsid w:val="00CD249B"/>
    <w:rsid w:val="00CD2523"/>
    <w:rsid w:val="00CD2634"/>
    <w:rsid w:val="00CD2912"/>
    <w:rsid w:val="00CD291D"/>
    <w:rsid w:val="00CD29E6"/>
    <w:rsid w:val="00CD2E1F"/>
    <w:rsid w:val="00CD2EB3"/>
    <w:rsid w:val="00CD30ED"/>
    <w:rsid w:val="00CD3197"/>
    <w:rsid w:val="00CD31CD"/>
    <w:rsid w:val="00CD34DD"/>
    <w:rsid w:val="00CD34FA"/>
    <w:rsid w:val="00CD3544"/>
    <w:rsid w:val="00CD3AA4"/>
    <w:rsid w:val="00CD3E8B"/>
    <w:rsid w:val="00CD4183"/>
    <w:rsid w:val="00CD41DD"/>
    <w:rsid w:val="00CD47F2"/>
    <w:rsid w:val="00CD4CBA"/>
    <w:rsid w:val="00CD4E1C"/>
    <w:rsid w:val="00CD4EBB"/>
    <w:rsid w:val="00CD511F"/>
    <w:rsid w:val="00CD5571"/>
    <w:rsid w:val="00CD5991"/>
    <w:rsid w:val="00CD5AC0"/>
    <w:rsid w:val="00CD5DA8"/>
    <w:rsid w:val="00CD5DAA"/>
    <w:rsid w:val="00CD5F0A"/>
    <w:rsid w:val="00CD5F4D"/>
    <w:rsid w:val="00CD6331"/>
    <w:rsid w:val="00CD6406"/>
    <w:rsid w:val="00CD64C9"/>
    <w:rsid w:val="00CD6540"/>
    <w:rsid w:val="00CD6663"/>
    <w:rsid w:val="00CD6703"/>
    <w:rsid w:val="00CD6A12"/>
    <w:rsid w:val="00CD6DD4"/>
    <w:rsid w:val="00CD7166"/>
    <w:rsid w:val="00CD7302"/>
    <w:rsid w:val="00CD730B"/>
    <w:rsid w:val="00CD7314"/>
    <w:rsid w:val="00CD7479"/>
    <w:rsid w:val="00CD756A"/>
    <w:rsid w:val="00CD768B"/>
    <w:rsid w:val="00CD7AB0"/>
    <w:rsid w:val="00CD7C05"/>
    <w:rsid w:val="00CD7C10"/>
    <w:rsid w:val="00CD7D8D"/>
    <w:rsid w:val="00CD7EA8"/>
    <w:rsid w:val="00CE00CD"/>
    <w:rsid w:val="00CE014C"/>
    <w:rsid w:val="00CE0627"/>
    <w:rsid w:val="00CE091F"/>
    <w:rsid w:val="00CE09C2"/>
    <w:rsid w:val="00CE0A3E"/>
    <w:rsid w:val="00CE0BE4"/>
    <w:rsid w:val="00CE1128"/>
    <w:rsid w:val="00CE1253"/>
    <w:rsid w:val="00CE1636"/>
    <w:rsid w:val="00CE166F"/>
    <w:rsid w:val="00CE185B"/>
    <w:rsid w:val="00CE19D8"/>
    <w:rsid w:val="00CE1A6A"/>
    <w:rsid w:val="00CE1BFB"/>
    <w:rsid w:val="00CE1EF2"/>
    <w:rsid w:val="00CE1FA2"/>
    <w:rsid w:val="00CE1FB9"/>
    <w:rsid w:val="00CE1FBD"/>
    <w:rsid w:val="00CE2001"/>
    <w:rsid w:val="00CE20D4"/>
    <w:rsid w:val="00CE20D9"/>
    <w:rsid w:val="00CE27B0"/>
    <w:rsid w:val="00CE2C4C"/>
    <w:rsid w:val="00CE2FEC"/>
    <w:rsid w:val="00CE3343"/>
    <w:rsid w:val="00CE3552"/>
    <w:rsid w:val="00CE3589"/>
    <w:rsid w:val="00CE36BE"/>
    <w:rsid w:val="00CE3C8A"/>
    <w:rsid w:val="00CE3D2A"/>
    <w:rsid w:val="00CE436D"/>
    <w:rsid w:val="00CE44A8"/>
    <w:rsid w:val="00CE48FA"/>
    <w:rsid w:val="00CE495C"/>
    <w:rsid w:val="00CE4A53"/>
    <w:rsid w:val="00CE5216"/>
    <w:rsid w:val="00CE52E3"/>
    <w:rsid w:val="00CE54AA"/>
    <w:rsid w:val="00CE5986"/>
    <w:rsid w:val="00CE5DD1"/>
    <w:rsid w:val="00CE5E30"/>
    <w:rsid w:val="00CE5E85"/>
    <w:rsid w:val="00CE5FAA"/>
    <w:rsid w:val="00CE6049"/>
    <w:rsid w:val="00CE63FA"/>
    <w:rsid w:val="00CE6C81"/>
    <w:rsid w:val="00CE6EC3"/>
    <w:rsid w:val="00CE6EEE"/>
    <w:rsid w:val="00CE74F0"/>
    <w:rsid w:val="00CE7572"/>
    <w:rsid w:val="00CE769F"/>
    <w:rsid w:val="00CE76EE"/>
    <w:rsid w:val="00CE7B52"/>
    <w:rsid w:val="00CE7E70"/>
    <w:rsid w:val="00CF0243"/>
    <w:rsid w:val="00CF02A7"/>
    <w:rsid w:val="00CF02FB"/>
    <w:rsid w:val="00CF0455"/>
    <w:rsid w:val="00CF0607"/>
    <w:rsid w:val="00CF0D39"/>
    <w:rsid w:val="00CF0E85"/>
    <w:rsid w:val="00CF0FAC"/>
    <w:rsid w:val="00CF0FFE"/>
    <w:rsid w:val="00CF101F"/>
    <w:rsid w:val="00CF132F"/>
    <w:rsid w:val="00CF1558"/>
    <w:rsid w:val="00CF1565"/>
    <w:rsid w:val="00CF162A"/>
    <w:rsid w:val="00CF177B"/>
    <w:rsid w:val="00CF192F"/>
    <w:rsid w:val="00CF1A06"/>
    <w:rsid w:val="00CF1B11"/>
    <w:rsid w:val="00CF1DF8"/>
    <w:rsid w:val="00CF1F60"/>
    <w:rsid w:val="00CF1FD6"/>
    <w:rsid w:val="00CF203C"/>
    <w:rsid w:val="00CF2145"/>
    <w:rsid w:val="00CF2348"/>
    <w:rsid w:val="00CF2501"/>
    <w:rsid w:val="00CF255C"/>
    <w:rsid w:val="00CF2631"/>
    <w:rsid w:val="00CF27A9"/>
    <w:rsid w:val="00CF27DB"/>
    <w:rsid w:val="00CF281D"/>
    <w:rsid w:val="00CF29EB"/>
    <w:rsid w:val="00CF2D06"/>
    <w:rsid w:val="00CF2F1C"/>
    <w:rsid w:val="00CF3014"/>
    <w:rsid w:val="00CF34E4"/>
    <w:rsid w:val="00CF36BD"/>
    <w:rsid w:val="00CF3769"/>
    <w:rsid w:val="00CF3C30"/>
    <w:rsid w:val="00CF504E"/>
    <w:rsid w:val="00CF5202"/>
    <w:rsid w:val="00CF539A"/>
    <w:rsid w:val="00CF547E"/>
    <w:rsid w:val="00CF5895"/>
    <w:rsid w:val="00CF5954"/>
    <w:rsid w:val="00CF59F4"/>
    <w:rsid w:val="00CF5A41"/>
    <w:rsid w:val="00CF5B65"/>
    <w:rsid w:val="00CF5BD9"/>
    <w:rsid w:val="00CF5D8A"/>
    <w:rsid w:val="00CF5D99"/>
    <w:rsid w:val="00CF5F23"/>
    <w:rsid w:val="00CF6013"/>
    <w:rsid w:val="00CF62EA"/>
    <w:rsid w:val="00CF64BB"/>
    <w:rsid w:val="00CF650A"/>
    <w:rsid w:val="00CF6BE8"/>
    <w:rsid w:val="00CF6D16"/>
    <w:rsid w:val="00CF6D5A"/>
    <w:rsid w:val="00CF6DBF"/>
    <w:rsid w:val="00CF6E1E"/>
    <w:rsid w:val="00CF6F7C"/>
    <w:rsid w:val="00CF6FF5"/>
    <w:rsid w:val="00CF703E"/>
    <w:rsid w:val="00CF7345"/>
    <w:rsid w:val="00CF741D"/>
    <w:rsid w:val="00CF7A1A"/>
    <w:rsid w:val="00CF7B79"/>
    <w:rsid w:val="00CF7BFD"/>
    <w:rsid w:val="00CF7D09"/>
    <w:rsid w:val="00CF7E82"/>
    <w:rsid w:val="00D00051"/>
    <w:rsid w:val="00D00195"/>
    <w:rsid w:val="00D00243"/>
    <w:rsid w:val="00D0063E"/>
    <w:rsid w:val="00D0064D"/>
    <w:rsid w:val="00D00664"/>
    <w:rsid w:val="00D0075D"/>
    <w:rsid w:val="00D007E4"/>
    <w:rsid w:val="00D008E3"/>
    <w:rsid w:val="00D00993"/>
    <w:rsid w:val="00D0099E"/>
    <w:rsid w:val="00D009AA"/>
    <w:rsid w:val="00D009BA"/>
    <w:rsid w:val="00D00B45"/>
    <w:rsid w:val="00D00B7D"/>
    <w:rsid w:val="00D00C3D"/>
    <w:rsid w:val="00D00CA9"/>
    <w:rsid w:val="00D00DC1"/>
    <w:rsid w:val="00D0114A"/>
    <w:rsid w:val="00D015EF"/>
    <w:rsid w:val="00D01688"/>
    <w:rsid w:val="00D016DD"/>
    <w:rsid w:val="00D01865"/>
    <w:rsid w:val="00D01AD7"/>
    <w:rsid w:val="00D01DEF"/>
    <w:rsid w:val="00D01E2C"/>
    <w:rsid w:val="00D01E95"/>
    <w:rsid w:val="00D01F9A"/>
    <w:rsid w:val="00D02187"/>
    <w:rsid w:val="00D02198"/>
    <w:rsid w:val="00D0238E"/>
    <w:rsid w:val="00D0239F"/>
    <w:rsid w:val="00D0325B"/>
    <w:rsid w:val="00D03BC3"/>
    <w:rsid w:val="00D03C56"/>
    <w:rsid w:val="00D03E40"/>
    <w:rsid w:val="00D04064"/>
    <w:rsid w:val="00D04154"/>
    <w:rsid w:val="00D04509"/>
    <w:rsid w:val="00D047B6"/>
    <w:rsid w:val="00D04ABA"/>
    <w:rsid w:val="00D04AEC"/>
    <w:rsid w:val="00D05033"/>
    <w:rsid w:val="00D05038"/>
    <w:rsid w:val="00D050ED"/>
    <w:rsid w:val="00D05236"/>
    <w:rsid w:val="00D05591"/>
    <w:rsid w:val="00D055E1"/>
    <w:rsid w:val="00D0579D"/>
    <w:rsid w:val="00D057AE"/>
    <w:rsid w:val="00D05F13"/>
    <w:rsid w:val="00D05F34"/>
    <w:rsid w:val="00D0621E"/>
    <w:rsid w:val="00D062BC"/>
    <w:rsid w:val="00D0659A"/>
    <w:rsid w:val="00D065A0"/>
    <w:rsid w:val="00D0712F"/>
    <w:rsid w:val="00D07276"/>
    <w:rsid w:val="00D0742A"/>
    <w:rsid w:val="00D07497"/>
    <w:rsid w:val="00D07532"/>
    <w:rsid w:val="00D07682"/>
    <w:rsid w:val="00D077B3"/>
    <w:rsid w:val="00D07841"/>
    <w:rsid w:val="00D07984"/>
    <w:rsid w:val="00D07D37"/>
    <w:rsid w:val="00D07D5C"/>
    <w:rsid w:val="00D07F1F"/>
    <w:rsid w:val="00D10049"/>
    <w:rsid w:val="00D1010F"/>
    <w:rsid w:val="00D102D3"/>
    <w:rsid w:val="00D102E3"/>
    <w:rsid w:val="00D1065D"/>
    <w:rsid w:val="00D1082E"/>
    <w:rsid w:val="00D10B05"/>
    <w:rsid w:val="00D10D3C"/>
    <w:rsid w:val="00D10D79"/>
    <w:rsid w:val="00D10E13"/>
    <w:rsid w:val="00D10EF8"/>
    <w:rsid w:val="00D10FFE"/>
    <w:rsid w:val="00D110A2"/>
    <w:rsid w:val="00D1136C"/>
    <w:rsid w:val="00D11546"/>
    <w:rsid w:val="00D118DD"/>
    <w:rsid w:val="00D11A1C"/>
    <w:rsid w:val="00D11BF4"/>
    <w:rsid w:val="00D11F64"/>
    <w:rsid w:val="00D12070"/>
    <w:rsid w:val="00D1221A"/>
    <w:rsid w:val="00D1221D"/>
    <w:rsid w:val="00D123A9"/>
    <w:rsid w:val="00D123EC"/>
    <w:rsid w:val="00D12697"/>
    <w:rsid w:val="00D127AE"/>
    <w:rsid w:val="00D12B64"/>
    <w:rsid w:val="00D12B78"/>
    <w:rsid w:val="00D12D44"/>
    <w:rsid w:val="00D13416"/>
    <w:rsid w:val="00D1366E"/>
    <w:rsid w:val="00D136E4"/>
    <w:rsid w:val="00D13839"/>
    <w:rsid w:val="00D13B8E"/>
    <w:rsid w:val="00D13C9C"/>
    <w:rsid w:val="00D13CA8"/>
    <w:rsid w:val="00D13D6E"/>
    <w:rsid w:val="00D13FA5"/>
    <w:rsid w:val="00D14003"/>
    <w:rsid w:val="00D14040"/>
    <w:rsid w:val="00D14131"/>
    <w:rsid w:val="00D1414C"/>
    <w:rsid w:val="00D142FA"/>
    <w:rsid w:val="00D14824"/>
    <w:rsid w:val="00D148DD"/>
    <w:rsid w:val="00D14E4A"/>
    <w:rsid w:val="00D1520E"/>
    <w:rsid w:val="00D154B4"/>
    <w:rsid w:val="00D15578"/>
    <w:rsid w:val="00D158A2"/>
    <w:rsid w:val="00D15E75"/>
    <w:rsid w:val="00D160C6"/>
    <w:rsid w:val="00D161E6"/>
    <w:rsid w:val="00D16208"/>
    <w:rsid w:val="00D16440"/>
    <w:rsid w:val="00D166A4"/>
    <w:rsid w:val="00D16A92"/>
    <w:rsid w:val="00D16B2F"/>
    <w:rsid w:val="00D16C40"/>
    <w:rsid w:val="00D16E07"/>
    <w:rsid w:val="00D174E8"/>
    <w:rsid w:val="00D1788B"/>
    <w:rsid w:val="00D178EB"/>
    <w:rsid w:val="00D17923"/>
    <w:rsid w:val="00D179CA"/>
    <w:rsid w:val="00D17B98"/>
    <w:rsid w:val="00D17DB7"/>
    <w:rsid w:val="00D202EB"/>
    <w:rsid w:val="00D20878"/>
    <w:rsid w:val="00D2089A"/>
    <w:rsid w:val="00D208BA"/>
    <w:rsid w:val="00D20933"/>
    <w:rsid w:val="00D209FF"/>
    <w:rsid w:val="00D20C9E"/>
    <w:rsid w:val="00D21913"/>
    <w:rsid w:val="00D2193A"/>
    <w:rsid w:val="00D2196A"/>
    <w:rsid w:val="00D21B70"/>
    <w:rsid w:val="00D21C40"/>
    <w:rsid w:val="00D21C72"/>
    <w:rsid w:val="00D21F3F"/>
    <w:rsid w:val="00D220C7"/>
    <w:rsid w:val="00D221FA"/>
    <w:rsid w:val="00D225E7"/>
    <w:rsid w:val="00D229C9"/>
    <w:rsid w:val="00D22D1B"/>
    <w:rsid w:val="00D22DEE"/>
    <w:rsid w:val="00D22E3B"/>
    <w:rsid w:val="00D22E7A"/>
    <w:rsid w:val="00D22FAE"/>
    <w:rsid w:val="00D23458"/>
    <w:rsid w:val="00D234CA"/>
    <w:rsid w:val="00D23750"/>
    <w:rsid w:val="00D23769"/>
    <w:rsid w:val="00D2381F"/>
    <w:rsid w:val="00D2390F"/>
    <w:rsid w:val="00D239AB"/>
    <w:rsid w:val="00D23A25"/>
    <w:rsid w:val="00D23D17"/>
    <w:rsid w:val="00D23E67"/>
    <w:rsid w:val="00D241EF"/>
    <w:rsid w:val="00D24287"/>
    <w:rsid w:val="00D2434F"/>
    <w:rsid w:val="00D24364"/>
    <w:rsid w:val="00D244FC"/>
    <w:rsid w:val="00D24586"/>
    <w:rsid w:val="00D2475A"/>
    <w:rsid w:val="00D24874"/>
    <w:rsid w:val="00D24920"/>
    <w:rsid w:val="00D24D69"/>
    <w:rsid w:val="00D24F74"/>
    <w:rsid w:val="00D25094"/>
    <w:rsid w:val="00D250D2"/>
    <w:rsid w:val="00D250E9"/>
    <w:rsid w:val="00D250EF"/>
    <w:rsid w:val="00D25168"/>
    <w:rsid w:val="00D256E6"/>
    <w:rsid w:val="00D25773"/>
    <w:rsid w:val="00D257D5"/>
    <w:rsid w:val="00D25CBB"/>
    <w:rsid w:val="00D25CCA"/>
    <w:rsid w:val="00D26150"/>
    <w:rsid w:val="00D2641F"/>
    <w:rsid w:val="00D265C6"/>
    <w:rsid w:val="00D268BE"/>
    <w:rsid w:val="00D2691A"/>
    <w:rsid w:val="00D26C51"/>
    <w:rsid w:val="00D26F6D"/>
    <w:rsid w:val="00D26F78"/>
    <w:rsid w:val="00D271AC"/>
    <w:rsid w:val="00D27608"/>
    <w:rsid w:val="00D27609"/>
    <w:rsid w:val="00D27950"/>
    <w:rsid w:val="00D279BB"/>
    <w:rsid w:val="00D27AAA"/>
    <w:rsid w:val="00D27C35"/>
    <w:rsid w:val="00D300DA"/>
    <w:rsid w:val="00D30132"/>
    <w:rsid w:val="00D303EE"/>
    <w:rsid w:val="00D306B6"/>
    <w:rsid w:val="00D307D9"/>
    <w:rsid w:val="00D30DEE"/>
    <w:rsid w:val="00D30E78"/>
    <w:rsid w:val="00D31170"/>
    <w:rsid w:val="00D311E7"/>
    <w:rsid w:val="00D31348"/>
    <w:rsid w:val="00D314AD"/>
    <w:rsid w:val="00D31582"/>
    <w:rsid w:val="00D31BDD"/>
    <w:rsid w:val="00D32151"/>
    <w:rsid w:val="00D324FC"/>
    <w:rsid w:val="00D32558"/>
    <w:rsid w:val="00D327A8"/>
    <w:rsid w:val="00D32912"/>
    <w:rsid w:val="00D32A27"/>
    <w:rsid w:val="00D32F54"/>
    <w:rsid w:val="00D3320F"/>
    <w:rsid w:val="00D33339"/>
    <w:rsid w:val="00D3343E"/>
    <w:rsid w:val="00D3346E"/>
    <w:rsid w:val="00D334D5"/>
    <w:rsid w:val="00D33919"/>
    <w:rsid w:val="00D33AAD"/>
    <w:rsid w:val="00D33B8B"/>
    <w:rsid w:val="00D34189"/>
    <w:rsid w:val="00D343D7"/>
    <w:rsid w:val="00D34589"/>
    <w:rsid w:val="00D34757"/>
    <w:rsid w:val="00D349D7"/>
    <w:rsid w:val="00D34CAB"/>
    <w:rsid w:val="00D34FE4"/>
    <w:rsid w:val="00D35223"/>
    <w:rsid w:val="00D3540D"/>
    <w:rsid w:val="00D3552E"/>
    <w:rsid w:val="00D3553D"/>
    <w:rsid w:val="00D3576B"/>
    <w:rsid w:val="00D35B03"/>
    <w:rsid w:val="00D35C4C"/>
    <w:rsid w:val="00D35C98"/>
    <w:rsid w:val="00D35FD5"/>
    <w:rsid w:val="00D361A7"/>
    <w:rsid w:val="00D36A01"/>
    <w:rsid w:val="00D36A0C"/>
    <w:rsid w:val="00D36ADA"/>
    <w:rsid w:val="00D36E44"/>
    <w:rsid w:val="00D36F14"/>
    <w:rsid w:val="00D3736D"/>
    <w:rsid w:val="00D37550"/>
    <w:rsid w:val="00D376ED"/>
    <w:rsid w:val="00D37715"/>
    <w:rsid w:val="00D37A73"/>
    <w:rsid w:val="00D37B46"/>
    <w:rsid w:val="00D37E1D"/>
    <w:rsid w:val="00D40096"/>
    <w:rsid w:val="00D400B0"/>
    <w:rsid w:val="00D4030A"/>
    <w:rsid w:val="00D403C0"/>
    <w:rsid w:val="00D403EB"/>
    <w:rsid w:val="00D4075C"/>
    <w:rsid w:val="00D40CD6"/>
    <w:rsid w:val="00D40CE6"/>
    <w:rsid w:val="00D40E31"/>
    <w:rsid w:val="00D40F7B"/>
    <w:rsid w:val="00D412B0"/>
    <w:rsid w:val="00D417F7"/>
    <w:rsid w:val="00D41A0D"/>
    <w:rsid w:val="00D41BC7"/>
    <w:rsid w:val="00D41BE4"/>
    <w:rsid w:val="00D41C06"/>
    <w:rsid w:val="00D41C33"/>
    <w:rsid w:val="00D41D0D"/>
    <w:rsid w:val="00D41E30"/>
    <w:rsid w:val="00D41F5B"/>
    <w:rsid w:val="00D41FF4"/>
    <w:rsid w:val="00D420E8"/>
    <w:rsid w:val="00D421B7"/>
    <w:rsid w:val="00D4237A"/>
    <w:rsid w:val="00D42531"/>
    <w:rsid w:val="00D42928"/>
    <w:rsid w:val="00D42AB7"/>
    <w:rsid w:val="00D42D74"/>
    <w:rsid w:val="00D42ECD"/>
    <w:rsid w:val="00D42FF7"/>
    <w:rsid w:val="00D43376"/>
    <w:rsid w:val="00D43385"/>
    <w:rsid w:val="00D4340D"/>
    <w:rsid w:val="00D435F9"/>
    <w:rsid w:val="00D43693"/>
    <w:rsid w:val="00D43856"/>
    <w:rsid w:val="00D438FB"/>
    <w:rsid w:val="00D43B17"/>
    <w:rsid w:val="00D43EF4"/>
    <w:rsid w:val="00D43EFA"/>
    <w:rsid w:val="00D44230"/>
    <w:rsid w:val="00D442C7"/>
    <w:rsid w:val="00D446BC"/>
    <w:rsid w:val="00D44A80"/>
    <w:rsid w:val="00D44B15"/>
    <w:rsid w:val="00D44B2B"/>
    <w:rsid w:val="00D44B5D"/>
    <w:rsid w:val="00D44EF0"/>
    <w:rsid w:val="00D4517E"/>
    <w:rsid w:val="00D453A0"/>
    <w:rsid w:val="00D4543F"/>
    <w:rsid w:val="00D45502"/>
    <w:rsid w:val="00D45508"/>
    <w:rsid w:val="00D457C5"/>
    <w:rsid w:val="00D4589B"/>
    <w:rsid w:val="00D45CA1"/>
    <w:rsid w:val="00D45EFB"/>
    <w:rsid w:val="00D460EB"/>
    <w:rsid w:val="00D463E2"/>
    <w:rsid w:val="00D4659C"/>
    <w:rsid w:val="00D46635"/>
    <w:rsid w:val="00D468D0"/>
    <w:rsid w:val="00D46AE2"/>
    <w:rsid w:val="00D46C8F"/>
    <w:rsid w:val="00D46D9B"/>
    <w:rsid w:val="00D47073"/>
    <w:rsid w:val="00D478EA"/>
    <w:rsid w:val="00D479E4"/>
    <w:rsid w:val="00D47AEB"/>
    <w:rsid w:val="00D47CBD"/>
    <w:rsid w:val="00D47DD7"/>
    <w:rsid w:val="00D502A6"/>
    <w:rsid w:val="00D502C1"/>
    <w:rsid w:val="00D502DD"/>
    <w:rsid w:val="00D503A9"/>
    <w:rsid w:val="00D503FC"/>
    <w:rsid w:val="00D50674"/>
    <w:rsid w:val="00D506D1"/>
    <w:rsid w:val="00D506F5"/>
    <w:rsid w:val="00D50892"/>
    <w:rsid w:val="00D508A7"/>
    <w:rsid w:val="00D50AD0"/>
    <w:rsid w:val="00D50B35"/>
    <w:rsid w:val="00D50B54"/>
    <w:rsid w:val="00D50CCE"/>
    <w:rsid w:val="00D50F49"/>
    <w:rsid w:val="00D50FEC"/>
    <w:rsid w:val="00D51AB2"/>
    <w:rsid w:val="00D51D3E"/>
    <w:rsid w:val="00D51D9F"/>
    <w:rsid w:val="00D51E83"/>
    <w:rsid w:val="00D51ED2"/>
    <w:rsid w:val="00D51F0A"/>
    <w:rsid w:val="00D5200B"/>
    <w:rsid w:val="00D52478"/>
    <w:rsid w:val="00D524BE"/>
    <w:rsid w:val="00D52956"/>
    <w:rsid w:val="00D52BBC"/>
    <w:rsid w:val="00D52C38"/>
    <w:rsid w:val="00D52CE1"/>
    <w:rsid w:val="00D52CE3"/>
    <w:rsid w:val="00D53235"/>
    <w:rsid w:val="00D536A4"/>
    <w:rsid w:val="00D5392B"/>
    <w:rsid w:val="00D53980"/>
    <w:rsid w:val="00D53989"/>
    <w:rsid w:val="00D5399E"/>
    <w:rsid w:val="00D539DD"/>
    <w:rsid w:val="00D53E5D"/>
    <w:rsid w:val="00D53FF4"/>
    <w:rsid w:val="00D542D2"/>
    <w:rsid w:val="00D5468E"/>
    <w:rsid w:val="00D54BF9"/>
    <w:rsid w:val="00D54E5B"/>
    <w:rsid w:val="00D5500B"/>
    <w:rsid w:val="00D5547D"/>
    <w:rsid w:val="00D5548E"/>
    <w:rsid w:val="00D55572"/>
    <w:rsid w:val="00D5560D"/>
    <w:rsid w:val="00D557C6"/>
    <w:rsid w:val="00D557EE"/>
    <w:rsid w:val="00D5583B"/>
    <w:rsid w:val="00D55A68"/>
    <w:rsid w:val="00D55AA4"/>
    <w:rsid w:val="00D55AB3"/>
    <w:rsid w:val="00D56090"/>
    <w:rsid w:val="00D5632A"/>
    <w:rsid w:val="00D5640B"/>
    <w:rsid w:val="00D56C12"/>
    <w:rsid w:val="00D56CB2"/>
    <w:rsid w:val="00D56DC8"/>
    <w:rsid w:val="00D57040"/>
    <w:rsid w:val="00D57446"/>
    <w:rsid w:val="00D576BC"/>
    <w:rsid w:val="00D579A6"/>
    <w:rsid w:val="00D579CC"/>
    <w:rsid w:val="00D57A73"/>
    <w:rsid w:val="00D57D22"/>
    <w:rsid w:val="00D57E97"/>
    <w:rsid w:val="00D60235"/>
    <w:rsid w:val="00D60339"/>
    <w:rsid w:val="00D6035A"/>
    <w:rsid w:val="00D6053E"/>
    <w:rsid w:val="00D60564"/>
    <w:rsid w:val="00D6083C"/>
    <w:rsid w:val="00D6088B"/>
    <w:rsid w:val="00D609F9"/>
    <w:rsid w:val="00D60C5B"/>
    <w:rsid w:val="00D60EED"/>
    <w:rsid w:val="00D60F21"/>
    <w:rsid w:val="00D615AD"/>
    <w:rsid w:val="00D617CC"/>
    <w:rsid w:val="00D61820"/>
    <w:rsid w:val="00D6183D"/>
    <w:rsid w:val="00D61A02"/>
    <w:rsid w:val="00D62208"/>
    <w:rsid w:val="00D625F2"/>
    <w:rsid w:val="00D62AAF"/>
    <w:rsid w:val="00D62B8A"/>
    <w:rsid w:val="00D62FE8"/>
    <w:rsid w:val="00D634A7"/>
    <w:rsid w:val="00D634E9"/>
    <w:rsid w:val="00D636AA"/>
    <w:rsid w:val="00D63CDA"/>
    <w:rsid w:val="00D643C5"/>
    <w:rsid w:val="00D64791"/>
    <w:rsid w:val="00D647D7"/>
    <w:rsid w:val="00D6480C"/>
    <w:rsid w:val="00D64A46"/>
    <w:rsid w:val="00D64B5A"/>
    <w:rsid w:val="00D64CE8"/>
    <w:rsid w:val="00D64F53"/>
    <w:rsid w:val="00D65064"/>
    <w:rsid w:val="00D6529E"/>
    <w:rsid w:val="00D654CB"/>
    <w:rsid w:val="00D6563A"/>
    <w:rsid w:val="00D656B9"/>
    <w:rsid w:val="00D65BA6"/>
    <w:rsid w:val="00D65E4D"/>
    <w:rsid w:val="00D65FDD"/>
    <w:rsid w:val="00D66132"/>
    <w:rsid w:val="00D66287"/>
    <w:rsid w:val="00D662C9"/>
    <w:rsid w:val="00D665A3"/>
    <w:rsid w:val="00D66CDA"/>
    <w:rsid w:val="00D66CDB"/>
    <w:rsid w:val="00D66EFF"/>
    <w:rsid w:val="00D66F39"/>
    <w:rsid w:val="00D67547"/>
    <w:rsid w:val="00D67710"/>
    <w:rsid w:val="00D677CA"/>
    <w:rsid w:val="00D67C18"/>
    <w:rsid w:val="00D70039"/>
    <w:rsid w:val="00D70318"/>
    <w:rsid w:val="00D70604"/>
    <w:rsid w:val="00D70631"/>
    <w:rsid w:val="00D707BE"/>
    <w:rsid w:val="00D708BC"/>
    <w:rsid w:val="00D709D6"/>
    <w:rsid w:val="00D70B9C"/>
    <w:rsid w:val="00D70C68"/>
    <w:rsid w:val="00D70C6E"/>
    <w:rsid w:val="00D70E1F"/>
    <w:rsid w:val="00D70E33"/>
    <w:rsid w:val="00D70EFA"/>
    <w:rsid w:val="00D70FE0"/>
    <w:rsid w:val="00D711FF"/>
    <w:rsid w:val="00D714AE"/>
    <w:rsid w:val="00D7165F"/>
    <w:rsid w:val="00D717C5"/>
    <w:rsid w:val="00D71E28"/>
    <w:rsid w:val="00D720C6"/>
    <w:rsid w:val="00D724E2"/>
    <w:rsid w:val="00D72500"/>
    <w:rsid w:val="00D72826"/>
    <w:rsid w:val="00D728E2"/>
    <w:rsid w:val="00D729DC"/>
    <w:rsid w:val="00D72B1F"/>
    <w:rsid w:val="00D72C29"/>
    <w:rsid w:val="00D72D1D"/>
    <w:rsid w:val="00D73108"/>
    <w:rsid w:val="00D7312B"/>
    <w:rsid w:val="00D731EB"/>
    <w:rsid w:val="00D7358E"/>
    <w:rsid w:val="00D7392E"/>
    <w:rsid w:val="00D740D6"/>
    <w:rsid w:val="00D740DB"/>
    <w:rsid w:val="00D7476D"/>
    <w:rsid w:val="00D74933"/>
    <w:rsid w:val="00D749DD"/>
    <w:rsid w:val="00D74A63"/>
    <w:rsid w:val="00D74AF0"/>
    <w:rsid w:val="00D74BDE"/>
    <w:rsid w:val="00D74D0C"/>
    <w:rsid w:val="00D750BA"/>
    <w:rsid w:val="00D75160"/>
    <w:rsid w:val="00D755E7"/>
    <w:rsid w:val="00D756AA"/>
    <w:rsid w:val="00D757BD"/>
    <w:rsid w:val="00D75843"/>
    <w:rsid w:val="00D75DE5"/>
    <w:rsid w:val="00D75F6F"/>
    <w:rsid w:val="00D75FA2"/>
    <w:rsid w:val="00D76097"/>
    <w:rsid w:val="00D765A0"/>
    <w:rsid w:val="00D765BC"/>
    <w:rsid w:val="00D765D0"/>
    <w:rsid w:val="00D765EC"/>
    <w:rsid w:val="00D76709"/>
    <w:rsid w:val="00D767A0"/>
    <w:rsid w:val="00D767EA"/>
    <w:rsid w:val="00D7682A"/>
    <w:rsid w:val="00D76E51"/>
    <w:rsid w:val="00D7703D"/>
    <w:rsid w:val="00D776D4"/>
    <w:rsid w:val="00D77800"/>
    <w:rsid w:val="00D779F9"/>
    <w:rsid w:val="00D77BBF"/>
    <w:rsid w:val="00D80271"/>
    <w:rsid w:val="00D8040B"/>
    <w:rsid w:val="00D80567"/>
    <w:rsid w:val="00D80889"/>
    <w:rsid w:val="00D80912"/>
    <w:rsid w:val="00D809AE"/>
    <w:rsid w:val="00D80AF6"/>
    <w:rsid w:val="00D80C3D"/>
    <w:rsid w:val="00D80FB0"/>
    <w:rsid w:val="00D812B7"/>
    <w:rsid w:val="00D81534"/>
    <w:rsid w:val="00D81550"/>
    <w:rsid w:val="00D818DD"/>
    <w:rsid w:val="00D81DF1"/>
    <w:rsid w:val="00D820EF"/>
    <w:rsid w:val="00D8231D"/>
    <w:rsid w:val="00D82569"/>
    <w:rsid w:val="00D825DD"/>
    <w:rsid w:val="00D82658"/>
    <w:rsid w:val="00D8297C"/>
    <w:rsid w:val="00D82A80"/>
    <w:rsid w:val="00D82ADB"/>
    <w:rsid w:val="00D831DD"/>
    <w:rsid w:val="00D832A1"/>
    <w:rsid w:val="00D832D6"/>
    <w:rsid w:val="00D83420"/>
    <w:rsid w:val="00D83753"/>
    <w:rsid w:val="00D83BC6"/>
    <w:rsid w:val="00D84463"/>
    <w:rsid w:val="00D8455B"/>
    <w:rsid w:val="00D845B3"/>
    <w:rsid w:val="00D8461A"/>
    <w:rsid w:val="00D849DC"/>
    <w:rsid w:val="00D84A7E"/>
    <w:rsid w:val="00D84C1F"/>
    <w:rsid w:val="00D84E7E"/>
    <w:rsid w:val="00D850FE"/>
    <w:rsid w:val="00D85500"/>
    <w:rsid w:val="00D8562E"/>
    <w:rsid w:val="00D85B61"/>
    <w:rsid w:val="00D85E9D"/>
    <w:rsid w:val="00D85FDD"/>
    <w:rsid w:val="00D862D7"/>
    <w:rsid w:val="00D8637A"/>
    <w:rsid w:val="00D866CC"/>
    <w:rsid w:val="00D86929"/>
    <w:rsid w:val="00D869CB"/>
    <w:rsid w:val="00D86AF6"/>
    <w:rsid w:val="00D86B69"/>
    <w:rsid w:val="00D86CDC"/>
    <w:rsid w:val="00D86D0A"/>
    <w:rsid w:val="00D870FF"/>
    <w:rsid w:val="00D874B9"/>
    <w:rsid w:val="00D879F1"/>
    <w:rsid w:val="00D87A10"/>
    <w:rsid w:val="00D87A6E"/>
    <w:rsid w:val="00D87EAA"/>
    <w:rsid w:val="00D900EF"/>
    <w:rsid w:val="00D904CB"/>
    <w:rsid w:val="00D904D9"/>
    <w:rsid w:val="00D90555"/>
    <w:rsid w:val="00D90656"/>
    <w:rsid w:val="00D907B3"/>
    <w:rsid w:val="00D9089A"/>
    <w:rsid w:val="00D90932"/>
    <w:rsid w:val="00D90C91"/>
    <w:rsid w:val="00D90CD2"/>
    <w:rsid w:val="00D912E6"/>
    <w:rsid w:val="00D913F5"/>
    <w:rsid w:val="00D916BF"/>
    <w:rsid w:val="00D917F7"/>
    <w:rsid w:val="00D91D74"/>
    <w:rsid w:val="00D91E52"/>
    <w:rsid w:val="00D91E68"/>
    <w:rsid w:val="00D9201D"/>
    <w:rsid w:val="00D92217"/>
    <w:rsid w:val="00D925AB"/>
    <w:rsid w:val="00D92877"/>
    <w:rsid w:val="00D9294C"/>
    <w:rsid w:val="00D92A24"/>
    <w:rsid w:val="00D92BFF"/>
    <w:rsid w:val="00D92DE5"/>
    <w:rsid w:val="00D92F09"/>
    <w:rsid w:val="00D930B9"/>
    <w:rsid w:val="00D93541"/>
    <w:rsid w:val="00D937F1"/>
    <w:rsid w:val="00D93CDB"/>
    <w:rsid w:val="00D93FD0"/>
    <w:rsid w:val="00D940D6"/>
    <w:rsid w:val="00D94161"/>
    <w:rsid w:val="00D941A4"/>
    <w:rsid w:val="00D94390"/>
    <w:rsid w:val="00D944F1"/>
    <w:rsid w:val="00D9471D"/>
    <w:rsid w:val="00D9479E"/>
    <w:rsid w:val="00D94A2A"/>
    <w:rsid w:val="00D94A4A"/>
    <w:rsid w:val="00D94A8C"/>
    <w:rsid w:val="00D94BA6"/>
    <w:rsid w:val="00D94C8A"/>
    <w:rsid w:val="00D94E8F"/>
    <w:rsid w:val="00D94F9F"/>
    <w:rsid w:val="00D95051"/>
    <w:rsid w:val="00D9508E"/>
    <w:rsid w:val="00D95460"/>
    <w:rsid w:val="00D95963"/>
    <w:rsid w:val="00D95B84"/>
    <w:rsid w:val="00D95CB4"/>
    <w:rsid w:val="00D95E94"/>
    <w:rsid w:val="00D95F9E"/>
    <w:rsid w:val="00D96231"/>
    <w:rsid w:val="00D96714"/>
    <w:rsid w:val="00D969F4"/>
    <w:rsid w:val="00D96A87"/>
    <w:rsid w:val="00D96AFE"/>
    <w:rsid w:val="00D96EA9"/>
    <w:rsid w:val="00D97032"/>
    <w:rsid w:val="00D97320"/>
    <w:rsid w:val="00D9740D"/>
    <w:rsid w:val="00D9784A"/>
    <w:rsid w:val="00D97874"/>
    <w:rsid w:val="00D978E5"/>
    <w:rsid w:val="00D97D00"/>
    <w:rsid w:val="00D97EFE"/>
    <w:rsid w:val="00DA008F"/>
    <w:rsid w:val="00DA01BF"/>
    <w:rsid w:val="00DA05AE"/>
    <w:rsid w:val="00DA08BB"/>
    <w:rsid w:val="00DA09AF"/>
    <w:rsid w:val="00DA09D2"/>
    <w:rsid w:val="00DA0B44"/>
    <w:rsid w:val="00DA0CF6"/>
    <w:rsid w:val="00DA1420"/>
    <w:rsid w:val="00DA14F6"/>
    <w:rsid w:val="00DA1801"/>
    <w:rsid w:val="00DA1803"/>
    <w:rsid w:val="00DA1923"/>
    <w:rsid w:val="00DA1F2D"/>
    <w:rsid w:val="00DA1F4B"/>
    <w:rsid w:val="00DA1F83"/>
    <w:rsid w:val="00DA2176"/>
    <w:rsid w:val="00DA2223"/>
    <w:rsid w:val="00DA22ED"/>
    <w:rsid w:val="00DA23E4"/>
    <w:rsid w:val="00DA24E6"/>
    <w:rsid w:val="00DA26FA"/>
    <w:rsid w:val="00DA2720"/>
    <w:rsid w:val="00DA2838"/>
    <w:rsid w:val="00DA2885"/>
    <w:rsid w:val="00DA2BB7"/>
    <w:rsid w:val="00DA3167"/>
    <w:rsid w:val="00DA31B5"/>
    <w:rsid w:val="00DA3497"/>
    <w:rsid w:val="00DA35B0"/>
    <w:rsid w:val="00DA3767"/>
    <w:rsid w:val="00DA3799"/>
    <w:rsid w:val="00DA385D"/>
    <w:rsid w:val="00DA39FF"/>
    <w:rsid w:val="00DA3A17"/>
    <w:rsid w:val="00DA3D62"/>
    <w:rsid w:val="00DA3DE7"/>
    <w:rsid w:val="00DA3EC0"/>
    <w:rsid w:val="00DA4049"/>
    <w:rsid w:val="00DA43F1"/>
    <w:rsid w:val="00DA4549"/>
    <w:rsid w:val="00DA455E"/>
    <w:rsid w:val="00DA48EF"/>
    <w:rsid w:val="00DA49CA"/>
    <w:rsid w:val="00DA49CF"/>
    <w:rsid w:val="00DA5281"/>
    <w:rsid w:val="00DA5446"/>
    <w:rsid w:val="00DA56FC"/>
    <w:rsid w:val="00DA5E4B"/>
    <w:rsid w:val="00DA6189"/>
    <w:rsid w:val="00DA6727"/>
    <w:rsid w:val="00DA6A3D"/>
    <w:rsid w:val="00DA6BC2"/>
    <w:rsid w:val="00DA6ECF"/>
    <w:rsid w:val="00DA7613"/>
    <w:rsid w:val="00DA7622"/>
    <w:rsid w:val="00DA7637"/>
    <w:rsid w:val="00DA77EB"/>
    <w:rsid w:val="00DA7BE9"/>
    <w:rsid w:val="00DA7C43"/>
    <w:rsid w:val="00DA7D70"/>
    <w:rsid w:val="00DA7E37"/>
    <w:rsid w:val="00DA7FD7"/>
    <w:rsid w:val="00DB0259"/>
    <w:rsid w:val="00DB072F"/>
    <w:rsid w:val="00DB0995"/>
    <w:rsid w:val="00DB0B99"/>
    <w:rsid w:val="00DB0CC9"/>
    <w:rsid w:val="00DB0D3F"/>
    <w:rsid w:val="00DB0DAC"/>
    <w:rsid w:val="00DB0E4E"/>
    <w:rsid w:val="00DB124D"/>
    <w:rsid w:val="00DB12F1"/>
    <w:rsid w:val="00DB17CA"/>
    <w:rsid w:val="00DB18D5"/>
    <w:rsid w:val="00DB18EE"/>
    <w:rsid w:val="00DB1977"/>
    <w:rsid w:val="00DB1A21"/>
    <w:rsid w:val="00DB1A4C"/>
    <w:rsid w:val="00DB1C33"/>
    <w:rsid w:val="00DB1C34"/>
    <w:rsid w:val="00DB1D3E"/>
    <w:rsid w:val="00DB1EF5"/>
    <w:rsid w:val="00DB1F51"/>
    <w:rsid w:val="00DB1FE2"/>
    <w:rsid w:val="00DB2327"/>
    <w:rsid w:val="00DB24BC"/>
    <w:rsid w:val="00DB256C"/>
    <w:rsid w:val="00DB263C"/>
    <w:rsid w:val="00DB27C6"/>
    <w:rsid w:val="00DB28E3"/>
    <w:rsid w:val="00DB3507"/>
    <w:rsid w:val="00DB37CD"/>
    <w:rsid w:val="00DB39D1"/>
    <w:rsid w:val="00DB3F0A"/>
    <w:rsid w:val="00DB41CC"/>
    <w:rsid w:val="00DB4665"/>
    <w:rsid w:val="00DB46B9"/>
    <w:rsid w:val="00DB49E5"/>
    <w:rsid w:val="00DB4AFF"/>
    <w:rsid w:val="00DB4B12"/>
    <w:rsid w:val="00DB4B7C"/>
    <w:rsid w:val="00DB4C97"/>
    <w:rsid w:val="00DB52BA"/>
    <w:rsid w:val="00DB52E8"/>
    <w:rsid w:val="00DB53FD"/>
    <w:rsid w:val="00DB54EB"/>
    <w:rsid w:val="00DB57C4"/>
    <w:rsid w:val="00DB5A4C"/>
    <w:rsid w:val="00DB5AA2"/>
    <w:rsid w:val="00DB5B85"/>
    <w:rsid w:val="00DB5E56"/>
    <w:rsid w:val="00DB5F5F"/>
    <w:rsid w:val="00DB5FBF"/>
    <w:rsid w:val="00DB6037"/>
    <w:rsid w:val="00DB6066"/>
    <w:rsid w:val="00DB6115"/>
    <w:rsid w:val="00DB61F1"/>
    <w:rsid w:val="00DB68DD"/>
    <w:rsid w:val="00DB68EB"/>
    <w:rsid w:val="00DB6958"/>
    <w:rsid w:val="00DB6B9B"/>
    <w:rsid w:val="00DB6BDA"/>
    <w:rsid w:val="00DB6CCD"/>
    <w:rsid w:val="00DB6E0A"/>
    <w:rsid w:val="00DB6F45"/>
    <w:rsid w:val="00DB7168"/>
    <w:rsid w:val="00DB76E4"/>
    <w:rsid w:val="00DB7A6D"/>
    <w:rsid w:val="00DB7C25"/>
    <w:rsid w:val="00DB7FA0"/>
    <w:rsid w:val="00DB7FF4"/>
    <w:rsid w:val="00DC00FF"/>
    <w:rsid w:val="00DC0129"/>
    <w:rsid w:val="00DC0191"/>
    <w:rsid w:val="00DC0231"/>
    <w:rsid w:val="00DC02B3"/>
    <w:rsid w:val="00DC0646"/>
    <w:rsid w:val="00DC076E"/>
    <w:rsid w:val="00DC07AC"/>
    <w:rsid w:val="00DC07F1"/>
    <w:rsid w:val="00DC0A11"/>
    <w:rsid w:val="00DC0AA5"/>
    <w:rsid w:val="00DC0F1F"/>
    <w:rsid w:val="00DC12EB"/>
    <w:rsid w:val="00DC16EC"/>
    <w:rsid w:val="00DC174D"/>
    <w:rsid w:val="00DC1B38"/>
    <w:rsid w:val="00DC1BA2"/>
    <w:rsid w:val="00DC1BD3"/>
    <w:rsid w:val="00DC1C8D"/>
    <w:rsid w:val="00DC1D5B"/>
    <w:rsid w:val="00DC22CF"/>
    <w:rsid w:val="00DC2492"/>
    <w:rsid w:val="00DC252C"/>
    <w:rsid w:val="00DC25B5"/>
    <w:rsid w:val="00DC26F6"/>
    <w:rsid w:val="00DC27BC"/>
    <w:rsid w:val="00DC2904"/>
    <w:rsid w:val="00DC2926"/>
    <w:rsid w:val="00DC2DC7"/>
    <w:rsid w:val="00DC2E42"/>
    <w:rsid w:val="00DC31C7"/>
    <w:rsid w:val="00DC3405"/>
    <w:rsid w:val="00DC3444"/>
    <w:rsid w:val="00DC35AC"/>
    <w:rsid w:val="00DC39F8"/>
    <w:rsid w:val="00DC3A72"/>
    <w:rsid w:val="00DC3C0D"/>
    <w:rsid w:val="00DC3C85"/>
    <w:rsid w:val="00DC3CEC"/>
    <w:rsid w:val="00DC3E91"/>
    <w:rsid w:val="00DC4063"/>
    <w:rsid w:val="00DC409B"/>
    <w:rsid w:val="00DC4401"/>
    <w:rsid w:val="00DC4502"/>
    <w:rsid w:val="00DC479B"/>
    <w:rsid w:val="00DC4BFC"/>
    <w:rsid w:val="00DC4C60"/>
    <w:rsid w:val="00DC511F"/>
    <w:rsid w:val="00DC551C"/>
    <w:rsid w:val="00DC57B4"/>
    <w:rsid w:val="00DC58BD"/>
    <w:rsid w:val="00DC5931"/>
    <w:rsid w:val="00DC5A0D"/>
    <w:rsid w:val="00DC5A5B"/>
    <w:rsid w:val="00DC5C6C"/>
    <w:rsid w:val="00DC5E12"/>
    <w:rsid w:val="00DC5F93"/>
    <w:rsid w:val="00DC6203"/>
    <w:rsid w:val="00DC6387"/>
    <w:rsid w:val="00DC65A5"/>
    <w:rsid w:val="00DC6685"/>
    <w:rsid w:val="00DC67C0"/>
    <w:rsid w:val="00DC6868"/>
    <w:rsid w:val="00DC6B35"/>
    <w:rsid w:val="00DC6B52"/>
    <w:rsid w:val="00DC6DCC"/>
    <w:rsid w:val="00DC6E01"/>
    <w:rsid w:val="00DC6F0E"/>
    <w:rsid w:val="00DC7000"/>
    <w:rsid w:val="00DC742E"/>
    <w:rsid w:val="00DC78B7"/>
    <w:rsid w:val="00DC7FD6"/>
    <w:rsid w:val="00DD0135"/>
    <w:rsid w:val="00DD0249"/>
    <w:rsid w:val="00DD0418"/>
    <w:rsid w:val="00DD042F"/>
    <w:rsid w:val="00DD05DC"/>
    <w:rsid w:val="00DD061A"/>
    <w:rsid w:val="00DD0933"/>
    <w:rsid w:val="00DD0948"/>
    <w:rsid w:val="00DD0A7A"/>
    <w:rsid w:val="00DD0B37"/>
    <w:rsid w:val="00DD1017"/>
    <w:rsid w:val="00DD1042"/>
    <w:rsid w:val="00DD1105"/>
    <w:rsid w:val="00DD1138"/>
    <w:rsid w:val="00DD1213"/>
    <w:rsid w:val="00DD12B1"/>
    <w:rsid w:val="00DD14EB"/>
    <w:rsid w:val="00DD1511"/>
    <w:rsid w:val="00DD168F"/>
    <w:rsid w:val="00DD16DB"/>
    <w:rsid w:val="00DD17AC"/>
    <w:rsid w:val="00DD1B07"/>
    <w:rsid w:val="00DD1CDB"/>
    <w:rsid w:val="00DD247B"/>
    <w:rsid w:val="00DD255F"/>
    <w:rsid w:val="00DD270C"/>
    <w:rsid w:val="00DD274B"/>
    <w:rsid w:val="00DD277A"/>
    <w:rsid w:val="00DD2A72"/>
    <w:rsid w:val="00DD2AAB"/>
    <w:rsid w:val="00DD2D4D"/>
    <w:rsid w:val="00DD2F61"/>
    <w:rsid w:val="00DD30B6"/>
    <w:rsid w:val="00DD3386"/>
    <w:rsid w:val="00DD3534"/>
    <w:rsid w:val="00DD38C7"/>
    <w:rsid w:val="00DD3AB4"/>
    <w:rsid w:val="00DD3AEB"/>
    <w:rsid w:val="00DD3C15"/>
    <w:rsid w:val="00DD3D51"/>
    <w:rsid w:val="00DD4022"/>
    <w:rsid w:val="00DD416E"/>
    <w:rsid w:val="00DD419B"/>
    <w:rsid w:val="00DD42BA"/>
    <w:rsid w:val="00DD453D"/>
    <w:rsid w:val="00DD4556"/>
    <w:rsid w:val="00DD473F"/>
    <w:rsid w:val="00DD478F"/>
    <w:rsid w:val="00DD4901"/>
    <w:rsid w:val="00DD49C0"/>
    <w:rsid w:val="00DD49E2"/>
    <w:rsid w:val="00DD4BE6"/>
    <w:rsid w:val="00DD513E"/>
    <w:rsid w:val="00DD55DE"/>
    <w:rsid w:val="00DD577E"/>
    <w:rsid w:val="00DD5812"/>
    <w:rsid w:val="00DD589F"/>
    <w:rsid w:val="00DD58DE"/>
    <w:rsid w:val="00DD59C0"/>
    <w:rsid w:val="00DD5ABC"/>
    <w:rsid w:val="00DD60CD"/>
    <w:rsid w:val="00DD6915"/>
    <w:rsid w:val="00DD6B38"/>
    <w:rsid w:val="00DD6C24"/>
    <w:rsid w:val="00DD70F4"/>
    <w:rsid w:val="00DD786C"/>
    <w:rsid w:val="00DE0556"/>
    <w:rsid w:val="00DE074F"/>
    <w:rsid w:val="00DE0B91"/>
    <w:rsid w:val="00DE0CD8"/>
    <w:rsid w:val="00DE0EA8"/>
    <w:rsid w:val="00DE110E"/>
    <w:rsid w:val="00DE12F3"/>
    <w:rsid w:val="00DE178E"/>
    <w:rsid w:val="00DE1911"/>
    <w:rsid w:val="00DE1948"/>
    <w:rsid w:val="00DE1B4F"/>
    <w:rsid w:val="00DE1D2D"/>
    <w:rsid w:val="00DE1D7C"/>
    <w:rsid w:val="00DE2066"/>
    <w:rsid w:val="00DE26B7"/>
    <w:rsid w:val="00DE28F2"/>
    <w:rsid w:val="00DE291A"/>
    <w:rsid w:val="00DE29BA"/>
    <w:rsid w:val="00DE2C38"/>
    <w:rsid w:val="00DE305A"/>
    <w:rsid w:val="00DE30C2"/>
    <w:rsid w:val="00DE33E1"/>
    <w:rsid w:val="00DE352E"/>
    <w:rsid w:val="00DE354E"/>
    <w:rsid w:val="00DE35B6"/>
    <w:rsid w:val="00DE3600"/>
    <w:rsid w:val="00DE3658"/>
    <w:rsid w:val="00DE3660"/>
    <w:rsid w:val="00DE3740"/>
    <w:rsid w:val="00DE3825"/>
    <w:rsid w:val="00DE3B29"/>
    <w:rsid w:val="00DE3B4A"/>
    <w:rsid w:val="00DE3B85"/>
    <w:rsid w:val="00DE4462"/>
    <w:rsid w:val="00DE4561"/>
    <w:rsid w:val="00DE4976"/>
    <w:rsid w:val="00DE4BCB"/>
    <w:rsid w:val="00DE4C64"/>
    <w:rsid w:val="00DE4ED8"/>
    <w:rsid w:val="00DE5337"/>
    <w:rsid w:val="00DE534B"/>
    <w:rsid w:val="00DE5DAE"/>
    <w:rsid w:val="00DE5F9A"/>
    <w:rsid w:val="00DE6184"/>
    <w:rsid w:val="00DE6250"/>
    <w:rsid w:val="00DE6364"/>
    <w:rsid w:val="00DE63B4"/>
    <w:rsid w:val="00DE6412"/>
    <w:rsid w:val="00DE6922"/>
    <w:rsid w:val="00DE6CE1"/>
    <w:rsid w:val="00DE6E3E"/>
    <w:rsid w:val="00DE7152"/>
    <w:rsid w:val="00DE72D8"/>
    <w:rsid w:val="00DE72E1"/>
    <w:rsid w:val="00DE740C"/>
    <w:rsid w:val="00DE7586"/>
    <w:rsid w:val="00DE75B9"/>
    <w:rsid w:val="00DE76BC"/>
    <w:rsid w:val="00DE7729"/>
    <w:rsid w:val="00DE7A36"/>
    <w:rsid w:val="00DE7F68"/>
    <w:rsid w:val="00DF0007"/>
    <w:rsid w:val="00DF0008"/>
    <w:rsid w:val="00DF00A2"/>
    <w:rsid w:val="00DF0387"/>
    <w:rsid w:val="00DF06D1"/>
    <w:rsid w:val="00DF08F5"/>
    <w:rsid w:val="00DF0AC7"/>
    <w:rsid w:val="00DF0BC6"/>
    <w:rsid w:val="00DF0CCD"/>
    <w:rsid w:val="00DF0D75"/>
    <w:rsid w:val="00DF1197"/>
    <w:rsid w:val="00DF12EE"/>
    <w:rsid w:val="00DF1548"/>
    <w:rsid w:val="00DF16FA"/>
    <w:rsid w:val="00DF17C5"/>
    <w:rsid w:val="00DF1B32"/>
    <w:rsid w:val="00DF1D3D"/>
    <w:rsid w:val="00DF1F3B"/>
    <w:rsid w:val="00DF2199"/>
    <w:rsid w:val="00DF24D4"/>
    <w:rsid w:val="00DF24D5"/>
    <w:rsid w:val="00DF2741"/>
    <w:rsid w:val="00DF28C3"/>
    <w:rsid w:val="00DF28CB"/>
    <w:rsid w:val="00DF2983"/>
    <w:rsid w:val="00DF2E58"/>
    <w:rsid w:val="00DF3087"/>
    <w:rsid w:val="00DF35EF"/>
    <w:rsid w:val="00DF3705"/>
    <w:rsid w:val="00DF3D7C"/>
    <w:rsid w:val="00DF3FB0"/>
    <w:rsid w:val="00DF40BD"/>
    <w:rsid w:val="00DF4758"/>
    <w:rsid w:val="00DF48F5"/>
    <w:rsid w:val="00DF4901"/>
    <w:rsid w:val="00DF4927"/>
    <w:rsid w:val="00DF4F79"/>
    <w:rsid w:val="00DF501E"/>
    <w:rsid w:val="00DF507F"/>
    <w:rsid w:val="00DF554D"/>
    <w:rsid w:val="00DF576F"/>
    <w:rsid w:val="00DF58BC"/>
    <w:rsid w:val="00DF5BE3"/>
    <w:rsid w:val="00DF5D06"/>
    <w:rsid w:val="00DF5F70"/>
    <w:rsid w:val="00DF6122"/>
    <w:rsid w:val="00DF62DB"/>
    <w:rsid w:val="00DF6667"/>
    <w:rsid w:val="00DF66B7"/>
    <w:rsid w:val="00DF68C4"/>
    <w:rsid w:val="00DF6C35"/>
    <w:rsid w:val="00DF6DD9"/>
    <w:rsid w:val="00DF7124"/>
    <w:rsid w:val="00DF7233"/>
    <w:rsid w:val="00DF7320"/>
    <w:rsid w:val="00DF7433"/>
    <w:rsid w:val="00DF7465"/>
    <w:rsid w:val="00DF7560"/>
    <w:rsid w:val="00DF7682"/>
    <w:rsid w:val="00DF78DE"/>
    <w:rsid w:val="00DF7CA7"/>
    <w:rsid w:val="00DF7D59"/>
    <w:rsid w:val="00DF7D83"/>
    <w:rsid w:val="00DF7F6D"/>
    <w:rsid w:val="00DF7F9B"/>
    <w:rsid w:val="00E003DE"/>
    <w:rsid w:val="00E005AA"/>
    <w:rsid w:val="00E0095A"/>
    <w:rsid w:val="00E00A7F"/>
    <w:rsid w:val="00E00BAB"/>
    <w:rsid w:val="00E00CA8"/>
    <w:rsid w:val="00E01174"/>
    <w:rsid w:val="00E01404"/>
    <w:rsid w:val="00E0177E"/>
    <w:rsid w:val="00E017F5"/>
    <w:rsid w:val="00E019CC"/>
    <w:rsid w:val="00E019FC"/>
    <w:rsid w:val="00E01A90"/>
    <w:rsid w:val="00E0209A"/>
    <w:rsid w:val="00E02147"/>
    <w:rsid w:val="00E02755"/>
    <w:rsid w:val="00E02795"/>
    <w:rsid w:val="00E02815"/>
    <w:rsid w:val="00E03161"/>
    <w:rsid w:val="00E0316F"/>
    <w:rsid w:val="00E0330B"/>
    <w:rsid w:val="00E0353D"/>
    <w:rsid w:val="00E03549"/>
    <w:rsid w:val="00E03709"/>
    <w:rsid w:val="00E0370A"/>
    <w:rsid w:val="00E03898"/>
    <w:rsid w:val="00E03AC2"/>
    <w:rsid w:val="00E03EE4"/>
    <w:rsid w:val="00E04144"/>
    <w:rsid w:val="00E044A6"/>
    <w:rsid w:val="00E0470E"/>
    <w:rsid w:val="00E047B9"/>
    <w:rsid w:val="00E0498E"/>
    <w:rsid w:val="00E04B9E"/>
    <w:rsid w:val="00E04B9F"/>
    <w:rsid w:val="00E04E00"/>
    <w:rsid w:val="00E04FAA"/>
    <w:rsid w:val="00E05046"/>
    <w:rsid w:val="00E05097"/>
    <w:rsid w:val="00E05165"/>
    <w:rsid w:val="00E051C8"/>
    <w:rsid w:val="00E051EE"/>
    <w:rsid w:val="00E05317"/>
    <w:rsid w:val="00E0534C"/>
    <w:rsid w:val="00E05402"/>
    <w:rsid w:val="00E05443"/>
    <w:rsid w:val="00E05514"/>
    <w:rsid w:val="00E05751"/>
    <w:rsid w:val="00E057C1"/>
    <w:rsid w:val="00E05968"/>
    <w:rsid w:val="00E05B55"/>
    <w:rsid w:val="00E05B8F"/>
    <w:rsid w:val="00E05F66"/>
    <w:rsid w:val="00E061BE"/>
    <w:rsid w:val="00E063E2"/>
    <w:rsid w:val="00E06454"/>
    <w:rsid w:val="00E06E26"/>
    <w:rsid w:val="00E0704D"/>
    <w:rsid w:val="00E0712A"/>
    <w:rsid w:val="00E07179"/>
    <w:rsid w:val="00E07511"/>
    <w:rsid w:val="00E07955"/>
    <w:rsid w:val="00E07A1D"/>
    <w:rsid w:val="00E07B62"/>
    <w:rsid w:val="00E07DD8"/>
    <w:rsid w:val="00E07DEB"/>
    <w:rsid w:val="00E07E21"/>
    <w:rsid w:val="00E07E9C"/>
    <w:rsid w:val="00E07EB8"/>
    <w:rsid w:val="00E07F78"/>
    <w:rsid w:val="00E10104"/>
    <w:rsid w:val="00E1015B"/>
    <w:rsid w:val="00E10385"/>
    <w:rsid w:val="00E103F8"/>
    <w:rsid w:val="00E10652"/>
    <w:rsid w:val="00E112DC"/>
    <w:rsid w:val="00E114E8"/>
    <w:rsid w:val="00E11A5E"/>
    <w:rsid w:val="00E11A99"/>
    <w:rsid w:val="00E11B19"/>
    <w:rsid w:val="00E11BAF"/>
    <w:rsid w:val="00E11BE3"/>
    <w:rsid w:val="00E11E12"/>
    <w:rsid w:val="00E11E7E"/>
    <w:rsid w:val="00E12054"/>
    <w:rsid w:val="00E12088"/>
    <w:rsid w:val="00E120CF"/>
    <w:rsid w:val="00E121DE"/>
    <w:rsid w:val="00E122A5"/>
    <w:rsid w:val="00E1247E"/>
    <w:rsid w:val="00E125FB"/>
    <w:rsid w:val="00E129D0"/>
    <w:rsid w:val="00E12A19"/>
    <w:rsid w:val="00E12A86"/>
    <w:rsid w:val="00E12A89"/>
    <w:rsid w:val="00E12B44"/>
    <w:rsid w:val="00E12D6F"/>
    <w:rsid w:val="00E12FDB"/>
    <w:rsid w:val="00E13074"/>
    <w:rsid w:val="00E13076"/>
    <w:rsid w:val="00E130F9"/>
    <w:rsid w:val="00E13188"/>
    <w:rsid w:val="00E131C3"/>
    <w:rsid w:val="00E1320F"/>
    <w:rsid w:val="00E13319"/>
    <w:rsid w:val="00E133C5"/>
    <w:rsid w:val="00E13455"/>
    <w:rsid w:val="00E1360C"/>
    <w:rsid w:val="00E136BE"/>
    <w:rsid w:val="00E139C9"/>
    <w:rsid w:val="00E13D6C"/>
    <w:rsid w:val="00E13E35"/>
    <w:rsid w:val="00E13EF6"/>
    <w:rsid w:val="00E143C6"/>
    <w:rsid w:val="00E14731"/>
    <w:rsid w:val="00E14759"/>
    <w:rsid w:val="00E148D1"/>
    <w:rsid w:val="00E149FB"/>
    <w:rsid w:val="00E14A5F"/>
    <w:rsid w:val="00E14E2B"/>
    <w:rsid w:val="00E1524E"/>
    <w:rsid w:val="00E152EE"/>
    <w:rsid w:val="00E15474"/>
    <w:rsid w:val="00E15572"/>
    <w:rsid w:val="00E159CE"/>
    <w:rsid w:val="00E15A95"/>
    <w:rsid w:val="00E15B88"/>
    <w:rsid w:val="00E15D38"/>
    <w:rsid w:val="00E15E01"/>
    <w:rsid w:val="00E15FE0"/>
    <w:rsid w:val="00E163A6"/>
    <w:rsid w:val="00E16E02"/>
    <w:rsid w:val="00E16F84"/>
    <w:rsid w:val="00E16F85"/>
    <w:rsid w:val="00E172CA"/>
    <w:rsid w:val="00E1738E"/>
    <w:rsid w:val="00E174D6"/>
    <w:rsid w:val="00E17545"/>
    <w:rsid w:val="00E179FD"/>
    <w:rsid w:val="00E17A6E"/>
    <w:rsid w:val="00E20190"/>
    <w:rsid w:val="00E2034C"/>
    <w:rsid w:val="00E20392"/>
    <w:rsid w:val="00E204FE"/>
    <w:rsid w:val="00E206C3"/>
    <w:rsid w:val="00E20AA7"/>
    <w:rsid w:val="00E20B39"/>
    <w:rsid w:val="00E20DF1"/>
    <w:rsid w:val="00E20E36"/>
    <w:rsid w:val="00E20E9D"/>
    <w:rsid w:val="00E20FCC"/>
    <w:rsid w:val="00E211C5"/>
    <w:rsid w:val="00E21364"/>
    <w:rsid w:val="00E21697"/>
    <w:rsid w:val="00E21823"/>
    <w:rsid w:val="00E21A01"/>
    <w:rsid w:val="00E21BC5"/>
    <w:rsid w:val="00E21E37"/>
    <w:rsid w:val="00E21E5E"/>
    <w:rsid w:val="00E22096"/>
    <w:rsid w:val="00E221B9"/>
    <w:rsid w:val="00E22335"/>
    <w:rsid w:val="00E2251F"/>
    <w:rsid w:val="00E225B8"/>
    <w:rsid w:val="00E228E5"/>
    <w:rsid w:val="00E22B6E"/>
    <w:rsid w:val="00E22C48"/>
    <w:rsid w:val="00E22C52"/>
    <w:rsid w:val="00E22D99"/>
    <w:rsid w:val="00E23159"/>
    <w:rsid w:val="00E23263"/>
    <w:rsid w:val="00E23366"/>
    <w:rsid w:val="00E233A0"/>
    <w:rsid w:val="00E236C6"/>
    <w:rsid w:val="00E23885"/>
    <w:rsid w:val="00E238B8"/>
    <w:rsid w:val="00E239C3"/>
    <w:rsid w:val="00E23ABC"/>
    <w:rsid w:val="00E23AE2"/>
    <w:rsid w:val="00E23B6E"/>
    <w:rsid w:val="00E23B9A"/>
    <w:rsid w:val="00E23E77"/>
    <w:rsid w:val="00E24102"/>
    <w:rsid w:val="00E24196"/>
    <w:rsid w:val="00E243FC"/>
    <w:rsid w:val="00E24559"/>
    <w:rsid w:val="00E24633"/>
    <w:rsid w:val="00E247A6"/>
    <w:rsid w:val="00E24BC9"/>
    <w:rsid w:val="00E24DE0"/>
    <w:rsid w:val="00E24ED2"/>
    <w:rsid w:val="00E25513"/>
    <w:rsid w:val="00E25A72"/>
    <w:rsid w:val="00E25B4C"/>
    <w:rsid w:val="00E25CCF"/>
    <w:rsid w:val="00E25CD8"/>
    <w:rsid w:val="00E25D73"/>
    <w:rsid w:val="00E25F74"/>
    <w:rsid w:val="00E25FD4"/>
    <w:rsid w:val="00E260C4"/>
    <w:rsid w:val="00E26300"/>
    <w:rsid w:val="00E263D8"/>
    <w:rsid w:val="00E269D7"/>
    <w:rsid w:val="00E26D53"/>
    <w:rsid w:val="00E26E81"/>
    <w:rsid w:val="00E2716E"/>
    <w:rsid w:val="00E27274"/>
    <w:rsid w:val="00E27435"/>
    <w:rsid w:val="00E27512"/>
    <w:rsid w:val="00E2767F"/>
    <w:rsid w:val="00E276DE"/>
    <w:rsid w:val="00E27A53"/>
    <w:rsid w:val="00E27AB6"/>
    <w:rsid w:val="00E27C79"/>
    <w:rsid w:val="00E27D41"/>
    <w:rsid w:val="00E300BD"/>
    <w:rsid w:val="00E3083D"/>
    <w:rsid w:val="00E30897"/>
    <w:rsid w:val="00E309D2"/>
    <w:rsid w:val="00E30ACA"/>
    <w:rsid w:val="00E30E94"/>
    <w:rsid w:val="00E30E9A"/>
    <w:rsid w:val="00E31064"/>
    <w:rsid w:val="00E311E3"/>
    <w:rsid w:val="00E317EA"/>
    <w:rsid w:val="00E318E0"/>
    <w:rsid w:val="00E31E9C"/>
    <w:rsid w:val="00E31EC3"/>
    <w:rsid w:val="00E32127"/>
    <w:rsid w:val="00E322B5"/>
    <w:rsid w:val="00E3250E"/>
    <w:rsid w:val="00E326B6"/>
    <w:rsid w:val="00E32878"/>
    <w:rsid w:val="00E3296B"/>
    <w:rsid w:val="00E32985"/>
    <w:rsid w:val="00E32CE4"/>
    <w:rsid w:val="00E32EF3"/>
    <w:rsid w:val="00E32F68"/>
    <w:rsid w:val="00E33491"/>
    <w:rsid w:val="00E335D5"/>
    <w:rsid w:val="00E3365E"/>
    <w:rsid w:val="00E33A4C"/>
    <w:rsid w:val="00E33A50"/>
    <w:rsid w:val="00E33BD0"/>
    <w:rsid w:val="00E33C5E"/>
    <w:rsid w:val="00E33CEC"/>
    <w:rsid w:val="00E33DE9"/>
    <w:rsid w:val="00E33E62"/>
    <w:rsid w:val="00E33F98"/>
    <w:rsid w:val="00E34156"/>
    <w:rsid w:val="00E34424"/>
    <w:rsid w:val="00E34A69"/>
    <w:rsid w:val="00E34C97"/>
    <w:rsid w:val="00E3507E"/>
    <w:rsid w:val="00E350FC"/>
    <w:rsid w:val="00E351A5"/>
    <w:rsid w:val="00E351F9"/>
    <w:rsid w:val="00E35384"/>
    <w:rsid w:val="00E35390"/>
    <w:rsid w:val="00E35569"/>
    <w:rsid w:val="00E3556F"/>
    <w:rsid w:val="00E3564F"/>
    <w:rsid w:val="00E35871"/>
    <w:rsid w:val="00E35AA6"/>
    <w:rsid w:val="00E35AC5"/>
    <w:rsid w:val="00E35E4E"/>
    <w:rsid w:val="00E36196"/>
    <w:rsid w:val="00E363C9"/>
    <w:rsid w:val="00E36483"/>
    <w:rsid w:val="00E364E8"/>
    <w:rsid w:val="00E366A0"/>
    <w:rsid w:val="00E36D4D"/>
    <w:rsid w:val="00E36EE5"/>
    <w:rsid w:val="00E36FD9"/>
    <w:rsid w:val="00E3769A"/>
    <w:rsid w:val="00E378C4"/>
    <w:rsid w:val="00E378EC"/>
    <w:rsid w:val="00E379F2"/>
    <w:rsid w:val="00E37B9B"/>
    <w:rsid w:val="00E37BA8"/>
    <w:rsid w:val="00E37D3A"/>
    <w:rsid w:val="00E37F75"/>
    <w:rsid w:val="00E37FD7"/>
    <w:rsid w:val="00E4019B"/>
    <w:rsid w:val="00E4081E"/>
    <w:rsid w:val="00E40AEB"/>
    <w:rsid w:val="00E40F6D"/>
    <w:rsid w:val="00E410A5"/>
    <w:rsid w:val="00E413E9"/>
    <w:rsid w:val="00E41728"/>
    <w:rsid w:val="00E418F5"/>
    <w:rsid w:val="00E4198A"/>
    <w:rsid w:val="00E42218"/>
    <w:rsid w:val="00E422FC"/>
    <w:rsid w:val="00E42357"/>
    <w:rsid w:val="00E424A4"/>
    <w:rsid w:val="00E42525"/>
    <w:rsid w:val="00E42618"/>
    <w:rsid w:val="00E4269E"/>
    <w:rsid w:val="00E426F9"/>
    <w:rsid w:val="00E427CE"/>
    <w:rsid w:val="00E429DB"/>
    <w:rsid w:val="00E42D92"/>
    <w:rsid w:val="00E42D96"/>
    <w:rsid w:val="00E431E9"/>
    <w:rsid w:val="00E43322"/>
    <w:rsid w:val="00E43453"/>
    <w:rsid w:val="00E4361F"/>
    <w:rsid w:val="00E438F9"/>
    <w:rsid w:val="00E4420B"/>
    <w:rsid w:val="00E44235"/>
    <w:rsid w:val="00E44521"/>
    <w:rsid w:val="00E445A4"/>
    <w:rsid w:val="00E44813"/>
    <w:rsid w:val="00E44907"/>
    <w:rsid w:val="00E45159"/>
    <w:rsid w:val="00E4522F"/>
    <w:rsid w:val="00E4531F"/>
    <w:rsid w:val="00E455C8"/>
    <w:rsid w:val="00E456B8"/>
    <w:rsid w:val="00E456D5"/>
    <w:rsid w:val="00E45931"/>
    <w:rsid w:val="00E45D0B"/>
    <w:rsid w:val="00E45DD3"/>
    <w:rsid w:val="00E45E50"/>
    <w:rsid w:val="00E460D5"/>
    <w:rsid w:val="00E46116"/>
    <w:rsid w:val="00E46235"/>
    <w:rsid w:val="00E4656D"/>
    <w:rsid w:val="00E46676"/>
    <w:rsid w:val="00E46989"/>
    <w:rsid w:val="00E46CB0"/>
    <w:rsid w:val="00E46D65"/>
    <w:rsid w:val="00E4702F"/>
    <w:rsid w:val="00E47530"/>
    <w:rsid w:val="00E47550"/>
    <w:rsid w:val="00E477B9"/>
    <w:rsid w:val="00E479B1"/>
    <w:rsid w:val="00E47A00"/>
    <w:rsid w:val="00E47B48"/>
    <w:rsid w:val="00E47F05"/>
    <w:rsid w:val="00E500A1"/>
    <w:rsid w:val="00E5019D"/>
    <w:rsid w:val="00E501CA"/>
    <w:rsid w:val="00E502F0"/>
    <w:rsid w:val="00E50475"/>
    <w:rsid w:val="00E508AD"/>
    <w:rsid w:val="00E50971"/>
    <w:rsid w:val="00E509AB"/>
    <w:rsid w:val="00E509DF"/>
    <w:rsid w:val="00E50CEC"/>
    <w:rsid w:val="00E50EF3"/>
    <w:rsid w:val="00E50FD4"/>
    <w:rsid w:val="00E51B67"/>
    <w:rsid w:val="00E51E55"/>
    <w:rsid w:val="00E52544"/>
    <w:rsid w:val="00E52569"/>
    <w:rsid w:val="00E53101"/>
    <w:rsid w:val="00E53182"/>
    <w:rsid w:val="00E53230"/>
    <w:rsid w:val="00E53299"/>
    <w:rsid w:val="00E533B0"/>
    <w:rsid w:val="00E53404"/>
    <w:rsid w:val="00E53541"/>
    <w:rsid w:val="00E5378C"/>
    <w:rsid w:val="00E53810"/>
    <w:rsid w:val="00E539B9"/>
    <w:rsid w:val="00E53A0B"/>
    <w:rsid w:val="00E53C2E"/>
    <w:rsid w:val="00E53F1E"/>
    <w:rsid w:val="00E53F43"/>
    <w:rsid w:val="00E53F79"/>
    <w:rsid w:val="00E541D6"/>
    <w:rsid w:val="00E54255"/>
    <w:rsid w:val="00E542BD"/>
    <w:rsid w:val="00E5433A"/>
    <w:rsid w:val="00E54342"/>
    <w:rsid w:val="00E545E0"/>
    <w:rsid w:val="00E5465D"/>
    <w:rsid w:val="00E5483A"/>
    <w:rsid w:val="00E54A5E"/>
    <w:rsid w:val="00E54B60"/>
    <w:rsid w:val="00E54C39"/>
    <w:rsid w:val="00E54D11"/>
    <w:rsid w:val="00E550BE"/>
    <w:rsid w:val="00E55275"/>
    <w:rsid w:val="00E552C2"/>
    <w:rsid w:val="00E553FE"/>
    <w:rsid w:val="00E55679"/>
    <w:rsid w:val="00E558F1"/>
    <w:rsid w:val="00E55E26"/>
    <w:rsid w:val="00E55F1E"/>
    <w:rsid w:val="00E55F2E"/>
    <w:rsid w:val="00E561B5"/>
    <w:rsid w:val="00E5640A"/>
    <w:rsid w:val="00E56599"/>
    <w:rsid w:val="00E568A7"/>
    <w:rsid w:val="00E56C87"/>
    <w:rsid w:val="00E56E19"/>
    <w:rsid w:val="00E56F06"/>
    <w:rsid w:val="00E5701B"/>
    <w:rsid w:val="00E57945"/>
    <w:rsid w:val="00E57AE6"/>
    <w:rsid w:val="00E57B97"/>
    <w:rsid w:val="00E57CA4"/>
    <w:rsid w:val="00E57CB5"/>
    <w:rsid w:val="00E57EEF"/>
    <w:rsid w:val="00E600F8"/>
    <w:rsid w:val="00E60523"/>
    <w:rsid w:val="00E60648"/>
    <w:rsid w:val="00E608B4"/>
    <w:rsid w:val="00E608D3"/>
    <w:rsid w:val="00E60C56"/>
    <w:rsid w:val="00E60FA3"/>
    <w:rsid w:val="00E613AB"/>
    <w:rsid w:val="00E6148E"/>
    <w:rsid w:val="00E61615"/>
    <w:rsid w:val="00E6164F"/>
    <w:rsid w:val="00E6178E"/>
    <w:rsid w:val="00E61919"/>
    <w:rsid w:val="00E61B0B"/>
    <w:rsid w:val="00E61BE4"/>
    <w:rsid w:val="00E61C4A"/>
    <w:rsid w:val="00E61F89"/>
    <w:rsid w:val="00E61FA1"/>
    <w:rsid w:val="00E61FC7"/>
    <w:rsid w:val="00E61FE8"/>
    <w:rsid w:val="00E624A7"/>
    <w:rsid w:val="00E627F5"/>
    <w:rsid w:val="00E62827"/>
    <w:rsid w:val="00E628DA"/>
    <w:rsid w:val="00E62A3B"/>
    <w:rsid w:val="00E62A7B"/>
    <w:rsid w:val="00E62F23"/>
    <w:rsid w:val="00E63037"/>
    <w:rsid w:val="00E630DE"/>
    <w:rsid w:val="00E635A3"/>
    <w:rsid w:val="00E6372E"/>
    <w:rsid w:val="00E637E2"/>
    <w:rsid w:val="00E63FEC"/>
    <w:rsid w:val="00E640BE"/>
    <w:rsid w:val="00E64107"/>
    <w:rsid w:val="00E6462F"/>
    <w:rsid w:val="00E649DA"/>
    <w:rsid w:val="00E64B4A"/>
    <w:rsid w:val="00E64C05"/>
    <w:rsid w:val="00E64EF3"/>
    <w:rsid w:val="00E64F2A"/>
    <w:rsid w:val="00E65083"/>
    <w:rsid w:val="00E653A1"/>
    <w:rsid w:val="00E6599E"/>
    <w:rsid w:val="00E65A14"/>
    <w:rsid w:val="00E65A52"/>
    <w:rsid w:val="00E65A67"/>
    <w:rsid w:val="00E65B5E"/>
    <w:rsid w:val="00E65B73"/>
    <w:rsid w:val="00E65D02"/>
    <w:rsid w:val="00E65E44"/>
    <w:rsid w:val="00E65EE9"/>
    <w:rsid w:val="00E65F10"/>
    <w:rsid w:val="00E65F8A"/>
    <w:rsid w:val="00E65FFC"/>
    <w:rsid w:val="00E661E3"/>
    <w:rsid w:val="00E665A5"/>
    <w:rsid w:val="00E665F0"/>
    <w:rsid w:val="00E66621"/>
    <w:rsid w:val="00E666EC"/>
    <w:rsid w:val="00E66729"/>
    <w:rsid w:val="00E667C1"/>
    <w:rsid w:val="00E66824"/>
    <w:rsid w:val="00E66858"/>
    <w:rsid w:val="00E668BA"/>
    <w:rsid w:val="00E66F28"/>
    <w:rsid w:val="00E67105"/>
    <w:rsid w:val="00E6711F"/>
    <w:rsid w:val="00E67357"/>
    <w:rsid w:val="00E674BF"/>
    <w:rsid w:val="00E67998"/>
    <w:rsid w:val="00E67B9A"/>
    <w:rsid w:val="00E67BA0"/>
    <w:rsid w:val="00E67E01"/>
    <w:rsid w:val="00E70014"/>
    <w:rsid w:val="00E701EB"/>
    <w:rsid w:val="00E7034D"/>
    <w:rsid w:val="00E703D6"/>
    <w:rsid w:val="00E7065B"/>
    <w:rsid w:val="00E706C4"/>
    <w:rsid w:val="00E70797"/>
    <w:rsid w:val="00E70895"/>
    <w:rsid w:val="00E709A0"/>
    <w:rsid w:val="00E70A49"/>
    <w:rsid w:val="00E70CDE"/>
    <w:rsid w:val="00E70CEB"/>
    <w:rsid w:val="00E71027"/>
    <w:rsid w:val="00E711AB"/>
    <w:rsid w:val="00E7124E"/>
    <w:rsid w:val="00E71263"/>
    <w:rsid w:val="00E713B3"/>
    <w:rsid w:val="00E71504"/>
    <w:rsid w:val="00E71567"/>
    <w:rsid w:val="00E716F6"/>
    <w:rsid w:val="00E71914"/>
    <w:rsid w:val="00E71A2A"/>
    <w:rsid w:val="00E71A57"/>
    <w:rsid w:val="00E71ACB"/>
    <w:rsid w:val="00E71AFB"/>
    <w:rsid w:val="00E71CB7"/>
    <w:rsid w:val="00E71D79"/>
    <w:rsid w:val="00E71DA5"/>
    <w:rsid w:val="00E7206D"/>
    <w:rsid w:val="00E720FB"/>
    <w:rsid w:val="00E72697"/>
    <w:rsid w:val="00E72926"/>
    <w:rsid w:val="00E72C50"/>
    <w:rsid w:val="00E72ECE"/>
    <w:rsid w:val="00E72F7C"/>
    <w:rsid w:val="00E72FEF"/>
    <w:rsid w:val="00E7337C"/>
    <w:rsid w:val="00E73745"/>
    <w:rsid w:val="00E737CA"/>
    <w:rsid w:val="00E73865"/>
    <w:rsid w:val="00E73A7D"/>
    <w:rsid w:val="00E73BF9"/>
    <w:rsid w:val="00E73DDD"/>
    <w:rsid w:val="00E74064"/>
    <w:rsid w:val="00E740BA"/>
    <w:rsid w:val="00E74148"/>
    <w:rsid w:val="00E74228"/>
    <w:rsid w:val="00E7469E"/>
    <w:rsid w:val="00E74BA6"/>
    <w:rsid w:val="00E74EAB"/>
    <w:rsid w:val="00E74ED0"/>
    <w:rsid w:val="00E750C5"/>
    <w:rsid w:val="00E75156"/>
    <w:rsid w:val="00E75422"/>
    <w:rsid w:val="00E75467"/>
    <w:rsid w:val="00E75947"/>
    <w:rsid w:val="00E7596A"/>
    <w:rsid w:val="00E759B2"/>
    <w:rsid w:val="00E75B45"/>
    <w:rsid w:val="00E75FC2"/>
    <w:rsid w:val="00E762C5"/>
    <w:rsid w:val="00E763A2"/>
    <w:rsid w:val="00E7641C"/>
    <w:rsid w:val="00E7642C"/>
    <w:rsid w:val="00E76498"/>
    <w:rsid w:val="00E764AC"/>
    <w:rsid w:val="00E765E8"/>
    <w:rsid w:val="00E77057"/>
    <w:rsid w:val="00E7732E"/>
    <w:rsid w:val="00E773E4"/>
    <w:rsid w:val="00E7740C"/>
    <w:rsid w:val="00E77432"/>
    <w:rsid w:val="00E776BB"/>
    <w:rsid w:val="00E777E4"/>
    <w:rsid w:val="00E77B4C"/>
    <w:rsid w:val="00E77CAD"/>
    <w:rsid w:val="00E77FA8"/>
    <w:rsid w:val="00E80015"/>
    <w:rsid w:val="00E8026D"/>
    <w:rsid w:val="00E8030A"/>
    <w:rsid w:val="00E80500"/>
    <w:rsid w:val="00E805D7"/>
    <w:rsid w:val="00E8085B"/>
    <w:rsid w:val="00E8094F"/>
    <w:rsid w:val="00E80A2B"/>
    <w:rsid w:val="00E80C42"/>
    <w:rsid w:val="00E80EC8"/>
    <w:rsid w:val="00E813C0"/>
    <w:rsid w:val="00E81459"/>
    <w:rsid w:val="00E817B9"/>
    <w:rsid w:val="00E82093"/>
    <w:rsid w:val="00E821F0"/>
    <w:rsid w:val="00E82324"/>
    <w:rsid w:val="00E82471"/>
    <w:rsid w:val="00E8265B"/>
    <w:rsid w:val="00E826FB"/>
    <w:rsid w:val="00E8271A"/>
    <w:rsid w:val="00E8286F"/>
    <w:rsid w:val="00E8293D"/>
    <w:rsid w:val="00E82AE3"/>
    <w:rsid w:val="00E82FD4"/>
    <w:rsid w:val="00E8303D"/>
    <w:rsid w:val="00E83103"/>
    <w:rsid w:val="00E8324C"/>
    <w:rsid w:val="00E835C1"/>
    <w:rsid w:val="00E83D3A"/>
    <w:rsid w:val="00E83D72"/>
    <w:rsid w:val="00E83F5F"/>
    <w:rsid w:val="00E83F95"/>
    <w:rsid w:val="00E83FD3"/>
    <w:rsid w:val="00E840FB"/>
    <w:rsid w:val="00E84258"/>
    <w:rsid w:val="00E84526"/>
    <w:rsid w:val="00E846A9"/>
    <w:rsid w:val="00E84719"/>
    <w:rsid w:val="00E848C4"/>
    <w:rsid w:val="00E84A60"/>
    <w:rsid w:val="00E84E61"/>
    <w:rsid w:val="00E84F79"/>
    <w:rsid w:val="00E8511A"/>
    <w:rsid w:val="00E853C8"/>
    <w:rsid w:val="00E853F5"/>
    <w:rsid w:val="00E85449"/>
    <w:rsid w:val="00E859F1"/>
    <w:rsid w:val="00E85A91"/>
    <w:rsid w:val="00E85B5F"/>
    <w:rsid w:val="00E85BE3"/>
    <w:rsid w:val="00E85C82"/>
    <w:rsid w:val="00E85F3D"/>
    <w:rsid w:val="00E8639A"/>
    <w:rsid w:val="00E863CA"/>
    <w:rsid w:val="00E864EA"/>
    <w:rsid w:val="00E86577"/>
    <w:rsid w:val="00E86799"/>
    <w:rsid w:val="00E86B1C"/>
    <w:rsid w:val="00E86D66"/>
    <w:rsid w:val="00E87307"/>
    <w:rsid w:val="00E87313"/>
    <w:rsid w:val="00E87333"/>
    <w:rsid w:val="00E87353"/>
    <w:rsid w:val="00E87362"/>
    <w:rsid w:val="00E8748C"/>
    <w:rsid w:val="00E87722"/>
    <w:rsid w:val="00E87744"/>
    <w:rsid w:val="00E87A47"/>
    <w:rsid w:val="00E87CEA"/>
    <w:rsid w:val="00E87D94"/>
    <w:rsid w:val="00E87F55"/>
    <w:rsid w:val="00E87FC4"/>
    <w:rsid w:val="00E905DB"/>
    <w:rsid w:val="00E906F1"/>
    <w:rsid w:val="00E90A1C"/>
    <w:rsid w:val="00E91109"/>
    <w:rsid w:val="00E914E7"/>
    <w:rsid w:val="00E9155C"/>
    <w:rsid w:val="00E9161A"/>
    <w:rsid w:val="00E918A6"/>
    <w:rsid w:val="00E91B73"/>
    <w:rsid w:val="00E91BB1"/>
    <w:rsid w:val="00E91BB4"/>
    <w:rsid w:val="00E91C63"/>
    <w:rsid w:val="00E91CD1"/>
    <w:rsid w:val="00E91E00"/>
    <w:rsid w:val="00E922BF"/>
    <w:rsid w:val="00E92355"/>
    <w:rsid w:val="00E9259F"/>
    <w:rsid w:val="00E926C9"/>
    <w:rsid w:val="00E92755"/>
    <w:rsid w:val="00E92762"/>
    <w:rsid w:val="00E92AEE"/>
    <w:rsid w:val="00E93126"/>
    <w:rsid w:val="00E93279"/>
    <w:rsid w:val="00E935D9"/>
    <w:rsid w:val="00E93799"/>
    <w:rsid w:val="00E93D4E"/>
    <w:rsid w:val="00E93FE0"/>
    <w:rsid w:val="00E946BB"/>
    <w:rsid w:val="00E94EA9"/>
    <w:rsid w:val="00E951F8"/>
    <w:rsid w:val="00E9543D"/>
    <w:rsid w:val="00E95626"/>
    <w:rsid w:val="00E95723"/>
    <w:rsid w:val="00E95859"/>
    <w:rsid w:val="00E95AE1"/>
    <w:rsid w:val="00E95B16"/>
    <w:rsid w:val="00E95C9A"/>
    <w:rsid w:val="00E95CBA"/>
    <w:rsid w:val="00E95D68"/>
    <w:rsid w:val="00E95E51"/>
    <w:rsid w:val="00E95EC2"/>
    <w:rsid w:val="00E95F2C"/>
    <w:rsid w:val="00E95FB8"/>
    <w:rsid w:val="00E95FC1"/>
    <w:rsid w:val="00E96035"/>
    <w:rsid w:val="00E9629C"/>
    <w:rsid w:val="00E962BC"/>
    <w:rsid w:val="00E96509"/>
    <w:rsid w:val="00E96DD1"/>
    <w:rsid w:val="00E96E58"/>
    <w:rsid w:val="00E96E77"/>
    <w:rsid w:val="00E96F2D"/>
    <w:rsid w:val="00E96F33"/>
    <w:rsid w:val="00E96FDF"/>
    <w:rsid w:val="00E972E4"/>
    <w:rsid w:val="00E97485"/>
    <w:rsid w:val="00E97582"/>
    <w:rsid w:val="00E97584"/>
    <w:rsid w:val="00E9772C"/>
    <w:rsid w:val="00E97795"/>
    <w:rsid w:val="00E977AA"/>
    <w:rsid w:val="00E977DB"/>
    <w:rsid w:val="00E97864"/>
    <w:rsid w:val="00E97CDF"/>
    <w:rsid w:val="00E97D5E"/>
    <w:rsid w:val="00E97E68"/>
    <w:rsid w:val="00E9C137"/>
    <w:rsid w:val="00EA0241"/>
    <w:rsid w:val="00EA045F"/>
    <w:rsid w:val="00EA04DA"/>
    <w:rsid w:val="00EA0667"/>
    <w:rsid w:val="00EA0771"/>
    <w:rsid w:val="00EA0B1E"/>
    <w:rsid w:val="00EA0B68"/>
    <w:rsid w:val="00EA0D59"/>
    <w:rsid w:val="00EA0E76"/>
    <w:rsid w:val="00EA116A"/>
    <w:rsid w:val="00EA135B"/>
    <w:rsid w:val="00EA1460"/>
    <w:rsid w:val="00EA16CF"/>
    <w:rsid w:val="00EA196E"/>
    <w:rsid w:val="00EA1A07"/>
    <w:rsid w:val="00EA1A27"/>
    <w:rsid w:val="00EA1B06"/>
    <w:rsid w:val="00EA1B8C"/>
    <w:rsid w:val="00EA1D5A"/>
    <w:rsid w:val="00EA2194"/>
    <w:rsid w:val="00EA2267"/>
    <w:rsid w:val="00EA2441"/>
    <w:rsid w:val="00EA2741"/>
    <w:rsid w:val="00EA2903"/>
    <w:rsid w:val="00EA298F"/>
    <w:rsid w:val="00EA2B7A"/>
    <w:rsid w:val="00EA2E7C"/>
    <w:rsid w:val="00EA2F75"/>
    <w:rsid w:val="00EA3018"/>
    <w:rsid w:val="00EA3324"/>
    <w:rsid w:val="00EA33A6"/>
    <w:rsid w:val="00EA3A80"/>
    <w:rsid w:val="00EA3C91"/>
    <w:rsid w:val="00EA3E2B"/>
    <w:rsid w:val="00EA4240"/>
    <w:rsid w:val="00EA42F1"/>
    <w:rsid w:val="00EA4682"/>
    <w:rsid w:val="00EA4794"/>
    <w:rsid w:val="00EA487F"/>
    <w:rsid w:val="00EA49CD"/>
    <w:rsid w:val="00EA4A6D"/>
    <w:rsid w:val="00EA4EA4"/>
    <w:rsid w:val="00EA4EA8"/>
    <w:rsid w:val="00EA50D8"/>
    <w:rsid w:val="00EA522B"/>
    <w:rsid w:val="00EA5A22"/>
    <w:rsid w:val="00EA5A4F"/>
    <w:rsid w:val="00EA5AFA"/>
    <w:rsid w:val="00EA5B6F"/>
    <w:rsid w:val="00EA5B73"/>
    <w:rsid w:val="00EA6602"/>
    <w:rsid w:val="00EA6ECA"/>
    <w:rsid w:val="00EA7007"/>
    <w:rsid w:val="00EA73A2"/>
    <w:rsid w:val="00EA75DC"/>
    <w:rsid w:val="00EA760E"/>
    <w:rsid w:val="00EA7828"/>
    <w:rsid w:val="00EA7A72"/>
    <w:rsid w:val="00EA7C4C"/>
    <w:rsid w:val="00EB0340"/>
    <w:rsid w:val="00EB077B"/>
    <w:rsid w:val="00EB07B2"/>
    <w:rsid w:val="00EB0B6C"/>
    <w:rsid w:val="00EB0C1A"/>
    <w:rsid w:val="00EB0D07"/>
    <w:rsid w:val="00EB0EB9"/>
    <w:rsid w:val="00EB0EEC"/>
    <w:rsid w:val="00EB190B"/>
    <w:rsid w:val="00EB1A31"/>
    <w:rsid w:val="00EB1CD5"/>
    <w:rsid w:val="00EB1CE6"/>
    <w:rsid w:val="00EB1DAC"/>
    <w:rsid w:val="00EB1E29"/>
    <w:rsid w:val="00EB2769"/>
    <w:rsid w:val="00EB2874"/>
    <w:rsid w:val="00EB28DB"/>
    <w:rsid w:val="00EB29DD"/>
    <w:rsid w:val="00EB2EB3"/>
    <w:rsid w:val="00EB2F87"/>
    <w:rsid w:val="00EB2FD2"/>
    <w:rsid w:val="00EB2FDD"/>
    <w:rsid w:val="00EB3011"/>
    <w:rsid w:val="00EB303B"/>
    <w:rsid w:val="00EB32EE"/>
    <w:rsid w:val="00EB3664"/>
    <w:rsid w:val="00EB3DA5"/>
    <w:rsid w:val="00EB3E79"/>
    <w:rsid w:val="00EB3F1C"/>
    <w:rsid w:val="00EB3FD1"/>
    <w:rsid w:val="00EB416E"/>
    <w:rsid w:val="00EB4520"/>
    <w:rsid w:val="00EB4A71"/>
    <w:rsid w:val="00EB4D0F"/>
    <w:rsid w:val="00EB4EDF"/>
    <w:rsid w:val="00EB534E"/>
    <w:rsid w:val="00EB5353"/>
    <w:rsid w:val="00EB53F8"/>
    <w:rsid w:val="00EB59CA"/>
    <w:rsid w:val="00EB5AF8"/>
    <w:rsid w:val="00EB5B9D"/>
    <w:rsid w:val="00EB68EF"/>
    <w:rsid w:val="00EB6B54"/>
    <w:rsid w:val="00EB6BF9"/>
    <w:rsid w:val="00EB7333"/>
    <w:rsid w:val="00EB749E"/>
    <w:rsid w:val="00EB74A6"/>
    <w:rsid w:val="00EB757D"/>
    <w:rsid w:val="00EB76E7"/>
    <w:rsid w:val="00EB7788"/>
    <w:rsid w:val="00EB7AE0"/>
    <w:rsid w:val="00EB7EDD"/>
    <w:rsid w:val="00EB7EF5"/>
    <w:rsid w:val="00EB7F52"/>
    <w:rsid w:val="00EB7FF5"/>
    <w:rsid w:val="00EC01B0"/>
    <w:rsid w:val="00EC02E9"/>
    <w:rsid w:val="00EC0667"/>
    <w:rsid w:val="00EC0736"/>
    <w:rsid w:val="00EC0743"/>
    <w:rsid w:val="00EC094E"/>
    <w:rsid w:val="00EC0B35"/>
    <w:rsid w:val="00EC0ED6"/>
    <w:rsid w:val="00EC13C2"/>
    <w:rsid w:val="00EC16BB"/>
    <w:rsid w:val="00EC1834"/>
    <w:rsid w:val="00EC1861"/>
    <w:rsid w:val="00EC19EA"/>
    <w:rsid w:val="00EC19F4"/>
    <w:rsid w:val="00EC1A4F"/>
    <w:rsid w:val="00EC1B80"/>
    <w:rsid w:val="00EC1DEF"/>
    <w:rsid w:val="00EC269B"/>
    <w:rsid w:val="00EC26D3"/>
    <w:rsid w:val="00EC2C0C"/>
    <w:rsid w:val="00EC2CA9"/>
    <w:rsid w:val="00EC3557"/>
    <w:rsid w:val="00EC37A8"/>
    <w:rsid w:val="00EC38B5"/>
    <w:rsid w:val="00EC39C6"/>
    <w:rsid w:val="00EC3A6B"/>
    <w:rsid w:val="00EC3D09"/>
    <w:rsid w:val="00EC3F3C"/>
    <w:rsid w:val="00EC4B5E"/>
    <w:rsid w:val="00EC4F5E"/>
    <w:rsid w:val="00EC4F76"/>
    <w:rsid w:val="00EC4F80"/>
    <w:rsid w:val="00EC4FF8"/>
    <w:rsid w:val="00EC5226"/>
    <w:rsid w:val="00EC52EE"/>
    <w:rsid w:val="00EC58D5"/>
    <w:rsid w:val="00EC58D8"/>
    <w:rsid w:val="00EC6183"/>
    <w:rsid w:val="00EC65D4"/>
    <w:rsid w:val="00EC6610"/>
    <w:rsid w:val="00EC67F6"/>
    <w:rsid w:val="00EC682B"/>
    <w:rsid w:val="00EC6FDA"/>
    <w:rsid w:val="00EC729D"/>
    <w:rsid w:val="00EC72C7"/>
    <w:rsid w:val="00EC7372"/>
    <w:rsid w:val="00EC73F8"/>
    <w:rsid w:val="00EC7412"/>
    <w:rsid w:val="00EC7590"/>
    <w:rsid w:val="00EC75A7"/>
    <w:rsid w:val="00EC75D0"/>
    <w:rsid w:val="00EC76AA"/>
    <w:rsid w:val="00EC7836"/>
    <w:rsid w:val="00EC7851"/>
    <w:rsid w:val="00EC788C"/>
    <w:rsid w:val="00EC7F71"/>
    <w:rsid w:val="00ED0155"/>
    <w:rsid w:val="00ED01A6"/>
    <w:rsid w:val="00ED04F3"/>
    <w:rsid w:val="00ED0550"/>
    <w:rsid w:val="00ED067C"/>
    <w:rsid w:val="00ED0C33"/>
    <w:rsid w:val="00ED0CB4"/>
    <w:rsid w:val="00ED1353"/>
    <w:rsid w:val="00ED1686"/>
    <w:rsid w:val="00ED1CD0"/>
    <w:rsid w:val="00ED20C8"/>
    <w:rsid w:val="00ED21AB"/>
    <w:rsid w:val="00ED24B3"/>
    <w:rsid w:val="00ED2824"/>
    <w:rsid w:val="00ED2C72"/>
    <w:rsid w:val="00ED304E"/>
    <w:rsid w:val="00ED3995"/>
    <w:rsid w:val="00ED3AD2"/>
    <w:rsid w:val="00ED3B96"/>
    <w:rsid w:val="00ED4495"/>
    <w:rsid w:val="00ED44D6"/>
    <w:rsid w:val="00ED465C"/>
    <w:rsid w:val="00ED4867"/>
    <w:rsid w:val="00ED4A6A"/>
    <w:rsid w:val="00ED4B46"/>
    <w:rsid w:val="00ED4E07"/>
    <w:rsid w:val="00ED542F"/>
    <w:rsid w:val="00ED565A"/>
    <w:rsid w:val="00ED5905"/>
    <w:rsid w:val="00ED59D0"/>
    <w:rsid w:val="00ED5C0F"/>
    <w:rsid w:val="00ED602B"/>
    <w:rsid w:val="00ED6042"/>
    <w:rsid w:val="00ED61AC"/>
    <w:rsid w:val="00ED63A3"/>
    <w:rsid w:val="00ED6AD4"/>
    <w:rsid w:val="00ED6B96"/>
    <w:rsid w:val="00ED6D5D"/>
    <w:rsid w:val="00ED71E1"/>
    <w:rsid w:val="00ED71EE"/>
    <w:rsid w:val="00ED7309"/>
    <w:rsid w:val="00ED77B4"/>
    <w:rsid w:val="00ED78C3"/>
    <w:rsid w:val="00ED7A53"/>
    <w:rsid w:val="00ED7AE2"/>
    <w:rsid w:val="00ED7B5E"/>
    <w:rsid w:val="00ED7F43"/>
    <w:rsid w:val="00EE035C"/>
    <w:rsid w:val="00EE05F4"/>
    <w:rsid w:val="00EE0890"/>
    <w:rsid w:val="00EE0926"/>
    <w:rsid w:val="00EE0932"/>
    <w:rsid w:val="00EE0A27"/>
    <w:rsid w:val="00EE0D82"/>
    <w:rsid w:val="00EE0DA7"/>
    <w:rsid w:val="00EE0ED5"/>
    <w:rsid w:val="00EE1019"/>
    <w:rsid w:val="00EE10D5"/>
    <w:rsid w:val="00EE161B"/>
    <w:rsid w:val="00EE1622"/>
    <w:rsid w:val="00EE1951"/>
    <w:rsid w:val="00EE1AE4"/>
    <w:rsid w:val="00EE1B3E"/>
    <w:rsid w:val="00EE1B57"/>
    <w:rsid w:val="00EE1BB6"/>
    <w:rsid w:val="00EE1DC4"/>
    <w:rsid w:val="00EE1E5C"/>
    <w:rsid w:val="00EE1F33"/>
    <w:rsid w:val="00EE204E"/>
    <w:rsid w:val="00EE21AE"/>
    <w:rsid w:val="00EE272B"/>
    <w:rsid w:val="00EE27E9"/>
    <w:rsid w:val="00EE281B"/>
    <w:rsid w:val="00EE2977"/>
    <w:rsid w:val="00EE29B5"/>
    <w:rsid w:val="00EE2AAE"/>
    <w:rsid w:val="00EE2D67"/>
    <w:rsid w:val="00EE2DB3"/>
    <w:rsid w:val="00EE3073"/>
    <w:rsid w:val="00EE3107"/>
    <w:rsid w:val="00EE3153"/>
    <w:rsid w:val="00EE3257"/>
    <w:rsid w:val="00EE35F8"/>
    <w:rsid w:val="00EE3916"/>
    <w:rsid w:val="00EE3964"/>
    <w:rsid w:val="00EE3B00"/>
    <w:rsid w:val="00EE442F"/>
    <w:rsid w:val="00EE4465"/>
    <w:rsid w:val="00EE459E"/>
    <w:rsid w:val="00EE45B8"/>
    <w:rsid w:val="00EE4A2C"/>
    <w:rsid w:val="00EE4AA2"/>
    <w:rsid w:val="00EE4BBF"/>
    <w:rsid w:val="00EE4DCA"/>
    <w:rsid w:val="00EE4EC1"/>
    <w:rsid w:val="00EE514D"/>
    <w:rsid w:val="00EE5154"/>
    <w:rsid w:val="00EE56C9"/>
    <w:rsid w:val="00EE57B2"/>
    <w:rsid w:val="00EE5AAD"/>
    <w:rsid w:val="00EE5ADD"/>
    <w:rsid w:val="00EE5D24"/>
    <w:rsid w:val="00EE5F0D"/>
    <w:rsid w:val="00EE623A"/>
    <w:rsid w:val="00EE664D"/>
    <w:rsid w:val="00EE66BD"/>
    <w:rsid w:val="00EE67DC"/>
    <w:rsid w:val="00EE67DD"/>
    <w:rsid w:val="00EE6C68"/>
    <w:rsid w:val="00EE6F30"/>
    <w:rsid w:val="00EE72E4"/>
    <w:rsid w:val="00EE7551"/>
    <w:rsid w:val="00EE7572"/>
    <w:rsid w:val="00EE75D7"/>
    <w:rsid w:val="00EE77A2"/>
    <w:rsid w:val="00EF004A"/>
    <w:rsid w:val="00EF03FF"/>
    <w:rsid w:val="00EF04B5"/>
    <w:rsid w:val="00EF0973"/>
    <w:rsid w:val="00EF0E2F"/>
    <w:rsid w:val="00EF0F78"/>
    <w:rsid w:val="00EF1002"/>
    <w:rsid w:val="00EF103E"/>
    <w:rsid w:val="00EF1305"/>
    <w:rsid w:val="00EF14EB"/>
    <w:rsid w:val="00EF1613"/>
    <w:rsid w:val="00EF1786"/>
    <w:rsid w:val="00EF18CA"/>
    <w:rsid w:val="00EF199A"/>
    <w:rsid w:val="00EF1CA6"/>
    <w:rsid w:val="00EF22CA"/>
    <w:rsid w:val="00EF24BE"/>
    <w:rsid w:val="00EF25F1"/>
    <w:rsid w:val="00EF273C"/>
    <w:rsid w:val="00EF2AC5"/>
    <w:rsid w:val="00EF2AFF"/>
    <w:rsid w:val="00EF2E62"/>
    <w:rsid w:val="00EF3023"/>
    <w:rsid w:val="00EF3111"/>
    <w:rsid w:val="00EF3252"/>
    <w:rsid w:val="00EF34C5"/>
    <w:rsid w:val="00EF353B"/>
    <w:rsid w:val="00EF3593"/>
    <w:rsid w:val="00EF365C"/>
    <w:rsid w:val="00EF398C"/>
    <w:rsid w:val="00EF3AD2"/>
    <w:rsid w:val="00EF3BA0"/>
    <w:rsid w:val="00EF3D6D"/>
    <w:rsid w:val="00EF3DFF"/>
    <w:rsid w:val="00EF42D1"/>
    <w:rsid w:val="00EF4699"/>
    <w:rsid w:val="00EF46A9"/>
    <w:rsid w:val="00EF46CC"/>
    <w:rsid w:val="00EF46E0"/>
    <w:rsid w:val="00EF497D"/>
    <w:rsid w:val="00EF4C3A"/>
    <w:rsid w:val="00EF4C8D"/>
    <w:rsid w:val="00EF4DCA"/>
    <w:rsid w:val="00EF526B"/>
    <w:rsid w:val="00EF5929"/>
    <w:rsid w:val="00EF5C68"/>
    <w:rsid w:val="00EF60FE"/>
    <w:rsid w:val="00EF6281"/>
    <w:rsid w:val="00EF6321"/>
    <w:rsid w:val="00EF6489"/>
    <w:rsid w:val="00EF661D"/>
    <w:rsid w:val="00EF6688"/>
    <w:rsid w:val="00EF66FF"/>
    <w:rsid w:val="00EF695C"/>
    <w:rsid w:val="00EF6B7F"/>
    <w:rsid w:val="00EF6DD2"/>
    <w:rsid w:val="00EF6EF5"/>
    <w:rsid w:val="00EF7072"/>
    <w:rsid w:val="00EF7523"/>
    <w:rsid w:val="00EF7658"/>
    <w:rsid w:val="00EF76ED"/>
    <w:rsid w:val="00EF7798"/>
    <w:rsid w:val="00EF7837"/>
    <w:rsid w:val="00EF784C"/>
    <w:rsid w:val="00EF7989"/>
    <w:rsid w:val="00EF79D3"/>
    <w:rsid w:val="00EF7A3F"/>
    <w:rsid w:val="00EF7E61"/>
    <w:rsid w:val="00F008D2"/>
    <w:rsid w:val="00F009AF"/>
    <w:rsid w:val="00F00ABB"/>
    <w:rsid w:val="00F00AD5"/>
    <w:rsid w:val="00F00B17"/>
    <w:rsid w:val="00F01144"/>
    <w:rsid w:val="00F011B5"/>
    <w:rsid w:val="00F0135A"/>
    <w:rsid w:val="00F01A65"/>
    <w:rsid w:val="00F02197"/>
    <w:rsid w:val="00F0219B"/>
    <w:rsid w:val="00F023D8"/>
    <w:rsid w:val="00F02440"/>
    <w:rsid w:val="00F02465"/>
    <w:rsid w:val="00F02500"/>
    <w:rsid w:val="00F02759"/>
    <w:rsid w:val="00F027C0"/>
    <w:rsid w:val="00F02862"/>
    <w:rsid w:val="00F02901"/>
    <w:rsid w:val="00F02AC0"/>
    <w:rsid w:val="00F02F61"/>
    <w:rsid w:val="00F03667"/>
    <w:rsid w:val="00F037F9"/>
    <w:rsid w:val="00F03837"/>
    <w:rsid w:val="00F03934"/>
    <w:rsid w:val="00F03A8E"/>
    <w:rsid w:val="00F03A90"/>
    <w:rsid w:val="00F03B2B"/>
    <w:rsid w:val="00F03B5F"/>
    <w:rsid w:val="00F03DB0"/>
    <w:rsid w:val="00F043AF"/>
    <w:rsid w:val="00F045F1"/>
    <w:rsid w:val="00F0480B"/>
    <w:rsid w:val="00F0481A"/>
    <w:rsid w:val="00F049E6"/>
    <w:rsid w:val="00F049E8"/>
    <w:rsid w:val="00F04F72"/>
    <w:rsid w:val="00F050D8"/>
    <w:rsid w:val="00F0544C"/>
    <w:rsid w:val="00F054F5"/>
    <w:rsid w:val="00F05602"/>
    <w:rsid w:val="00F05A7F"/>
    <w:rsid w:val="00F05A8D"/>
    <w:rsid w:val="00F05C9A"/>
    <w:rsid w:val="00F05D80"/>
    <w:rsid w:val="00F06449"/>
    <w:rsid w:val="00F06567"/>
    <w:rsid w:val="00F06830"/>
    <w:rsid w:val="00F06867"/>
    <w:rsid w:val="00F06A6B"/>
    <w:rsid w:val="00F06BB3"/>
    <w:rsid w:val="00F06D2A"/>
    <w:rsid w:val="00F06E36"/>
    <w:rsid w:val="00F073BC"/>
    <w:rsid w:val="00F07501"/>
    <w:rsid w:val="00F07789"/>
    <w:rsid w:val="00F102C5"/>
    <w:rsid w:val="00F102EB"/>
    <w:rsid w:val="00F104E1"/>
    <w:rsid w:val="00F10541"/>
    <w:rsid w:val="00F10674"/>
    <w:rsid w:val="00F107D3"/>
    <w:rsid w:val="00F1093A"/>
    <w:rsid w:val="00F109AA"/>
    <w:rsid w:val="00F110EE"/>
    <w:rsid w:val="00F11159"/>
    <w:rsid w:val="00F11195"/>
    <w:rsid w:val="00F11230"/>
    <w:rsid w:val="00F1178D"/>
    <w:rsid w:val="00F11A18"/>
    <w:rsid w:val="00F11C38"/>
    <w:rsid w:val="00F11F62"/>
    <w:rsid w:val="00F12941"/>
    <w:rsid w:val="00F129A8"/>
    <w:rsid w:val="00F12B13"/>
    <w:rsid w:val="00F12BFC"/>
    <w:rsid w:val="00F12E19"/>
    <w:rsid w:val="00F13051"/>
    <w:rsid w:val="00F13119"/>
    <w:rsid w:val="00F133E9"/>
    <w:rsid w:val="00F133F2"/>
    <w:rsid w:val="00F1362E"/>
    <w:rsid w:val="00F13AF6"/>
    <w:rsid w:val="00F13B38"/>
    <w:rsid w:val="00F13EA3"/>
    <w:rsid w:val="00F13ECB"/>
    <w:rsid w:val="00F13F15"/>
    <w:rsid w:val="00F13F18"/>
    <w:rsid w:val="00F1422B"/>
    <w:rsid w:val="00F142AF"/>
    <w:rsid w:val="00F142C4"/>
    <w:rsid w:val="00F142CF"/>
    <w:rsid w:val="00F143DE"/>
    <w:rsid w:val="00F145D6"/>
    <w:rsid w:val="00F14823"/>
    <w:rsid w:val="00F14A4D"/>
    <w:rsid w:val="00F14DAA"/>
    <w:rsid w:val="00F14E34"/>
    <w:rsid w:val="00F14E67"/>
    <w:rsid w:val="00F14FC2"/>
    <w:rsid w:val="00F150F8"/>
    <w:rsid w:val="00F152BC"/>
    <w:rsid w:val="00F15352"/>
    <w:rsid w:val="00F15614"/>
    <w:rsid w:val="00F15A67"/>
    <w:rsid w:val="00F15A89"/>
    <w:rsid w:val="00F15CA1"/>
    <w:rsid w:val="00F15D1D"/>
    <w:rsid w:val="00F15ED3"/>
    <w:rsid w:val="00F16074"/>
    <w:rsid w:val="00F16468"/>
    <w:rsid w:val="00F1680A"/>
    <w:rsid w:val="00F16886"/>
    <w:rsid w:val="00F16C62"/>
    <w:rsid w:val="00F173E4"/>
    <w:rsid w:val="00F17590"/>
    <w:rsid w:val="00F17716"/>
    <w:rsid w:val="00F177F5"/>
    <w:rsid w:val="00F17953"/>
    <w:rsid w:val="00F17C03"/>
    <w:rsid w:val="00F17F15"/>
    <w:rsid w:val="00F17F43"/>
    <w:rsid w:val="00F200DC"/>
    <w:rsid w:val="00F2014C"/>
    <w:rsid w:val="00F203AB"/>
    <w:rsid w:val="00F203B6"/>
    <w:rsid w:val="00F20508"/>
    <w:rsid w:val="00F2063F"/>
    <w:rsid w:val="00F20822"/>
    <w:rsid w:val="00F20857"/>
    <w:rsid w:val="00F208E2"/>
    <w:rsid w:val="00F209F7"/>
    <w:rsid w:val="00F20A76"/>
    <w:rsid w:val="00F20C58"/>
    <w:rsid w:val="00F20F07"/>
    <w:rsid w:val="00F20F16"/>
    <w:rsid w:val="00F20F96"/>
    <w:rsid w:val="00F21120"/>
    <w:rsid w:val="00F213C7"/>
    <w:rsid w:val="00F213C8"/>
    <w:rsid w:val="00F21550"/>
    <w:rsid w:val="00F21675"/>
    <w:rsid w:val="00F21B60"/>
    <w:rsid w:val="00F21D0B"/>
    <w:rsid w:val="00F21DA8"/>
    <w:rsid w:val="00F21F01"/>
    <w:rsid w:val="00F21F5D"/>
    <w:rsid w:val="00F221D4"/>
    <w:rsid w:val="00F229BD"/>
    <w:rsid w:val="00F22B34"/>
    <w:rsid w:val="00F22B5D"/>
    <w:rsid w:val="00F22B63"/>
    <w:rsid w:val="00F22C32"/>
    <w:rsid w:val="00F22C8C"/>
    <w:rsid w:val="00F22D71"/>
    <w:rsid w:val="00F2357D"/>
    <w:rsid w:val="00F23605"/>
    <w:rsid w:val="00F23DB4"/>
    <w:rsid w:val="00F23DC8"/>
    <w:rsid w:val="00F23F9F"/>
    <w:rsid w:val="00F2424F"/>
    <w:rsid w:val="00F2443F"/>
    <w:rsid w:val="00F24580"/>
    <w:rsid w:val="00F24607"/>
    <w:rsid w:val="00F247D1"/>
    <w:rsid w:val="00F247D4"/>
    <w:rsid w:val="00F24A48"/>
    <w:rsid w:val="00F24A59"/>
    <w:rsid w:val="00F25012"/>
    <w:rsid w:val="00F25485"/>
    <w:rsid w:val="00F25859"/>
    <w:rsid w:val="00F2586F"/>
    <w:rsid w:val="00F25E1A"/>
    <w:rsid w:val="00F25F68"/>
    <w:rsid w:val="00F26131"/>
    <w:rsid w:val="00F262FC"/>
    <w:rsid w:val="00F26331"/>
    <w:rsid w:val="00F2658D"/>
    <w:rsid w:val="00F26666"/>
    <w:rsid w:val="00F26E9E"/>
    <w:rsid w:val="00F26F51"/>
    <w:rsid w:val="00F26F6E"/>
    <w:rsid w:val="00F26F8E"/>
    <w:rsid w:val="00F2708E"/>
    <w:rsid w:val="00F270A8"/>
    <w:rsid w:val="00F271CD"/>
    <w:rsid w:val="00F276C5"/>
    <w:rsid w:val="00F277CB"/>
    <w:rsid w:val="00F279D3"/>
    <w:rsid w:val="00F27AAF"/>
    <w:rsid w:val="00F27AC7"/>
    <w:rsid w:val="00F27B03"/>
    <w:rsid w:val="00F27F89"/>
    <w:rsid w:val="00F30122"/>
    <w:rsid w:val="00F30976"/>
    <w:rsid w:val="00F30A24"/>
    <w:rsid w:val="00F30A9C"/>
    <w:rsid w:val="00F30EF5"/>
    <w:rsid w:val="00F31569"/>
    <w:rsid w:val="00F3162D"/>
    <w:rsid w:val="00F31911"/>
    <w:rsid w:val="00F31B14"/>
    <w:rsid w:val="00F31CAB"/>
    <w:rsid w:val="00F320E2"/>
    <w:rsid w:val="00F321B4"/>
    <w:rsid w:val="00F322A0"/>
    <w:rsid w:val="00F32681"/>
    <w:rsid w:val="00F3269A"/>
    <w:rsid w:val="00F3281E"/>
    <w:rsid w:val="00F3296B"/>
    <w:rsid w:val="00F32E03"/>
    <w:rsid w:val="00F32E28"/>
    <w:rsid w:val="00F32F0D"/>
    <w:rsid w:val="00F32FA0"/>
    <w:rsid w:val="00F32FBD"/>
    <w:rsid w:val="00F33122"/>
    <w:rsid w:val="00F331EE"/>
    <w:rsid w:val="00F3329B"/>
    <w:rsid w:val="00F3336A"/>
    <w:rsid w:val="00F3348C"/>
    <w:rsid w:val="00F3350C"/>
    <w:rsid w:val="00F33789"/>
    <w:rsid w:val="00F338BB"/>
    <w:rsid w:val="00F33B7B"/>
    <w:rsid w:val="00F33BD4"/>
    <w:rsid w:val="00F3437D"/>
    <w:rsid w:val="00F34561"/>
    <w:rsid w:val="00F34622"/>
    <w:rsid w:val="00F34726"/>
    <w:rsid w:val="00F3480F"/>
    <w:rsid w:val="00F34AA8"/>
    <w:rsid w:val="00F34ADB"/>
    <w:rsid w:val="00F35160"/>
    <w:rsid w:val="00F351CA"/>
    <w:rsid w:val="00F35587"/>
    <w:rsid w:val="00F35A7F"/>
    <w:rsid w:val="00F35FE0"/>
    <w:rsid w:val="00F36149"/>
    <w:rsid w:val="00F3623A"/>
    <w:rsid w:val="00F365EF"/>
    <w:rsid w:val="00F36674"/>
    <w:rsid w:val="00F36729"/>
    <w:rsid w:val="00F3716D"/>
    <w:rsid w:val="00F37280"/>
    <w:rsid w:val="00F37762"/>
    <w:rsid w:val="00F377AF"/>
    <w:rsid w:val="00F37800"/>
    <w:rsid w:val="00F37864"/>
    <w:rsid w:val="00F37875"/>
    <w:rsid w:val="00F3793F"/>
    <w:rsid w:val="00F37EB0"/>
    <w:rsid w:val="00F4010B"/>
    <w:rsid w:val="00F40125"/>
    <w:rsid w:val="00F40286"/>
    <w:rsid w:val="00F4089B"/>
    <w:rsid w:val="00F40976"/>
    <w:rsid w:val="00F40ABB"/>
    <w:rsid w:val="00F40ADA"/>
    <w:rsid w:val="00F40AED"/>
    <w:rsid w:val="00F40B8A"/>
    <w:rsid w:val="00F40F7E"/>
    <w:rsid w:val="00F4126D"/>
    <w:rsid w:val="00F412CE"/>
    <w:rsid w:val="00F41608"/>
    <w:rsid w:val="00F41658"/>
    <w:rsid w:val="00F416BA"/>
    <w:rsid w:val="00F41724"/>
    <w:rsid w:val="00F41895"/>
    <w:rsid w:val="00F418EC"/>
    <w:rsid w:val="00F41971"/>
    <w:rsid w:val="00F419A1"/>
    <w:rsid w:val="00F419BB"/>
    <w:rsid w:val="00F41A96"/>
    <w:rsid w:val="00F41C8E"/>
    <w:rsid w:val="00F42490"/>
    <w:rsid w:val="00F42C82"/>
    <w:rsid w:val="00F42F3A"/>
    <w:rsid w:val="00F43066"/>
    <w:rsid w:val="00F4309B"/>
    <w:rsid w:val="00F430BF"/>
    <w:rsid w:val="00F4339C"/>
    <w:rsid w:val="00F436A4"/>
    <w:rsid w:val="00F43ABF"/>
    <w:rsid w:val="00F43C91"/>
    <w:rsid w:val="00F43E2F"/>
    <w:rsid w:val="00F43EB1"/>
    <w:rsid w:val="00F44238"/>
    <w:rsid w:val="00F44506"/>
    <w:rsid w:val="00F445B7"/>
    <w:rsid w:val="00F446F0"/>
    <w:rsid w:val="00F44ABA"/>
    <w:rsid w:val="00F44F63"/>
    <w:rsid w:val="00F45399"/>
    <w:rsid w:val="00F456BC"/>
    <w:rsid w:val="00F45818"/>
    <w:rsid w:val="00F4587C"/>
    <w:rsid w:val="00F45B75"/>
    <w:rsid w:val="00F45C13"/>
    <w:rsid w:val="00F45EAC"/>
    <w:rsid w:val="00F4621E"/>
    <w:rsid w:val="00F46254"/>
    <w:rsid w:val="00F4657D"/>
    <w:rsid w:val="00F465AF"/>
    <w:rsid w:val="00F46677"/>
    <w:rsid w:val="00F4670F"/>
    <w:rsid w:val="00F46842"/>
    <w:rsid w:val="00F468C6"/>
    <w:rsid w:val="00F468EB"/>
    <w:rsid w:val="00F46B73"/>
    <w:rsid w:val="00F46BCE"/>
    <w:rsid w:val="00F46C10"/>
    <w:rsid w:val="00F46D24"/>
    <w:rsid w:val="00F46D29"/>
    <w:rsid w:val="00F46F1D"/>
    <w:rsid w:val="00F46FCC"/>
    <w:rsid w:val="00F47291"/>
    <w:rsid w:val="00F47518"/>
    <w:rsid w:val="00F47606"/>
    <w:rsid w:val="00F47762"/>
    <w:rsid w:val="00F47793"/>
    <w:rsid w:val="00F479B4"/>
    <w:rsid w:val="00F47A07"/>
    <w:rsid w:val="00F47B73"/>
    <w:rsid w:val="00F47DD1"/>
    <w:rsid w:val="00F47DF7"/>
    <w:rsid w:val="00F47F9F"/>
    <w:rsid w:val="00F50051"/>
    <w:rsid w:val="00F506CE"/>
    <w:rsid w:val="00F50DDB"/>
    <w:rsid w:val="00F50E6C"/>
    <w:rsid w:val="00F512B8"/>
    <w:rsid w:val="00F51513"/>
    <w:rsid w:val="00F516B8"/>
    <w:rsid w:val="00F517FF"/>
    <w:rsid w:val="00F51838"/>
    <w:rsid w:val="00F51AA0"/>
    <w:rsid w:val="00F51AC4"/>
    <w:rsid w:val="00F51B82"/>
    <w:rsid w:val="00F51CE4"/>
    <w:rsid w:val="00F51D19"/>
    <w:rsid w:val="00F51F71"/>
    <w:rsid w:val="00F51F9C"/>
    <w:rsid w:val="00F520FD"/>
    <w:rsid w:val="00F52255"/>
    <w:rsid w:val="00F523A8"/>
    <w:rsid w:val="00F52641"/>
    <w:rsid w:val="00F526B3"/>
    <w:rsid w:val="00F526F2"/>
    <w:rsid w:val="00F52808"/>
    <w:rsid w:val="00F528F0"/>
    <w:rsid w:val="00F5297C"/>
    <w:rsid w:val="00F52AFE"/>
    <w:rsid w:val="00F52D02"/>
    <w:rsid w:val="00F52D1C"/>
    <w:rsid w:val="00F52D25"/>
    <w:rsid w:val="00F52D5B"/>
    <w:rsid w:val="00F52DEF"/>
    <w:rsid w:val="00F53502"/>
    <w:rsid w:val="00F535E0"/>
    <w:rsid w:val="00F535EC"/>
    <w:rsid w:val="00F536E1"/>
    <w:rsid w:val="00F5375B"/>
    <w:rsid w:val="00F53979"/>
    <w:rsid w:val="00F53D3A"/>
    <w:rsid w:val="00F53DC6"/>
    <w:rsid w:val="00F5413B"/>
    <w:rsid w:val="00F541BF"/>
    <w:rsid w:val="00F542DE"/>
    <w:rsid w:val="00F54301"/>
    <w:rsid w:val="00F54368"/>
    <w:rsid w:val="00F543A3"/>
    <w:rsid w:val="00F54453"/>
    <w:rsid w:val="00F5467C"/>
    <w:rsid w:val="00F54A3F"/>
    <w:rsid w:val="00F54B3B"/>
    <w:rsid w:val="00F54DDD"/>
    <w:rsid w:val="00F54E47"/>
    <w:rsid w:val="00F5510A"/>
    <w:rsid w:val="00F55131"/>
    <w:rsid w:val="00F551C8"/>
    <w:rsid w:val="00F551F5"/>
    <w:rsid w:val="00F552D7"/>
    <w:rsid w:val="00F55360"/>
    <w:rsid w:val="00F5538A"/>
    <w:rsid w:val="00F5550B"/>
    <w:rsid w:val="00F55630"/>
    <w:rsid w:val="00F55644"/>
    <w:rsid w:val="00F556A9"/>
    <w:rsid w:val="00F556DF"/>
    <w:rsid w:val="00F55773"/>
    <w:rsid w:val="00F55D7B"/>
    <w:rsid w:val="00F560EB"/>
    <w:rsid w:val="00F562DA"/>
    <w:rsid w:val="00F564A3"/>
    <w:rsid w:val="00F564A4"/>
    <w:rsid w:val="00F56655"/>
    <w:rsid w:val="00F566D5"/>
    <w:rsid w:val="00F56B2A"/>
    <w:rsid w:val="00F56CFC"/>
    <w:rsid w:val="00F56E21"/>
    <w:rsid w:val="00F571FA"/>
    <w:rsid w:val="00F5741C"/>
    <w:rsid w:val="00F575D2"/>
    <w:rsid w:val="00F575E0"/>
    <w:rsid w:val="00F578FC"/>
    <w:rsid w:val="00F57AA8"/>
    <w:rsid w:val="00F57ADE"/>
    <w:rsid w:val="00F57BC3"/>
    <w:rsid w:val="00F57C34"/>
    <w:rsid w:val="00F60108"/>
    <w:rsid w:val="00F60127"/>
    <w:rsid w:val="00F603AC"/>
    <w:rsid w:val="00F603BA"/>
    <w:rsid w:val="00F61505"/>
    <w:rsid w:val="00F619A9"/>
    <w:rsid w:val="00F61CC0"/>
    <w:rsid w:val="00F61DDA"/>
    <w:rsid w:val="00F62114"/>
    <w:rsid w:val="00F623A6"/>
    <w:rsid w:val="00F623D5"/>
    <w:rsid w:val="00F624BA"/>
    <w:rsid w:val="00F62577"/>
    <w:rsid w:val="00F62583"/>
    <w:rsid w:val="00F6260D"/>
    <w:rsid w:val="00F62986"/>
    <w:rsid w:val="00F62CB3"/>
    <w:rsid w:val="00F62CC8"/>
    <w:rsid w:val="00F62CF5"/>
    <w:rsid w:val="00F63311"/>
    <w:rsid w:val="00F63851"/>
    <w:rsid w:val="00F63A58"/>
    <w:rsid w:val="00F63E86"/>
    <w:rsid w:val="00F64115"/>
    <w:rsid w:val="00F6434A"/>
    <w:rsid w:val="00F646F5"/>
    <w:rsid w:val="00F64751"/>
    <w:rsid w:val="00F64788"/>
    <w:rsid w:val="00F650C5"/>
    <w:rsid w:val="00F6547D"/>
    <w:rsid w:val="00F65515"/>
    <w:rsid w:val="00F6564C"/>
    <w:rsid w:val="00F65BBB"/>
    <w:rsid w:val="00F65CC6"/>
    <w:rsid w:val="00F65D6B"/>
    <w:rsid w:val="00F65FCB"/>
    <w:rsid w:val="00F66039"/>
    <w:rsid w:val="00F6610B"/>
    <w:rsid w:val="00F66117"/>
    <w:rsid w:val="00F661DC"/>
    <w:rsid w:val="00F664DE"/>
    <w:rsid w:val="00F66AFB"/>
    <w:rsid w:val="00F670CE"/>
    <w:rsid w:val="00F67266"/>
    <w:rsid w:val="00F673B6"/>
    <w:rsid w:val="00F67603"/>
    <w:rsid w:val="00F6765F"/>
    <w:rsid w:val="00F6796C"/>
    <w:rsid w:val="00F67A73"/>
    <w:rsid w:val="00F67AA3"/>
    <w:rsid w:val="00F67BC2"/>
    <w:rsid w:val="00F67E5B"/>
    <w:rsid w:val="00F67F9C"/>
    <w:rsid w:val="00F70381"/>
    <w:rsid w:val="00F70685"/>
    <w:rsid w:val="00F709B2"/>
    <w:rsid w:val="00F70B5F"/>
    <w:rsid w:val="00F7118F"/>
    <w:rsid w:val="00F712A5"/>
    <w:rsid w:val="00F715FB"/>
    <w:rsid w:val="00F7161A"/>
    <w:rsid w:val="00F7165D"/>
    <w:rsid w:val="00F717EA"/>
    <w:rsid w:val="00F71882"/>
    <w:rsid w:val="00F71943"/>
    <w:rsid w:val="00F719C9"/>
    <w:rsid w:val="00F71BB1"/>
    <w:rsid w:val="00F71C38"/>
    <w:rsid w:val="00F71D32"/>
    <w:rsid w:val="00F71E64"/>
    <w:rsid w:val="00F71E7E"/>
    <w:rsid w:val="00F71F2D"/>
    <w:rsid w:val="00F71FC2"/>
    <w:rsid w:val="00F721CF"/>
    <w:rsid w:val="00F726C0"/>
    <w:rsid w:val="00F728BF"/>
    <w:rsid w:val="00F72B89"/>
    <w:rsid w:val="00F72C22"/>
    <w:rsid w:val="00F72D0E"/>
    <w:rsid w:val="00F72DC8"/>
    <w:rsid w:val="00F72DE0"/>
    <w:rsid w:val="00F72F1D"/>
    <w:rsid w:val="00F730F1"/>
    <w:rsid w:val="00F73205"/>
    <w:rsid w:val="00F73277"/>
    <w:rsid w:val="00F73330"/>
    <w:rsid w:val="00F733DD"/>
    <w:rsid w:val="00F7381F"/>
    <w:rsid w:val="00F742FE"/>
    <w:rsid w:val="00F74427"/>
    <w:rsid w:val="00F7480D"/>
    <w:rsid w:val="00F74996"/>
    <w:rsid w:val="00F74B21"/>
    <w:rsid w:val="00F74B66"/>
    <w:rsid w:val="00F74BC8"/>
    <w:rsid w:val="00F751F4"/>
    <w:rsid w:val="00F7520F"/>
    <w:rsid w:val="00F756D4"/>
    <w:rsid w:val="00F75859"/>
    <w:rsid w:val="00F75EFF"/>
    <w:rsid w:val="00F75F2B"/>
    <w:rsid w:val="00F76562"/>
    <w:rsid w:val="00F765D2"/>
    <w:rsid w:val="00F765F4"/>
    <w:rsid w:val="00F76BDA"/>
    <w:rsid w:val="00F76D01"/>
    <w:rsid w:val="00F770BE"/>
    <w:rsid w:val="00F773E1"/>
    <w:rsid w:val="00F776DF"/>
    <w:rsid w:val="00F77A59"/>
    <w:rsid w:val="00F77EAA"/>
    <w:rsid w:val="00F80604"/>
    <w:rsid w:val="00F806AC"/>
    <w:rsid w:val="00F807CA"/>
    <w:rsid w:val="00F808E9"/>
    <w:rsid w:val="00F80D68"/>
    <w:rsid w:val="00F80D79"/>
    <w:rsid w:val="00F80EEF"/>
    <w:rsid w:val="00F8102E"/>
    <w:rsid w:val="00F812C7"/>
    <w:rsid w:val="00F81402"/>
    <w:rsid w:val="00F81434"/>
    <w:rsid w:val="00F81457"/>
    <w:rsid w:val="00F81509"/>
    <w:rsid w:val="00F815A4"/>
    <w:rsid w:val="00F81671"/>
    <w:rsid w:val="00F81765"/>
    <w:rsid w:val="00F81814"/>
    <w:rsid w:val="00F81A9C"/>
    <w:rsid w:val="00F81B84"/>
    <w:rsid w:val="00F81C72"/>
    <w:rsid w:val="00F81CB7"/>
    <w:rsid w:val="00F81DCD"/>
    <w:rsid w:val="00F81E23"/>
    <w:rsid w:val="00F81F8D"/>
    <w:rsid w:val="00F81FC0"/>
    <w:rsid w:val="00F82192"/>
    <w:rsid w:val="00F821B5"/>
    <w:rsid w:val="00F821B7"/>
    <w:rsid w:val="00F822A0"/>
    <w:rsid w:val="00F825BB"/>
    <w:rsid w:val="00F82643"/>
    <w:rsid w:val="00F8269D"/>
    <w:rsid w:val="00F826E7"/>
    <w:rsid w:val="00F82BA1"/>
    <w:rsid w:val="00F82F93"/>
    <w:rsid w:val="00F834DC"/>
    <w:rsid w:val="00F83543"/>
    <w:rsid w:val="00F835CA"/>
    <w:rsid w:val="00F836E3"/>
    <w:rsid w:val="00F83BAB"/>
    <w:rsid w:val="00F8405C"/>
    <w:rsid w:val="00F840B5"/>
    <w:rsid w:val="00F8419D"/>
    <w:rsid w:val="00F8423C"/>
    <w:rsid w:val="00F84D8D"/>
    <w:rsid w:val="00F84E62"/>
    <w:rsid w:val="00F84EA8"/>
    <w:rsid w:val="00F84EC5"/>
    <w:rsid w:val="00F84EF1"/>
    <w:rsid w:val="00F85097"/>
    <w:rsid w:val="00F8553A"/>
    <w:rsid w:val="00F85885"/>
    <w:rsid w:val="00F858E4"/>
    <w:rsid w:val="00F859E6"/>
    <w:rsid w:val="00F85D02"/>
    <w:rsid w:val="00F861B8"/>
    <w:rsid w:val="00F8625C"/>
    <w:rsid w:val="00F864F0"/>
    <w:rsid w:val="00F86B80"/>
    <w:rsid w:val="00F86EDE"/>
    <w:rsid w:val="00F86F57"/>
    <w:rsid w:val="00F86F7B"/>
    <w:rsid w:val="00F87157"/>
    <w:rsid w:val="00F875D2"/>
    <w:rsid w:val="00F8769A"/>
    <w:rsid w:val="00F8769C"/>
    <w:rsid w:val="00F876CC"/>
    <w:rsid w:val="00F876E5"/>
    <w:rsid w:val="00F87AA6"/>
    <w:rsid w:val="00F87F8A"/>
    <w:rsid w:val="00F90054"/>
    <w:rsid w:val="00F90229"/>
    <w:rsid w:val="00F902D9"/>
    <w:rsid w:val="00F90345"/>
    <w:rsid w:val="00F9051C"/>
    <w:rsid w:val="00F90788"/>
    <w:rsid w:val="00F9082B"/>
    <w:rsid w:val="00F909DD"/>
    <w:rsid w:val="00F90BC2"/>
    <w:rsid w:val="00F90C44"/>
    <w:rsid w:val="00F90C5C"/>
    <w:rsid w:val="00F90D7F"/>
    <w:rsid w:val="00F90DA1"/>
    <w:rsid w:val="00F91322"/>
    <w:rsid w:val="00F91A11"/>
    <w:rsid w:val="00F91A18"/>
    <w:rsid w:val="00F91F1F"/>
    <w:rsid w:val="00F91F66"/>
    <w:rsid w:val="00F91FBE"/>
    <w:rsid w:val="00F926AA"/>
    <w:rsid w:val="00F92955"/>
    <w:rsid w:val="00F92987"/>
    <w:rsid w:val="00F92996"/>
    <w:rsid w:val="00F92BE5"/>
    <w:rsid w:val="00F92E01"/>
    <w:rsid w:val="00F93288"/>
    <w:rsid w:val="00F93304"/>
    <w:rsid w:val="00F934D3"/>
    <w:rsid w:val="00F9355F"/>
    <w:rsid w:val="00F93733"/>
    <w:rsid w:val="00F937B7"/>
    <w:rsid w:val="00F939CB"/>
    <w:rsid w:val="00F94395"/>
    <w:rsid w:val="00F945E0"/>
    <w:rsid w:val="00F94837"/>
    <w:rsid w:val="00F9484E"/>
    <w:rsid w:val="00F94BDC"/>
    <w:rsid w:val="00F95175"/>
    <w:rsid w:val="00F954AB"/>
    <w:rsid w:val="00F95666"/>
    <w:rsid w:val="00F95689"/>
    <w:rsid w:val="00F956F3"/>
    <w:rsid w:val="00F95A4D"/>
    <w:rsid w:val="00F95C96"/>
    <w:rsid w:val="00F95D78"/>
    <w:rsid w:val="00F96289"/>
    <w:rsid w:val="00F9651A"/>
    <w:rsid w:val="00F9653F"/>
    <w:rsid w:val="00F9657C"/>
    <w:rsid w:val="00F96752"/>
    <w:rsid w:val="00F968F9"/>
    <w:rsid w:val="00F96917"/>
    <w:rsid w:val="00F96AD5"/>
    <w:rsid w:val="00F96C3F"/>
    <w:rsid w:val="00F96E2C"/>
    <w:rsid w:val="00F97088"/>
    <w:rsid w:val="00F976C0"/>
    <w:rsid w:val="00F97836"/>
    <w:rsid w:val="00F97B1C"/>
    <w:rsid w:val="00FA04D6"/>
    <w:rsid w:val="00FA04EF"/>
    <w:rsid w:val="00FA0795"/>
    <w:rsid w:val="00FA08C2"/>
    <w:rsid w:val="00FA0986"/>
    <w:rsid w:val="00FA09C0"/>
    <w:rsid w:val="00FA0DA2"/>
    <w:rsid w:val="00FA0E2B"/>
    <w:rsid w:val="00FA104D"/>
    <w:rsid w:val="00FA113C"/>
    <w:rsid w:val="00FA120B"/>
    <w:rsid w:val="00FA162C"/>
    <w:rsid w:val="00FA17F0"/>
    <w:rsid w:val="00FA18B6"/>
    <w:rsid w:val="00FA1933"/>
    <w:rsid w:val="00FA1B8D"/>
    <w:rsid w:val="00FA1DF3"/>
    <w:rsid w:val="00FA2708"/>
    <w:rsid w:val="00FA2727"/>
    <w:rsid w:val="00FA2771"/>
    <w:rsid w:val="00FA2A3D"/>
    <w:rsid w:val="00FA2ABF"/>
    <w:rsid w:val="00FA2B96"/>
    <w:rsid w:val="00FA2E23"/>
    <w:rsid w:val="00FA31E3"/>
    <w:rsid w:val="00FA35E8"/>
    <w:rsid w:val="00FA3A0A"/>
    <w:rsid w:val="00FA3CB1"/>
    <w:rsid w:val="00FA4329"/>
    <w:rsid w:val="00FA47DA"/>
    <w:rsid w:val="00FA4906"/>
    <w:rsid w:val="00FA4C39"/>
    <w:rsid w:val="00FA4F7A"/>
    <w:rsid w:val="00FA5078"/>
    <w:rsid w:val="00FA5244"/>
    <w:rsid w:val="00FA55DB"/>
    <w:rsid w:val="00FA583B"/>
    <w:rsid w:val="00FA624C"/>
    <w:rsid w:val="00FA6446"/>
    <w:rsid w:val="00FA6547"/>
    <w:rsid w:val="00FA657E"/>
    <w:rsid w:val="00FA67D1"/>
    <w:rsid w:val="00FA68D3"/>
    <w:rsid w:val="00FA69E4"/>
    <w:rsid w:val="00FA6D4F"/>
    <w:rsid w:val="00FA6E35"/>
    <w:rsid w:val="00FA73EB"/>
    <w:rsid w:val="00FA7474"/>
    <w:rsid w:val="00FA74C2"/>
    <w:rsid w:val="00FA77A7"/>
    <w:rsid w:val="00FA77BA"/>
    <w:rsid w:val="00FA78A6"/>
    <w:rsid w:val="00FA7C15"/>
    <w:rsid w:val="00FA7E3D"/>
    <w:rsid w:val="00FA7E56"/>
    <w:rsid w:val="00FA7EDE"/>
    <w:rsid w:val="00FB0085"/>
    <w:rsid w:val="00FB00CE"/>
    <w:rsid w:val="00FB0447"/>
    <w:rsid w:val="00FB052C"/>
    <w:rsid w:val="00FB06D8"/>
    <w:rsid w:val="00FB07E8"/>
    <w:rsid w:val="00FB0C9E"/>
    <w:rsid w:val="00FB0DDF"/>
    <w:rsid w:val="00FB0F08"/>
    <w:rsid w:val="00FB0F10"/>
    <w:rsid w:val="00FB140B"/>
    <w:rsid w:val="00FB1859"/>
    <w:rsid w:val="00FB1935"/>
    <w:rsid w:val="00FB1A41"/>
    <w:rsid w:val="00FB1AA5"/>
    <w:rsid w:val="00FB1AE4"/>
    <w:rsid w:val="00FB1C06"/>
    <w:rsid w:val="00FB1C1E"/>
    <w:rsid w:val="00FB1D13"/>
    <w:rsid w:val="00FB22EF"/>
    <w:rsid w:val="00FB242F"/>
    <w:rsid w:val="00FB24C2"/>
    <w:rsid w:val="00FB2508"/>
    <w:rsid w:val="00FB27B9"/>
    <w:rsid w:val="00FB27C1"/>
    <w:rsid w:val="00FB2BAD"/>
    <w:rsid w:val="00FB3151"/>
    <w:rsid w:val="00FB3AB5"/>
    <w:rsid w:val="00FB3E29"/>
    <w:rsid w:val="00FB3ED3"/>
    <w:rsid w:val="00FB4279"/>
    <w:rsid w:val="00FB42AB"/>
    <w:rsid w:val="00FB45B7"/>
    <w:rsid w:val="00FB45C7"/>
    <w:rsid w:val="00FB47A8"/>
    <w:rsid w:val="00FB4942"/>
    <w:rsid w:val="00FB4967"/>
    <w:rsid w:val="00FB49AF"/>
    <w:rsid w:val="00FB4D53"/>
    <w:rsid w:val="00FB5182"/>
    <w:rsid w:val="00FB53E3"/>
    <w:rsid w:val="00FB566D"/>
    <w:rsid w:val="00FB5B40"/>
    <w:rsid w:val="00FB5D16"/>
    <w:rsid w:val="00FB5E9C"/>
    <w:rsid w:val="00FB5F51"/>
    <w:rsid w:val="00FB60DF"/>
    <w:rsid w:val="00FB6449"/>
    <w:rsid w:val="00FB6504"/>
    <w:rsid w:val="00FB6773"/>
    <w:rsid w:val="00FB69CF"/>
    <w:rsid w:val="00FB6B07"/>
    <w:rsid w:val="00FB6BA1"/>
    <w:rsid w:val="00FB6C90"/>
    <w:rsid w:val="00FB6CB2"/>
    <w:rsid w:val="00FB6D4D"/>
    <w:rsid w:val="00FB7222"/>
    <w:rsid w:val="00FB7396"/>
    <w:rsid w:val="00FB76B8"/>
    <w:rsid w:val="00FB77C5"/>
    <w:rsid w:val="00FB786F"/>
    <w:rsid w:val="00FB7934"/>
    <w:rsid w:val="00FB7B97"/>
    <w:rsid w:val="00FB7EF3"/>
    <w:rsid w:val="00FB7F6F"/>
    <w:rsid w:val="00FC0004"/>
    <w:rsid w:val="00FC0013"/>
    <w:rsid w:val="00FC00FE"/>
    <w:rsid w:val="00FC0193"/>
    <w:rsid w:val="00FC0632"/>
    <w:rsid w:val="00FC0A13"/>
    <w:rsid w:val="00FC0D0E"/>
    <w:rsid w:val="00FC0DD5"/>
    <w:rsid w:val="00FC0E23"/>
    <w:rsid w:val="00FC13FD"/>
    <w:rsid w:val="00FC143F"/>
    <w:rsid w:val="00FC15D1"/>
    <w:rsid w:val="00FC162E"/>
    <w:rsid w:val="00FC1D70"/>
    <w:rsid w:val="00FC1DAE"/>
    <w:rsid w:val="00FC1E5C"/>
    <w:rsid w:val="00FC1E9F"/>
    <w:rsid w:val="00FC1EE3"/>
    <w:rsid w:val="00FC20E6"/>
    <w:rsid w:val="00FC242A"/>
    <w:rsid w:val="00FC2434"/>
    <w:rsid w:val="00FC2537"/>
    <w:rsid w:val="00FC2867"/>
    <w:rsid w:val="00FC2886"/>
    <w:rsid w:val="00FC29ED"/>
    <w:rsid w:val="00FC32CE"/>
    <w:rsid w:val="00FC32D5"/>
    <w:rsid w:val="00FC33E2"/>
    <w:rsid w:val="00FC3413"/>
    <w:rsid w:val="00FC34E1"/>
    <w:rsid w:val="00FC3E5D"/>
    <w:rsid w:val="00FC4058"/>
    <w:rsid w:val="00FC4181"/>
    <w:rsid w:val="00FC42E9"/>
    <w:rsid w:val="00FC4528"/>
    <w:rsid w:val="00FC48FE"/>
    <w:rsid w:val="00FC4BD5"/>
    <w:rsid w:val="00FC4D41"/>
    <w:rsid w:val="00FC4FC9"/>
    <w:rsid w:val="00FC52FB"/>
    <w:rsid w:val="00FC592E"/>
    <w:rsid w:val="00FC5937"/>
    <w:rsid w:val="00FC5FD2"/>
    <w:rsid w:val="00FC608D"/>
    <w:rsid w:val="00FC60A5"/>
    <w:rsid w:val="00FC60E8"/>
    <w:rsid w:val="00FC617F"/>
    <w:rsid w:val="00FC62FB"/>
    <w:rsid w:val="00FC6372"/>
    <w:rsid w:val="00FC63C2"/>
    <w:rsid w:val="00FC64B0"/>
    <w:rsid w:val="00FC64F6"/>
    <w:rsid w:val="00FC656F"/>
    <w:rsid w:val="00FC672F"/>
    <w:rsid w:val="00FC6C6D"/>
    <w:rsid w:val="00FC6C8E"/>
    <w:rsid w:val="00FC6CCF"/>
    <w:rsid w:val="00FC720C"/>
    <w:rsid w:val="00FC73EB"/>
    <w:rsid w:val="00FCBAAC"/>
    <w:rsid w:val="00FD01AF"/>
    <w:rsid w:val="00FD0BB7"/>
    <w:rsid w:val="00FD0CD2"/>
    <w:rsid w:val="00FD0E43"/>
    <w:rsid w:val="00FD0F39"/>
    <w:rsid w:val="00FD1555"/>
    <w:rsid w:val="00FD15B5"/>
    <w:rsid w:val="00FD1856"/>
    <w:rsid w:val="00FD1BD1"/>
    <w:rsid w:val="00FD1EA3"/>
    <w:rsid w:val="00FD1FBF"/>
    <w:rsid w:val="00FD2054"/>
    <w:rsid w:val="00FD20D6"/>
    <w:rsid w:val="00FD20F4"/>
    <w:rsid w:val="00FD21B0"/>
    <w:rsid w:val="00FD2236"/>
    <w:rsid w:val="00FD22F7"/>
    <w:rsid w:val="00FD24E4"/>
    <w:rsid w:val="00FD2504"/>
    <w:rsid w:val="00FD2617"/>
    <w:rsid w:val="00FD275C"/>
    <w:rsid w:val="00FD2778"/>
    <w:rsid w:val="00FD2B0D"/>
    <w:rsid w:val="00FD2ED7"/>
    <w:rsid w:val="00FD3303"/>
    <w:rsid w:val="00FD3359"/>
    <w:rsid w:val="00FD34F9"/>
    <w:rsid w:val="00FD35E7"/>
    <w:rsid w:val="00FD3605"/>
    <w:rsid w:val="00FD38DE"/>
    <w:rsid w:val="00FD39E2"/>
    <w:rsid w:val="00FD3B83"/>
    <w:rsid w:val="00FD3D49"/>
    <w:rsid w:val="00FD3ECC"/>
    <w:rsid w:val="00FD4063"/>
    <w:rsid w:val="00FD4291"/>
    <w:rsid w:val="00FD4954"/>
    <w:rsid w:val="00FD4DB7"/>
    <w:rsid w:val="00FD4E68"/>
    <w:rsid w:val="00FD4EB0"/>
    <w:rsid w:val="00FD4F58"/>
    <w:rsid w:val="00FD4FAA"/>
    <w:rsid w:val="00FD5045"/>
    <w:rsid w:val="00FD5054"/>
    <w:rsid w:val="00FD5093"/>
    <w:rsid w:val="00FD55BE"/>
    <w:rsid w:val="00FD5709"/>
    <w:rsid w:val="00FD5732"/>
    <w:rsid w:val="00FD591D"/>
    <w:rsid w:val="00FD5D16"/>
    <w:rsid w:val="00FD5E6B"/>
    <w:rsid w:val="00FD5FB0"/>
    <w:rsid w:val="00FD604E"/>
    <w:rsid w:val="00FD60B3"/>
    <w:rsid w:val="00FD61DA"/>
    <w:rsid w:val="00FD6381"/>
    <w:rsid w:val="00FD6503"/>
    <w:rsid w:val="00FD6584"/>
    <w:rsid w:val="00FD65A8"/>
    <w:rsid w:val="00FD6833"/>
    <w:rsid w:val="00FD6CE6"/>
    <w:rsid w:val="00FD6EEB"/>
    <w:rsid w:val="00FD6F5F"/>
    <w:rsid w:val="00FD6F78"/>
    <w:rsid w:val="00FD7445"/>
    <w:rsid w:val="00FD7AF4"/>
    <w:rsid w:val="00FD7B19"/>
    <w:rsid w:val="00FD7FD1"/>
    <w:rsid w:val="00FE00A5"/>
    <w:rsid w:val="00FE00B6"/>
    <w:rsid w:val="00FE00BC"/>
    <w:rsid w:val="00FE03D6"/>
    <w:rsid w:val="00FE04B8"/>
    <w:rsid w:val="00FE0523"/>
    <w:rsid w:val="00FE1077"/>
    <w:rsid w:val="00FE1136"/>
    <w:rsid w:val="00FE12BF"/>
    <w:rsid w:val="00FE1773"/>
    <w:rsid w:val="00FE1813"/>
    <w:rsid w:val="00FE1AEA"/>
    <w:rsid w:val="00FE1F1C"/>
    <w:rsid w:val="00FE200D"/>
    <w:rsid w:val="00FE21BD"/>
    <w:rsid w:val="00FE2839"/>
    <w:rsid w:val="00FE29EB"/>
    <w:rsid w:val="00FE2AD3"/>
    <w:rsid w:val="00FE2AFA"/>
    <w:rsid w:val="00FE2BDA"/>
    <w:rsid w:val="00FE313D"/>
    <w:rsid w:val="00FE315A"/>
    <w:rsid w:val="00FE3271"/>
    <w:rsid w:val="00FE32E0"/>
    <w:rsid w:val="00FE35A4"/>
    <w:rsid w:val="00FE39B7"/>
    <w:rsid w:val="00FE3A18"/>
    <w:rsid w:val="00FE3E10"/>
    <w:rsid w:val="00FE3E68"/>
    <w:rsid w:val="00FE4123"/>
    <w:rsid w:val="00FE413C"/>
    <w:rsid w:val="00FE4734"/>
    <w:rsid w:val="00FE486D"/>
    <w:rsid w:val="00FE4A75"/>
    <w:rsid w:val="00FE4DE0"/>
    <w:rsid w:val="00FE4DF5"/>
    <w:rsid w:val="00FE4E3A"/>
    <w:rsid w:val="00FE5281"/>
    <w:rsid w:val="00FE52E1"/>
    <w:rsid w:val="00FE549E"/>
    <w:rsid w:val="00FE5668"/>
    <w:rsid w:val="00FE5A05"/>
    <w:rsid w:val="00FE5B78"/>
    <w:rsid w:val="00FE5D14"/>
    <w:rsid w:val="00FE5F4A"/>
    <w:rsid w:val="00FE6003"/>
    <w:rsid w:val="00FE6183"/>
    <w:rsid w:val="00FE619E"/>
    <w:rsid w:val="00FE6462"/>
    <w:rsid w:val="00FE6A92"/>
    <w:rsid w:val="00FE6B9A"/>
    <w:rsid w:val="00FE6FB2"/>
    <w:rsid w:val="00FE7026"/>
    <w:rsid w:val="00FE738E"/>
    <w:rsid w:val="00FE7614"/>
    <w:rsid w:val="00FE76B0"/>
    <w:rsid w:val="00FE7B92"/>
    <w:rsid w:val="00FF0004"/>
    <w:rsid w:val="00FF0264"/>
    <w:rsid w:val="00FF037E"/>
    <w:rsid w:val="00FF04A0"/>
    <w:rsid w:val="00FF082C"/>
    <w:rsid w:val="00FF0A08"/>
    <w:rsid w:val="00FF0BD3"/>
    <w:rsid w:val="00FF0D29"/>
    <w:rsid w:val="00FF0FD8"/>
    <w:rsid w:val="00FF100D"/>
    <w:rsid w:val="00FF1015"/>
    <w:rsid w:val="00FF1171"/>
    <w:rsid w:val="00FF1278"/>
    <w:rsid w:val="00FF1807"/>
    <w:rsid w:val="00FF184D"/>
    <w:rsid w:val="00FF1E82"/>
    <w:rsid w:val="00FF1ECE"/>
    <w:rsid w:val="00FF1F20"/>
    <w:rsid w:val="00FF2022"/>
    <w:rsid w:val="00FF20A2"/>
    <w:rsid w:val="00FF20BC"/>
    <w:rsid w:val="00FF2247"/>
    <w:rsid w:val="00FF2284"/>
    <w:rsid w:val="00FF231A"/>
    <w:rsid w:val="00FF24A7"/>
    <w:rsid w:val="00FF26E3"/>
    <w:rsid w:val="00FF28C7"/>
    <w:rsid w:val="00FF2953"/>
    <w:rsid w:val="00FF2B66"/>
    <w:rsid w:val="00FF2EC6"/>
    <w:rsid w:val="00FF30F1"/>
    <w:rsid w:val="00FF3130"/>
    <w:rsid w:val="00FF313B"/>
    <w:rsid w:val="00FF3150"/>
    <w:rsid w:val="00FF31F7"/>
    <w:rsid w:val="00FF359D"/>
    <w:rsid w:val="00FF3C3C"/>
    <w:rsid w:val="00FF3DF5"/>
    <w:rsid w:val="00FF3F26"/>
    <w:rsid w:val="00FF3F55"/>
    <w:rsid w:val="00FF4044"/>
    <w:rsid w:val="00FF43F0"/>
    <w:rsid w:val="00FF4B3F"/>
    <w:rsid w:val="00FF4D84"/>
    <w:rsid w:val="00FF524E"/>
    <w:rsid w:val="00FF52B6"/>
    <w:rsid w:val="00FF562A"/>
    <w:rsid w:val="00FF57D9"/>
    <w:rsid w:val="00FF585E"/>
    <w:rsid w:val="00FF596D"/>
    <w:rsid w:val="00FF5975"/>
    <w:rsid w:val="00FF5B6B"/>
    <w:rsid w:val="00FF5C2A"/>
    <w:rsid w:val="00FF5EEB"/>
    <w:rsid w:val="00FF6037"/>
    <w:rsid w:val="00FF64E7"/>
    <w:rsid w:val="00FF6664"/>
    <w:rsid w:val="00FF6832"/>
    <w:rsid w:val="00FF6A9D"/>
    <w:rsid w:val="00FF6BB9"/>
    <w:rsid w:val="00FF6DE6"/>
    <w:rsid w:val="00FF6F78"/>
    <w:rsid w:val="00FF6FBA"/>
    <w:rsid w:val="00FF7211"/>
    <w:rsid w:val="0100DB59"/>
    <w:rsid w:val="011A6BCA"/>
    <w:rsid w:val="011B1ED8"/>
    <w:rsid w:val="011CE09E"/>
    <w:rsid w:val="014B9746"/>
    <w:rsid w:val="014CCD63"/>
    <w:rsid w:val="015191CB"/>
    <w:rsid w:val="01576BE0"/>
    <w:rsid w:val="015AFDB9"/>
    <w:rsid w:val="015ED107"/>
    <w:rsid w:val="0184D857"/>
    <w:rsid w:val="018C89D0"/>
    <w:rsid w:val="0194B361"/>
    <w:rsid w:val="019663F9"/>
    <w:rsid w:val="0197209D"/>
    <w:rsid w:val="01B3EFA7"/>
    <w:rsid w:val="01D20B44"/>
    <w:rsid w:val="01F29DA9"/>
    <w:rsid w:val="01F9096C"/>
    <w:rsid w:val="01F9C2B3"/>
    <w:rsid w:val="0204E642"/>
    <w:rsid w:val="02066EC0"/>
    <w:rsid w:val="0213BF50"/>
    <w:rsid w:val="02381471"/>
    <w:rsid w:val="024268A4"/>
    <w:rsid w:val="02461099"/>
    <w:rsid w:val="024AE0DB"/>
    <w:rsid w:val="025D5C65"/>
    <w:rsid w:val="02988B0D"/>
    <w:rsid w:val="029A44B2"/>
    <w:rsid w:val="029A7B85"/>
    <w:rsid w:val="029D34A8"/>
    <w:rsid w:val="029F2D19"/>
    <w:rsid w:val="02BB1E77"/>
    <w:rsid w:val="02BD24AD"/>
    <w:rsid w:val="02C0AEC6"/>
    <w:rsid w:val="02CDA515"/>
    <w:rsid w:val="02D5EB04"/>
    <w:rsid w:val="02D8C838"/>
    <w:rsid w:val="02DC96AD"/>
    <w:rsid w:val="02E65789"/>
    <w:rsid w:val="02EB17DE"/>
    <w:rsid w:val="031295AC"/>
    <w:rsid w:val="032E2DFD"/>
    <w:rsid w:val="033B319E"/>
    <w:rsid w:val="03569054"/>
    <w:rsid w:val="035D51C1"/>
    <w:rsid w:val="035EE243"/>
    <w:rsid w:val="03675FF5"/>
    <w:rsid w:val="037A0717"/>
    <w:rsid w:val="037CACDF"/>
    <w:rsid w:val="0381D9E0"/>
    <w:rsid w:val="03884B70"/>
    <w:rsid w:val="039FFF58"/>
    <w:rsid w:val="03AC135C"/>
    <w:rsid w:val="03C5B2B5"/>
    <w:rsid w:val="03D70267"/>
    <w:rsid w:val="03DC8AE4"/>
    <w:rsid w:val="03DD7C6B"/>
    <w:rsid w:val="03E20EF0"/>
    <w:rsid w:val="03E40383"/>
    <w:rsid w:val="03EA71F1"/>
    <w:rsid w:val="03EB06ED"/>
    <w:rsid w:val="03F121AF"/>
    <w:rsid w:val="03FAE502"/>
    <w:rsid w:val="040E3E8A"/>
    <w:rsid w:val="0411907F"/>
    <w:rsid w:val="0412C05A"/>
    <w:rsid w:val="04180447"/>
    <w:rsid w:val="0423091C"/>
    <w:rsid w:val="042392C4"/>
    <w:rsid w:val="043BEBFD"/>
    <w:rsid w:val="043F97E3"/>
    <w:rsid w:val="044532A7"/>
    <w:rsid w:val="0446380C"/>
    <w:rsid w:val="044F2910"/>
    <w:rsid w:val="045388E8"/>
    <w:rsid w:val="04658DE8"/>
    <w:rsid w:val="046B25FB"/>
    <w:rsid w:val="047E82DC"/>
    <w:rsid w:val="048B2AF3"/>
    <w:rsid w:val="048C827F"/>
    <w:rsid w:val="04B51990"/>
    <w:rsid w:val="04B6F093"/>
    <w:rsid w:val="04BE6A2B"/>
    <w:rsid w:val="04C4E660"/>
    <w:rsid w:val="04C5E6F2"/>
    <w:rsid w:val="04D514D5"/>
    <w:rsid w:val="04D676EA"/>
    <w:rsid w:val="04D8A980"/>
    <w:rsid w:val="04DB2C86"/>
    <w:rsid w:val="04DF6BF0"/>
    <w:rsid w:val="04F7B018"/>
    <w:rsid w:val="04F8B8AA"/>
    <w:rsid w:val="04FD83A5"/>
    <w:rsid w:val="0508080C"/>
    <w:rsid w:val="050AF5A1"/>
    <w:rsid w:val="051A351D"/>
    <w:rsid w:val="052F1B4A"/>
    <w:rsid w:val="05343D7E"/>
    <w:rsid w:val="0534959A"/>
    <w:rsid w:val="0539DD28"/>
    <w:rsid w:val="054C29A5"/>
    <w:rsid w:val="0551DE32"/>
    <w:rsid w:val="05529E14"/>
    <w:rsid w:val="0552C512"/>
    <w:rsid w:val="05584793"/>
    <w:rsid w:val="055B23FD"/>
    <w:rsid w:val="05626B27"/>
    <w:rsid w:val="0565DD06"/>
    <w:rsid w:val="056D9292"/>
    <w:rsid w:val="057636AD"/>
    <w:rsid w:val="0576B635"/>
    <w:rsid w:val="05791FE6"/>
    <w:rsid w:val="058DEC92"/>
    <w:rsid w:val="05A96A9B"/>
    <w:rsid w:val="05B36EAA"/>
    <w:rsid w:val="05BBEB21"/>
    <w:rsid w:val="05C2B5BD"/>
    <w:rsid w:val="05C6FC7B"/>
    <w:rsid w:val="05CD720D"/>
    <w:rsid w:val="05D66D4D"/>
    <w:rsid w:val="05D6A8A9"/>
    <w:rsid w:val="05DCC029"/>
    <w:rsid w:val="05EF5949"/>
    <w:rsid w:val="06067A92"/>
    <w:rsid w:val="0622DA4E"/>
    <w:rsid w:val="062E406E"/>
    <w:rsid w:val="0633498E"/>
    <w:rsid w:val="0633E5B9"/>
    <w:rsid w:val="063DEBA2"/>
    <w:rsid w:val="064A90D8"/>
    <w:rsid w:val="0651CC93"/>
    <w:rsid w:val="06613D3C"/>
    <w:rsid w:val="0672474B"/>
    <w:rsid w:val="068044E5"/>
    <w:rsid w:val="0689BD10"/>
    <w:rsid w:val="068D3DC1"/>
    <w:rsid w:val="069F259F"/>
    <w:rsid w:val="06A522F1"/>
    <w:rsid w:val="06AECF27"/>
    <w:rsid w:val="06B066B8"/>
    <w:rsid w:val="06B5C371"/>
    <w:rsid w:val="06BC3068"/>
    <w:rsid w:val="06C95A7A"/>
    <w:rsid w:val="06D5D5F4"/>
    <w:rsid w:val="06E9017E"/>
    <w:rsid w:val="06E997AF"/>
    <w:rsid w:val="06ECCDB3"/>
    <w:rsid w:val="06F6F45E"/>
    <w:rsid w:val="06F7635A"/>
    <w:rsid w:val="06F8DE03"/>
    <w:rsid w:val="0717B529"/>
    <w:rsid w:val="071F9016"/>
    <w:rsid w:val="07212CBF"/>
    <w:rsid w:val="072B20CA"/>
    <w:rsid w:val="073D74C3"/>
    <w:rsid w:val="074BB92D"/>
    <w:rsid w:val="0756FFEB"/>
    <w:rsid w:val="0762D675"/>
    <w:rsid w:val="07850589"/>
    <w:rsid w:val="07994C6F"/>
    <w:rsid w:val="07B95A7C"/>
    <w:rsid w:val="07CBEFA6"/>
    <w:rsid w:val="07DB9402"/>
    <w:rsid w:val="07DE98E9"/>
    <w:rsid w:val="07DFE036"/>
    <w:rsid w:val="07E54A7A"/>
    <w:rsid w:val="07FA3592"/>
    <w:rsid w:val="07FE38AA"/>
    <w:rsid w:val="08064989"/>
    <w:rsid w:val="080CC98E"/>
    <w:rsid w:val="08208E4F"/>
    <w:rsid w:val="0826BB7F"/>
    <w:rsid w:val="082E0D97"/>
    <w:rsid w:val="08317E8C"/>
    <w:rsid w:val="08448026"/>
    <w:rsid w:val="084D75FF"/>
    <w:rsid w:val="08506746"/>
    <w:rsid w:val="08512264"/>
    <w:rsid w:val="08588FE2"/>
    <w:rsid w:val="085DC79E"/>
    <w:rsid w:val="086BEEE4"/>
    <w:rsid w:val="087C9C6F"/>
    <w:rsid w:val="087D4DB2"/>
    <w:rsid w:val="087EAABB"/>
    <w:rsid w:val="088190F0"/>
    <w:rsid w:val="0882C7D7"/>
    <w:rsid w:val="088F9F54"/>
    <w:rsid w:val="08A4EA43"/>
    <w:rsid w:val="08A8C7DB"/>
    <w:rsid w:val="08A992D1"/>
    <w:rsid w:val="08ACD421"/>
    <w:rsid w:val="08AE0B95"/>
    <w:rsid w:val="08B2265F"/>
    <w:rsid w:val="08B94F2D"/>
    <w:rsid w:val="08B9AB2C"/>
    <w:rsid w:val="08BA482D"/>
    <w:rsid w:val="08BC7439"/>
    <w:rsid w:val="08BFCB1B"/>
    <w:rsid w:val="08C39752"/>
    <w:rsid w:val="08C7E868"/>
    <w:rsid w:val="08D3981E"/>
    <w:rsid w:val="08D50536"/>
    <w:rsid w:val="08E08567"/>
    <w:rsid w:val="08EE3095"/>
    <w:rsid w:val="08FC3224"/>
    <w:rsid w:val="08FE2211"/>
    <w:rsid w:val="0915AECE"/>
    <w:rsid w:val="09179428"/>
    <w:rsid w:val="0921BD19"/>
    <w:rsid w:val="09274326"/>
    <w:rsid w:val="092CB192"/>
    <w:rsid w:val="092FFDEF"/>
    <w:rsid w:val="09306B38"/>
    <w:rsid w:val="093B231C"/>
    <w:rsid w:val="093D274A"/>
    <w:rsid w:val="093E2CF4"/>
    <w:rsid w:val="0942B3C1"/>
    <w:rsid w:val="0949E374"/>
    <w:rsid w:val="094B5F15"/>
    <w:rsid w:val="0951DAE9"/>
    <w:rsid w:val="09548762"/>
    <w:rsid w:val="096F9723"/>
    <w:rsid w:val="097A0577"/>
    <w:rsid w:val="098390FD"/>
    <w:rsid w:val="0999811A"/>
    <w:rsid w:val="099BC64A"/>
    <w:rsid w:val="09AAD570"/>
    <w:rsid w:val="09AB3F3D"/>
    <w:rsid w:val="09B17D56"/>
    <w:rsid w:val="09BB3A0B"/>
    <w:rsid w:val="09C37A67"/>
    <w:rsid w:val="09CC08F2"/>
    <w:rsid w:val="09D3FFC0"/>
    <w:rsid w:val="09E2203A"/>
    <w:rsid w:val="09E2D4DF"/>
    <w:rsid w:val="09F06CCE"/>
    <w:rsid w:val="09F2D811"/>
    <w:rsid w:val="09FBE90D"/>
    <w:rsid w:val="0A09F746"/>
    <w:rsid w:val="0A14DC00"/>
    <w:rsid w:val="0A15484F"/>
    <w:rsid w:val="0A3F5C15"/>
    <w:rsid w:val="0A448865"/>
    <w:rsid w:val="0A49557F"/>
    <w:rsid w:val="0A52E3FB"/>
    <w:rsid w:val="0A547E8F"/>
    <w:rsid w:val="0A5F67B3"/>
    <w:rsid w:val="0A60D676"/>
    <w:rsid w:val="0A6560D1"/>
    <w:rsid w:val="0A725287"/>
    <w:rsid w:val="0A7CB480"/>
    <w:rsid w:val="0A8A00F6"/>
    <w:rsid w:val="0A8E80D5"/>
    <w:rsid w:val="0AB3EC9E"/>
    <w:rsid w:val="0AB6F11D"/>
    <w:rsid w:val="0ABD17E2"/>
    <w:rsid w:val="0AD2DFC1"/>
    <w:rsid w:val="0ADD3914"/>
    <w:rsid w:val="0AE63D0A"/>
    <w:rsid w:val="0AEA3C7B"/>
    <w:rsid w:val="0B07548B"/>
    <w:rsid w:val="0B2040D1"/>
    <w:rsid w:val="0B2454A0"/>
    <w:rsid w:val="0B2C7B24"/>
    <w:rsid w:val="0B39A7AE"/>
    <w:rsid w:val="0B39CD79"/>
    <w:rsid w:val="0B599AFC"/>
    <w:rsid w:val="0B646B6E"/>
    <w:rsid w:val="0B6894A1"/>
    <w:rsid w:val="0B7B1C3E"/>
    <w:rsid w:val="0B7CE193"/>
    <w:rsid w:val="0B7F4933"/>
    <w:rsid w:val="0B84D780"/>
    <w:rsid w:val="0B88DF18"/>
    <w:rsid w:val="0B8EACBD"/>
    <w:rsid w:val="0BC4EBBB"/>
    <w:rsid w:val="0BD82394"/>
    <w:rsid w:val="0BE04C25"/>
    <w:rsid w:val="0BED63EA"/>
    <w:rsid w:val="0C0681DC"/>
    <w:rsid w:val="0C084388"/>
    <w:rsid w:val="0C0B29CD"/>
    <w:rsid w:val="0C1404A8"/>
    <w:rsid w:val="0C19B65A"/>
    <w:rsid w:val="0C239E38"/>
    <w:rsid w:val="0C2F61FA"/>
    <w:rsid w:val="0C483184"/>
    <w:rsid w:val="0C70F456"/>
    <w:rsid w:val="0C743E8F"/>
    <w:rsid w:val="0C86D42A"/>
    <w:rsid w:val="0C88E15B"/>
    <w:rsid w:val="0C94F0E0"/>
    <w:rsid w:val="0CA5795B"/>
    <w:rsid w:val="0CBB88B1"/>
    <w:rsid w:val="0CCBE268"/>
    <w:rsid w:val="0CED8172"/>
    <w:rsid w:val="0CF36388"/>
    <w:rsid w:val="0CFE61BD"/>
    <w:rsid w:val="0CFF4877"/>
    <w:rsid w:val="0D05C489"/>
    <w:rsid w:val="0D1A62D6"/>
    <w:rsid w:val="0D1E85A1"/>
    <w:rsid w:val="0D219902"/>
    <w:rsid w:val="0D23A74E"/>
    <w:rsid w:val="0D2819D4"/>
    <w:rsid w:val="0D35E995"/>
    <w:rsid w:val="0D3D50F7"/>
    <w:rsid w:val="0D417337"/>
    <w:rsid w:val="0D4ACBDB"/>
    <w:rsid w:val="0D4F47A5"/>
    <w:rsid w:val="0D656101"/>
    <w:rsid w:val="0D77637F"/>
    <w:rsid w:val="0D7EA7E8"/>
    <w:rsid w:val="0D8066CE"/>
    <w:rsid w:val="0D970875"/>
    <w:rsid w:val="0DA94431"/>
    <w:rsid w:val="0DAA176A"/>
    <w:rsid w:val="0DAB91F3"/>
    <w:rsid w:val="0DAC8957"/>
    <w:rsid w:val="0DE06904"/>
    <w:rsid w:val="0DE4C072"/>
    <w:rsid w:val="0DF0A92A"/>
    <w:rsid w:val="0E2B75AB"/>
    <w:rsid w:val="0E4C293B"/>
    <w:rsid w:val="0E5D1EB8"/>
    <w:rsid w:val="0E5DBB32"/>
    <w:rsid w:val="0E69BA72"/>
    <w:rsid w:val="0E70923A"/>
    <w:rsid w:val="0E8487CE"/>
    <w:rsid w:val="0E8FD74D"/>
    <w:rsid w:val="0E94CEF5"/>
    <w:rsid w:val="0E9F4A57"/>
    <w:rsid w:val="0EA02E56"/>
    <w:rsid w:val="0EAE39CB"/>
    <w:rsid w:val="0EB8FEA6"/>
    <w:rsid w:val="0EBE088F"/>
    <w:rsid w:val="0EF3D06C"/>
    <w:rsid w:val="0EFA0B13"/>
    <w:rsid w:val="0EFB469B"/>
    <w:rsid w:val="0EFDC917"/>
    <w:rsid w:val="0F04B53B"/>
    <w:rsid w:val="0F08826A"/>
    <w:rsid w:val="0F18E5CB"/>
    <w:rsid w:val="0F1BAD3A"/>
    <w:rsid w:val="0F2830CD"/>
    <w:rsid w:val="0F302143"/>
    <w:rsid w:val="0F339724"/>
    <w:rsid w:val="0F499487"/>
    <w:rsid w:val="0F59E210"/>
    <w:rsid w:val="0F5BEB29"/>
    <w:rsid w:val="0F5DEF24"/>
    <w:rsid w:val="0F6A13CB"/>
    <w:rsid w:val="0F6CA045"/>
    <w:rsid w:val="0F6F7B02"/>
    <w:rsid w:val="0F7B37E1"/>
    <w:rsid w:val="0F80FC33"/>
    <w:rsid w:val="0F833B4D"/>
    <w:rsid w:val="0F8C7403"/>
    <w:rsid w:val="0FAAD9F9"/>
    <w:rsid w:val="0FB17495"/>
    <w:rsid w:val="0FB26AA6"/>
    <w:rsid w:val="0FD02F9A"/>
    <w:rsid w:val="0FD0CC70"/>
    <w:rsid w:val="0FDBC2A9"/>
    <w:rsid w:val="0FF04D38"/>
    <w:rsid w:val="10113D46"/>
    <w:rsid w:val="10145BC3"/>
    <w:rsid w:val="10154C55"/>
    <w:rsid w:val="1023F8A5"/>
    <w:rsid w:val="102611F2"/>
    <w:rsid w:val="103C7FE0"/>
    <w:rsid w:val="103EDED2"/>
    <w:rsid w:val="10451299"/>
    <w:rsid w:val="104F32AE"/>
    <w:rsid w:val="10589BD1"/>
    <w:rsid w:val="105B5B77"/>
    <w:rsid w:val="106C67C3"/>
    <w:rsid w:val="108AAE0B"/>
    <w:rsid w:val="10AA7A32"/>
    <w:rsid w:val="10BDCE65"/>
    <w:rsid w:val="10C571BF"/>
    <w:rsid w:val="10C66C70"/>
    <w:rsid w:val="10D2129E"/>
    <w:rsid w:val="10D3C847"/>
    <w:rsid w:val="10E74602"/>
    <w:rsid w:val="10F7CD8C"/>
    <w:rsid w:val="10FDFFDC"/>
    <w:rsid w:val="10FFE501"/>
    <w:rsid w:val="1114C2A9"/>
    <w:rsid w:val="111DF496"/>
    <w:rsid w:val="1124956F"/>
    <w:rsid w:val="11358B52"/>
    <w:rsid w:val="1136C4DE"/>
    <w:rsid w:val="1153F0DA"/>
    <w:rsid w:val="11543B2F"/>
    <w:rsid w:val="115507F1"/>
    <w:rsid w:val="115FF202"/>
    <w:rsid w:val="117206D4"/>
    <w:rsid w:val="1173FB5B"/>
    <w:rsid w:val="118CBCA4"/>
    <w:rsid w:val="1193D3B7"/>
    <w:rsid w:val="11A22314"/>
    <w:rsid w:val="11A8CB8B"/>
    <w:rsid w:val="11AD013D"/>
    <w:rsid w:val="11B737F1"/>
    <w:rsid w:val="11CB2AF8"/>
    <w:rsid w:val="11CDE770"/>
    <w:rsid w:val="11D75F3A"/>
    <w:rsid w:val="11DEE34C"/>
    <w:rsid w:val="11E44A04"/>
    <w:rsid w:val="11EADA2B"/>
    <w:rsid w:val="11EEA2EE"/>
    <w:rsid w:val="11EF0616"/>
    <w:rsid w:val="121A2E77"/>
    <w:rsid w:val="121C2866"/>
    <w:rsid w:val="12296207"/>
    <w:rsid w:val="122F6BE5"/>
    <w:rsid w:val="12373043"/>
    <w:rsid w:val="1238B40D"/>
    <w:rsid w:val="123B3861"/>
    <w:rsid w:val="124CE2A6"/>
    <w:rsid w:val="124F26ED"/>
    <w:rsid w:val="12529DC7"/>
    <w:rsid w:val="1261F037"/>
    <w:rsid w:val="12695500"/>
    <w:rsid w:val="126A38CA"/>
    <w:rsid w:val="128FA210"/>
    <w:rsid w:val="129364EE"/>
    <w:rsid w:val="129CFD7D"/>
    <w:rsid w:val="12A5518F"/>
    <w:rsid w:val="12A6FB3C"/>
    <w:rsid w:val="12AC0554"/>
    <w:rsid w:val="12AF8A73"/>
    <w:rsid w:val="12BF253E"/>
    <w:rsid w:val="12C3B0BD"/>
    <w:rsid w:val="12D8CD2C"/>
    <w:rsid w:val="12DE008E"/>
    <w:rsid w:val="12DEC016"/>
    <w:rsid w:val="12EA8113"/>
    <w:rsid w:val="12F24874"/>
    <w:rsid w:val="12F5C3A5"/>
    <w:rsid w:val="12F9F46A"/>
    <w:rsid w:val="1303E94C"/>
    <w:rsid w:val="1316D1BA"/>
    <w:rsid w:val="13188A2D"/>
    <w:rsid w:val="131CB319"/>
    <w:rsid w:val="132541F4"/>
    <w:rsid w:val="13278B1B"/>
    <w:rsid w:val="133D7590"/>
    <w:rsid w:val="13404158"/>
    <w:rsid w:val="1355199A"/>
    <w:rsid w:val="135DCC89"/>
    <w:rsid w:val="13615FB7"/>
    <w:rsid w:val="13760D29"/>
    <w:rsid w:val="13780676"/>
    <w:rsid w:val="137BD0E9"/>
    <w:rsid w:val="13895D30"/>
    <w:rsid w:val="1395C0A6"/>
    <w:rsid w:val="13988BD6"/>
    <w:rsid w:val="139A2D58"/>
    <w:rsid w:val="139C1C15"/>
    <w:rsid w:val="13A1A7DD"/>
    <w:rsid w:val="13A6759E"/>
    <w:rsid w:val="13AEC5D2"/>
    <w:rsid w:val="13B0838A"/>
    <w:rsid w:val="13B19DA8"/>
    <w:rsid w:val="13B3C9BB"/>
    <w:rsid w:val="13C0D25B"/>
    <w:rsid w:val="13C24ECD"/>
    <w:rsid w:val="13D2F5DF"/>
    <w:rsid w:val="13E4E487"/>
    <w:rsid w:val="13EE7D42"/>
    <w:rsid w:val="13F7CCFF"/>
    <w:rsid w:val="140B749D"/>
    <w:rsid w:val="141C99DA"/>
    <w:rsid w:val="142287E4"/>
    <w:rsid w:val="142DD0FA"/>
    <w:rsid w:val="143F7349"/>
    <w:rsid w:val="1444C47C"/>
    <w:rsid w:val="144B5AD4"/>
    <w:rsid w:val="1451A894"/>
    <w:rsid w:val="1461CABF"/>
    <w:rsid w:val="146996A0"/>
    <w:rsid w:val="147535BA"/>
    <w:rsid w:val="1479AAFF"/>
    <w:rsid w:val="14828637"/>
    <w:rsid w:val="14911114"/>
    <w:rsid w:val="149A2960"/>
    <w:rsid w:val="149FE4C3"/>
    <w:rsid w:val="14A6A8E8"/>
    <w:rsid w:val="14A95AA9"/>
    <w:rsid w:val="14AE6E2A"/>
    <w:rsid w:val="14AFAD0A"/>
    <w:rsid w:val="14BA4001"/>
    <w:rsid w:val="14BC2EDE"/>
    <w:rsid w:val="14C1A915"/>
    <w:rsid w:val="14C1EDC0"/>
    <w:rsid w:val="14C800B1"/>
    <w:rsid w:val="14C85334"/>
    <w:rsid w:val="14D6512E"/>
    <w:rsid w:val="14D9E80D"/>
    <w:rsid w:val="14DB3EC1"/>
    <w:rsid w:val="14DB5FDD"/>
    <w:rsid w:val="14EC950E"/>
    <w:rsid w:val="14FE39D8"/>
    <w:rsid w:val="1507FE27"/>
    <w:rsid w:val="150ADB22"/>
    <w:rsid w:val="151554FE"/>
    <w:rsid w:val="151AD193"/>
    <w:rsid w:val="151EA21C"/>
    <w:rsid w:val="1520EDA8"/>
    <w:rsid w:val="1523E608"/>
    <w:rsid w:val="154EBE23"/>
    <w:rsid w:val="155030DD"/>
    <w:rsid w:val="15569025"/>
    <w:rsid w:val="155F503E"/>
    <w:rsid w:val="15613FDC"/>
    <w:rsid w:val="15657DCA"/>
    <w:rsid w:val="15690699"/>
    <w:rsid w:val="1573543C"/>
    <w:rsid w:val="157EC78F"/>
    <w:rsid w:val="1584D340"/>
    <w:rsid w:val="15A0E4EF"/>
    <w:rsid w:val="15B79EB0"/>
    <w:rsid w:val="15B99612"/>
    <w:rsid w:val="15BE0336"/>
    <w:rsid w:val="15C03916"/>
    <w:rsid w:val="15C1D0D8"/>
    <w:rsid w:val="15C5B0FB"/>
    <w:rsid w:val="15D043B9"/>
    <w:rsid w:val="15D94B29"/>
    <w:rsid w:val="15F370E8"/>
    <w:rsid w:val="1605388A"/>
    <w:rsid w:val="162270ED"/>
    <w:rsid w:val="162546EC"/>
    <w:rsid w:val="162618BB"/>
    <w:rsid w:val="1634A290"/>
    <w:rsid w:val="1646D36D"/>
    <w:rsid w:val="164A4463"/>
    <w:rsid w:val="1652C3FF"/>
    <w:rsid w:val="165B9B6E"/>
    <w:rsid w:val="165C5A2A"/>
    <w:rsid w:val="165DDD46"/>
    <w:rsid w:val="16684FBC"/>
    <w:rsid w:val="166F3863"/>
    <w:rsid w:val="1675C052"/>
    <w:rsid w:val="167EE9BE"/>
    <w:rsid w:val="168297D7"/>
    <w:rsid w:val="16834A07"/>
    <w:rsid w:val="168E87DD"/>
    <w:rsid w:val="1691D9C0"/>
    <w:rsid w:val="1692EF71"/>
    <w:rsid w:val="1693314B"/>
    <w:rsid w:val="169864D8"/>
    <w:rsid w:val="16A5D52E"/>
    <w:rsid w:val="16ABDB5A"/>
    <w:rsid w:val="16B1D567"/>
    <w:rsid w:val="16B29C78"/>
    <w:rsid w:val="16B5DE40"/>
    <w:rsid w:val="16BA65A2"/>
    <w:rsid w:val="16C5541A"/>
    <w:rsid w:val="16D275F4"/>
    <w:rsid w:val="16D7A746"/>
    <w:rsid w:val="16D9489F"/>
    <w:rsid w:val="16DDF0CD"/>
    <w:rsid w:val="16DEF413"/>
    <w:rsid w:val="16E0CE69"/>
    <w:rsid w:val="17060B56"/>
    <w:rsid w:val="17081988"/>
    <w:rsid w:val="17087015"/>
    <w:rsid w:val="170A0999"/>
    <w:rsid w:val="1723FD30"/>
    <w:rsid w:val="172A4E06"/>
    <w:rsid w:val="1735EFF9"/>
    <w:rsid w:val="17377A3D"/>
    <w:rsid w:val="173EEC6E"/>
    <w:rsid w:val="174D26AD"/>
    <w:rsid w:val="174EEE76"/>
    <w:rsid w:val="17536F11"/>
    <w:rsid w:val="175913DB"/>
    <w:rsid w:val="17632C5F"/>
    <w:rsid w:val="17639F0F"/>
    <w:rsid w:val="1777140B"/>
    <w:rsid w:val="177EFBF7"/>
    <w:rsid w:val="1781421A"/>
    <w:rsid w:val="17890415"/>
    <w:rsid w:val="178B4F75"/>
    <w:rsid w:val="178B681D"/>
    <w:rsid w:val="179016C7"/>
    <w:rsid w:val="1796AE8A"/>
    <w:rsid w:val="1799EB06"/>
    <w:rsid w:val="17A35839"/>
    <w:rsid w:val="17A6FB64"/>
    <w:rsid w:val="17B70BCD"/>
    <w:rsid w:val="17C13EFF"/>
    <w:rsid w:val="17C1E91C"/>
    <w:rsid w:val="17CD5CB5"/>
    <w:rsid w:val="17CFDA48"/>
    <w:rsid w:val="17D3AF5A"/>
    <w:rsid w:val="17D98763"/>
    <w:rsid w:val="17DA3390"/>
    <w:rsid w:val="17DA819B"/>
    <w:rsid w:val="17DCF70A"/>
    <w:rsid w:val="17E79BD2"/>
    <w:rsid w:val="17F94686"/>
    <w:rsid w:val="1802BDAC"/>
    <w:rsid w:val="180FBBAF"/>
    <w:rsid w:val="18109BB7"/>
    <w:rsid w:val="18290F21"/>
    <w:rsid w:val="1834E132"/>
    <w:rsid w:val="18388644"/>
    <w:rsid w:val="183C8E96"/>
    <w:rsid w:val="184EB854"/>
    <w:rsid w:val="185CA179"/>
    <w:rsid w:val="187AECC8"/>
    <w:rsid w:val="187CD547"/>
    <w:rsid w:val="18885236"/>
    <w:rsid w:val="188E7216"/>
    <w:rsid w:val="1895BFF0"/>
    <w:rsid w:val="18987175"/>
    <w:rsid w:val="1899BBBC"/>
    <w:rsid w:val="18A5273A"/>
    <w:rsid w:val="18B7FDF1"/>
    <w:rsid w:val="18C32465"/>
    <w:rsid w:val="18CF29A6"/>
    <w:rsid w:val="18D8F8E2"/>
    <w:rsid w:val="18DBF672"/>
    <w:rsid w:val="18DC58AC"/>
    <w:rsid w:val="18E2DA98"/>
    <w:rsid w:val="18E68768"/>
    <w:rsid w:val="18E9F266"/>
    <w:rsid w:val="18EBB768"/>
    <w:rsid w:val="18EE8E54"/>
    <w:rsid w:val="18F14C2B"/>
    <w:rsid w:val="18FD8529"/>
    <w:rsid w:val="19311AD0"/>
    <w:rsid w:val="194902E9"/>
    <w:rsid w:val="19526DC7"/>
    <w:rsid w:val="195C2BA3"/>
    <w:rsid w:val="195C650C"/>
    <w:rsid w:val="195F5103"/>
    <w:rsid w:val="1960EE6D"/>
    <w:rsid w:val="1973622D"/>
    <w:rsid w:val="197EF074"/>
    <w:rsid w:val="197FE7BC"/>
    <w:rsid w:val="19A21E1D"/>
    <w:rsid w:val="19B31A9D"/>
    <w:rsid w:val="19C05E55"/>
    <w:rsid w:val="19C220D1"/>
    <w:rsid w:val="19C6250A"/>
    <w:rsid w:val="19D1C708"/>
    <w:rsid w:val="19D7B100"/>
    <w:rsid w:val="19E0618A"/>
    <w:rsid w:val="19EE5019"/>
    <w:rsid w:val="19F8039E"/>
    <w:rsid w:val="1A05AFDE"/>
    <w:rsid w:val="1A07793F"/>
    <w:rsid w:val="1A0DC3E6"/>
    <w:rsid w:val="1A120441"/>
    <w:rsid w:val="1A12C39C"/>
    <w:rsid w:val="1A20C2D5"/>
    <w:rsid w:val="1A28A46A"/>
    <w:rsid w:val="1A37EB93"/>
    <w:rsid w:val="1A45D2DE"/>
    <w:rsid w:val="1A5160DA"/>
    <w:rsid w:val="1A525E4F"/>
    <w:rsid w:val="1A5362F4"/>
    <w:rsid w:val="1A6741C6"/>
    <w:rsid w:val="1A6EB397"/>
    <w:rsid w:val="1A7DA965"/>
    <w:rsid w:val="1A7F67B7"/>
    <w:rsid w:val="1A902E57"/>
    <w:rsid w:val="1A974DCC"/>
    <w:rsid w:val="1AA2B24A"/>
    <w:rsid w:val="1AB1E04D"/>
    <w:rsid w:val="1AB556F4"/>
    <w:rsid w:val="1AB89541"/>
    <w:rsid w:val="1ABB0D2D"/>
    <w:rsid w:val="1AC89084"/>
    <w:rsid w:val="1ADF09AA"/>
    <w:rsid w:val="1AE56FF9"/>
    <w:rsid w:val="1AE9667D"/>
    <w:rsid w:val="1AED716F"/>
    <w:rsid w:val="1B14CB78"/>
    <w:rsid w:val="1B226EC0"/>
    <w:rsid w:val="1B31CD37"/>
    <w:rsid w:val="1B33D648"/>
    <w:rsid w:val="1B343AB7"/>
    <w:rsid w:val="1B4C050A"/>
    <w:rsid w:val="1B55AB78"/>
    <w:rsid w:val="1B5E6FC6"/>
    <w:rsid w:val="1B6482CC"/>
    <w:rsid w:val="1B700362"/>
    <w:rsid w:val="1B702706"/>
    <w:rsid w:val="1B71A2F9"/>
    <w:rsid w:val="1B78B39D"/>
    <w:rsid w:val="1B7F33FF"/>
    <w:rsid w:val="1B880578"/>
    <w:rsid w:val="1B9409F3"/>
    <w:rsid w:val="1BA95F7F"/>
    <w:rsid w:val="1BAE02ED"/>
    <w:rsid w:val="1BB76868"/>
    <w:rsid w:val="1BC2E99D"/>
    <w:rsid w:val="1BC364DF"/>
    <w:rsid w:val="1BD6829B"/>
    <w:rsid w:val="1BE2AA58"/>
    <w:rsid w:val="1BF6C4E6"/>
    <w:rsid w:val="1BFB6888"/>
    <w:rsid w:val="1C1D3984"/>
    <w:rsid w:val="1C24D46C"/>
    <w:rsid w:val="1C2E1232"/>
    <w:rsid w:val="1C359597"/>
    <w:rsid w:val="1C3676CE"/>
    <w:rsid w:val="1C3C6CA7"/>
    <w:rsid w:val="1C576991"/>
    <w:rsid w:val="1C5B427C"/>
    <w:rsid w:val="1C5B615E"/>
    <w:rsid w:val="1C6176C4"/>
    <w:rsid w:val="1C6383C0"/>
    <w:rsid w:val="1C6ADC1E"/>
    <w:rsid w:val="1C6D5BC8"/>
    <w:rsid w:val="1C8773D9"/>
    <w:rsid w:val="1C9A937D"/>
    <w:rsid w:val="1C9BFB2E"/>
    <w:rsid w:val="1CB46475"/>
    <w:rsid w:val="1CC480E2"/>
    <w:rsid w:val="1CD0A332"/>
    <w:rsid w:val="1CDAAEA2"/>
    <w:rsid w:val="1CE12F30"/>
    <w:rsid w:val="1CE331CB"/>
    <w:rsid w:val="1CE4D972"/>
    <w:rsid w:val="1CE9CF85"/>
    <w:rsid w:val="1CEB6731"/>
    <w:rsid w:val="1CF20B25"/>
    <w:rsid w:val="1D17FBAE"/>
    <w:rsid w:val="1D2554BF"/>
    <w:rsid w:val="1D26E0A1"/>
    <w:rsid w:val="1D302BB3"/>
    <w:rsid w:val="1D3037B9"/>
    <w:rsid w:val="1D3669AE"/>
    <w:rsid w:val="1D4A815E"/>
    <w:rsid w:val="1D4C15AA"/>
    <w:rsid w:val="1D4C4020"/>
    <w:rsid w:val="1D51051C"/>
    <w:rsid w:val="1D63EF3E"/>
    <w:rsid w:val="1D6A806B"/>
    <w:rsid w:val="1D762454"/>
    <w:rsid w:val="1D773426"/>
    <w:rsid w:val="1D7F503A"/>
    <w:rsid w:val="1D8270CB"/>
    <w:rsid w:val="1D91C9D8"/>
    <w:rsid w:val="1D9393EF"/>
    <w:rsid w:val="1DABC6A9"/>
    <w:rsid w:val="1DAF5B5E"/>
    <w:rsid w:val="1DB22EDD"/>
    <w:rsid w:val="1DB584DA"/>
    <w:rsid w:val="1DB860BC"/>
    <w:rsid w:val="1DC15B56"/>
    <w:rsid w:val="1DF7DE2F"/>
    <w:rsid w:val="1E102E84"/>
    <w:rsid w:val="1E148075"/>
    <w:rsid w:val="1E19301B"/>
    <w:rsid w:val="1E619C0C"/>
    <w:rsid w:val="1E62F093"/>
    <w:rsid w:val="1E6343E1"/>
    <w:rsid w:val="1E695157"/>
    <w:rsid w:val="1E81F6AC"/>
    <w:rsid w:val="1E8B2800"/>
    <w:rsid w:val="1EA97C05"/>
    <w:rsid w:val="1EAA30D4"/>
    <w:rsid w:val="1EABD01A"/>
    <w:rsid w:val="1EC022DC"/>
    <w:rsid w:val="1EC439A4"/>
    <w:rsid w:val="1ED22344"/>
    <w:rsid w:val="1EDEEF23"/>
    <w:rsid w:val="1EEA857E"/>
    <w:rsid w:val="1F095A6A"/>
    <w:rsid w:val="1F0ED23B"/>
    <w:rsid w:val="1F111D3B"/>
    <w:rsid w:val="1F152976"/>
    <w:rsid w:val="1F2D572D"/>
    <w:rsid w:val="1F30A922"/>
    <w:rsid w:val="1F3135AF"/>
    <w:rsid w:val="1F490ADE"/>
    <w:rsid w:val="1F49675B"/>
    <w:rsid w:val="1F523935"/>
    <w:rsid w:val="1F54DA46"/>
    <w:rsid w:val="1F8225F0"/>
    <w:rsid w:val="1F9138E0"/>
    <w:rsid w:val="1F9AB2A0"/>
    <w:rsid w:val="1FA1C043"/>
    <w:rsid w:val="1FAC8520"/>
    <w:rsid w:val="1FAEBD5A"/>
    <w:rsid w:val="1FCA2FA9"/>
    <w:rsid w:val="1FCB3561"/>
    <w:rsid w:val="1FCC3640"/>
    <w:rsid w:val="1FCF9033"/>
    <w:rsid w:val="1FD7ACF2"/>
    <w:rsid w:val="1FDE609C"/>
    <w:rsid w:val="1FF6F340"/>
    <w:rsid w:val="1FFF9603"/>
    <w:rsid w:val="2013893D"/>
    <w:rsid w:val="20141E0A"/>
    <w:rsid w:val="2014D3A8"/>
    <w:rsid w:val="20301C5E"/>
    <w:rsid w:val="203BDBD1"/>
    <w:rsid w:val="205952A4"/>
    <w:rsid w:val="205D8BAF"/>
    <w:rsid w:val="2066477E"/>
    <w:rsid w:val="206BBA77"/>
    <w:rsid w:val="206FFD9C"/>
    <w:rsid w:val="20904483"/>
    <w:rsid w:val="209A501F"/>
    <w:rsid w:val="20A14D06"/>
    <w:rsid w:val="20A46884"/>
    <w:rsid w:val="20ACF33B"/>
    <w:rsid w:val="20AF6086"/>
    <w:rsid w:val="20C74EA2"/>
    <w:rsid w:val="20DDB785"/>
    <w:rsid w:val="20DF3297"/>
    <w:rsid w:val="20E38288"/>
    <w:rsid w:val="20E531DC"/>
    <w:rsid w:val="20E8F848"/>
    <w:rsid w:val="20F07887"/>
    <w:rsid w:val="20F0AAA7"/>
    <w:rsid w:val="20FA7CB0"/>
    <w:rsid w:val="212BD7FC"/>
    <w:rsid w:val="212ECF81"/>
    <w:rsid w:val="21346A8E"/>
    <w:rsid w:val="213D6094"/>
    <w:rsid w:val="2157F1C4"/>
    <w:rsid w:val="215B6E62"/>
    <w:rsid w:val="215BD309"/>
    <w:rsid w:val="216BECD7"/>
    <w:rsid w:val="2176DEAB"/>
    <w:rsid w:val="217BAFA1"/>
    <w:rsid w:val="2189A2F5"/>
    <w:rsid w:val="218A8916"/>
    <w:rsid w:val="21981F48"/>
    <w:rsid w:val="219CDB7D"/>
    <w:rsid w:val="21A40F5E"/>
    <w:rsid w:val="21A75A1D"/>
    <w:rsid w:val="21A8F0D1"/>
    <w:rsid w:val="21B0F741"/>
    <w:rsid w:val="21B15392"/>
    <w:rsid w:val="21C0C85D"/>
    <w:rsid w:val="21CA248A"/>
    <w:rsid w:val="21CBD802"/>
    <w:rsid w:val="21D521E8"/>
    <w:rsid w:val="21E647C1"/>
    <w:rsid w:val="21F722FB"/>
    <w:rsid w:val="21F74DD8"/>
    <w:rsid w:val="21F939AE"/>
    <w:rsid w:val="22077EA0"/>
    <w:rsid w:val="2217FC55"/>
    <w:rsid w:val="221A3A04"/>
    <w:rsid w:val="22315CD6"/>
    <w:rsid w:val="223E5A43"/>
    <w:rsid w:val="2249827E"/>
    <w:rsid w:val="224AF1A5"/>
    <w:rsid w:val="224B2EB2"/>
    <w:rsid w:val="22517F75"/>
    <w:rsid w:val="22643938"/>
    <w:rsid w:val="227E072C"/>
    <w:rsid w:val="228A4BB2"/>
    <w:rsid w:val="22B3FC27"/>
    <w:rsid w:val="22B4C929"/>
    <w:rsid w:val="22B83A59"/>
    <w:rsid w:val="22BE7E17"/>
    <w:rsid w:val="22C11BC5"/>
    <w:rsid w:val="22C5AE3D"/>
    <w:rsid w:val="22D47A24"/>
    <w:rsid w:val="2303A973"/>
    <w:rsid w:val="230B0F4D"/>
    <w:rsid w:val="230B740A"/>
    <w:rsid w:val="230D9023"/>
    <w:rsid w:val="231E3C3F"/>
    <w:rsid w:val="232DD530"/>
    <w:rsid w:val="23360331"/>
    <w:rsid w:val="2368ABDE"/>
    <w:rsid w:val="236DAEB3"/>
    <w:rsid w:val="237017C6"/>
    <w:rsid w:val="2374E53E"/>
    <w:rsid w:val="237A4E0A"/>
    <w:rsid w:val="237DB0B7"/>
    <w:rsid w:val="238331A5"/>
    <w:rsid w:val="23896791"/>
    <w:rsid w:val="238FC8A6"/>
    <w:rsid w:val="239CF337"/>
    <w:rsid w:val="23ABA544"/>
    <w:rsid w:val="23AFE68A"/>
    <w:rsid w:val="23B0E1F9"/>
    <w:rsid w:val="23BFC0A7"/>
    <w:rsid w:val="23C09AEE"/>
    <w:rsid w:val="23C192EC"/>
    <w:rsid w:val="23E2E93D"/>
    <w:rsid w:val="23EF783B"/>
    <w:rsid w:val="240BBDD6"/>
    <w:rsid w:val="241A7A90"/>
    <w:rsid w:val="241F0ADD"/>
    <w:rsid w:val="2436BDE6"/>
    <w:rsid w:val="243CC356"/>
    <w:rsid w:val="24460F0A"/>
    <w:rsid w:val="244CD53E"/>
    <w:rsid w:val="24501D5D"/>
    <w:rsid w:val="245102AD"/>
    <w:rsid w:val="245CEC26"/>
    <w:rsid w:val="2466538A"/>
    <w:rsid w:val="246E11CD"/>
    <w:rsid w:val="247A8688"/>
    <w:rsid w:val="247FEC40"/>
    <w:rsid w:val="24858C19"/>
    <w:rsid w:val="24930F24"/>
    <w:rsid w:val="2495F212"/>
    <w:rsid w:val="249EE63F"/>
    <w:rsid w:val="24A60662"/>
    <w:rsid w:val="24B451B3"/>
    <w:rsid w:val="24B57C8E"/>
    <w:rsid w:val="24C5F155"/>
    <w:rsid w:val="24C85ED3"/>
    <w:rsid w:val="24D7E5E0"/>
    <w:rsid w:val="24D953E2"/>
    <w:rsid w:val="24E4D0C4"/>
    <w:rsid w:val="24F57AFD"/>
    <w:rsid w:val="24FC2084"/>
    <w:rsid w:val="2507FEDE"/>
    <w:rsid w:val="25118A98"/>
    <w:rsid w:val="251C0E5C"/>
    <w:rsid w:val="2524A4E0"/>
    <w:rsid w:val="252F191F"/>
    <w:rsid w:val="253B38F6"/>
    <w:rsid w:val="2545E411"/>
    <w:rsid w:val="2547FA82"/>
    <w:rsid w:val="254B5B63"/>
    <w:rsid w:val="25663364"/>
    <w:rsid w:val="25706751"/>
    <w:rsid w:val="2576AAD4"/>
    <w:rsid w:val="2577372E"/>
    <w:rsid w:val="2581204B"/>
    <w:rsid w:val="25921977"/>
    <w:rsid w:val="259A65F6"/>
    <w:rsid w:val="25A8B480"/>
    <w:rsid w:val="25B47B31"/>
    <w:rsid w:val="25CB0564"/>
    <w:rsid w:val="25EE432F"/>
    <w:rsid w:val="25F8BC87"/>
    <w:rsid w:val="25F975CF"/>
    <w:rsid w:val="26083F57"/>
    <w:rsid w:val="260B4080"/>
    <w:rsid w:val="261610DC"/>
    <w:rsid w:val="2619F46A"/>
    <w:rsid w:val="261EE17B"/>
    <w:rsid w:val="262006DD"/>
    <w:rsid w:val="26202ED9"/>
    <w:rsid w:val="262E137C"/>
    <w:rsid w:val="26426B35"/>
    <w:rsid w:val="26505FCD"/>
    <w:rsid w:val="2653FD02"/>
    <w:rsid w:val="2662DBE7"/>
    <w:rsid w:val="2663EBCB"/>
    <w:rsid w:val="2667ED8F"/>
    <w:rsid w:val="266EE77F"/>
    <w:rsid w:val="2678E925"/>
    <w:rsid w:val="267A1FA1"/>
    <w:rsid w:val="267D3D2D"/>
    <w:rsid w:val="2686AD47"/>
    <w:rsid w:val="268ABD3B"/>
    <w:rsid w:val="2692807F"/>
    <w:rsid w:val="26A062DB"/>
    <w:rsid w:val="26AA7CE8"/>
    <w:rsid w:val="26B797F8"/>
    <w:rsid w:val="26BF50DB"/>
    <w:rsid w:val="26C50B5C"/>
    <w:rsid w:val="26D8E33D"/>
    <w:rsid w:val="26E1EA84"/>
    <w:rsid w:val="26E7874C"/>
    <w:rsid w:val="26EE8CB8"/>
    <w:rsid w:val="26F71D20"/>
    <w:rsid w:val="27004458"/>
    <w:rsid w:val="27040797"/>
    <w:rsid w:val="270CE7E9"/>
    <w:rsid w:val="2722BA46"/>
    <w:rsid w:val="272D2A15"/>
    <w:rsid w:val="27492561"/>
    <w:rsid w:val="275FEC2B"/>
    <w:rsid w:val="2762C6B3"/>
    <w:rsid w:val="2768CB8F"/>
    <w:rsid w:val="277147D5"/>
    <w:rsid w:val="27754B72"/>
    <w:rsid w:val="278242D8"/>
    <w:rsid w:val="278B5608"/>
    <w:rsid w:val="27911911"/>
    <w:rsid w:val="27917C95"/>
    <w:rsid w:val="2794E00B"/>
    <w:rsid w:val="2796F801"/>
    <w:rsid w:val="2798C92E"/>
    <w:rsid w:val="27A63667"/>
    <w:rsid w:val="27ADD9D8"/>
    <w:rsid w:val="27BEEA11"/>
    <w:rsid w:val="27CD8A3B"/>
    <w:rsid w:val="27CF12C3"/>
    <w:rsid w:val="27D5D729"/>
    <w:rsid w:val="27DBECBF"/>
    <w:rsid w:val="27EDEFF1"/>
    <w:rsid w:val="27FA2885"/>
    <w:rsid w:val="280CA57B"/>
    <w:rsid w:val="281C7186"/>
    <w:rsid w:val="28380F52"/>
    <w:rsid w:val="283D3964"/>
    <w:rsid w:val="28614716"/>
    <w:rsid w:val="28650C7B"/>
    <w:rsid w:val="28670849"/>
    <w:rsid w:val="286B2ABF"/>
    <w:rsid w:val="2878DB32"/>
    <w:rsid w:val="2887935B"/>
    <w:rsid w:val="288BE7B3"/>
    <w:rsid w:val="289EA4AF"/>
    <w:rsid w:val="289FBB33"/>
    <w:rsid w:val="28A99133"/>
    <w:rsid w:val="28AE48E7"/>
    <w:rsid w:val="28AF94E7"/>
    <w:rsid w:val="28B19B99"/>
    <w:rsid w:val="28B7B21D"/>
    <w:rsid w:val="28C4855E"/>
    <w:rsid w:val="28D3BA2E"/>
    <w:rsid w:val="28D867A8"/>
    <w:rsid w:val="28EA535D"/>
    <w:rsid w:val="29044461"/>
    <w:rsid w:val="29180C1B"/>
    <w:rsid w:val="291FE128"/>
    <w:rsid w:val="2921DB8C"/>
    <w:rsid w:val="292B1FFF"/>
    <w:rsid w:val="29323F45"/>
    <w:rsid w:val="29402F3F"/>
    <w:rsid w:val="2955FF75"/>
    <w:rsid w:val="2960429B"/>
    <w:rsid w:val="296554CF"/>
    <w:rsid w:val="2968D84A"/>
    <w:rsid w:val="298334DD"/>
    <w:rsid w:val="298F2EF3"/>
    <w:rsid w:val="29910776"/>
    <w:rsid w:val="2995A72D"/>
    <w:rsid w:val="2995F8E6"/>
    <w:rsid w:val="2999C2A8"/>
    <w:rsid w:val="29A0D2BC"/>
    <w:rsid w:val="29A6B0DD"/>
    <w:rsid w:val="29A7B8EC"/>
    <w:rsid w:val="29B6E121"/>
    <w:rsid w:val="29C11F77"/>
    <w:rsid w:val="29C4EA75"/>
    <w:rsid w:val="29D91C18"/>
    <w:rsid w:val="29E1B286"/>
    <w:rsid w:val="29E85655"/>
    <w:rsid w:val="29F116B0"/>
    <w:rsid w:val="29F267F5"/>
    <w:rsid w:val="29F67047"/>
    <w:rsid w:val="29F84F87"/>
    <w:rsid w:val="29FE85DE"/>
    <w:rsid w:val="2A03A2CC"/>
    <w:rsid w:val="2A05641C"/>
    <w:rsid w:val="2A1F280E"/>
    <w:rsid w:val="2A273DEA"/>
    <w:rsid w:val="2A2B3302"/>
    <w:rsid w:val="2A451EF7"/>
    <w:rsid w:val="2A5ED007"/>
    <w:rsid w:val="2A64E228"/>
    <w:rsid w:val="2A6C0A1F"/>
    <w:rsid w:val="2A727CD6"/>
    <w:rsid w:val="2A7D3568"/>
    <w:rsid w:val="2A908DE4"/>
    <w:rsid w:val="2A95837A"/>
    <w:rsid w:val="2A9A5AE1"/>
    <w:rsid w:val="2AACFEE1"/>
    <w:rsid w:val="2ACC2DAA"/>
    <w:rsid w:val="2AD049BC"/>
    <w:rsid w:val="2AD51850"/>
    <w:rsid w:val="2AE94B85"/>
    <w:rsid w:val="2B02216E"/>
    <w:rsid w:val="2B27137A"/>
    <w:rsid w:val="2B2C380F"/>
    <w:rsid w:val="2B348671"/>
    <w:rsid w:val="2B364D0A"/>
    <w:rsid w:val="2B36C4AE"/>
    <w:rsid w:val="2B3F2356"/>
    <w:rsid w:val="2B53F522"/>
    <w:rsid w:val="2B541248"/>
    <w:rsid w:val="2B80D63E"/>
    <w:rsid w:val="2B8C6F36"/>
    <w:rsid w:val="2B9E2080"/>
    <w:rsid w:val="2BA1D1F0"/>
    <w:rsid w:val="2BE291B2"/>
    <w:rsid w:val="2BE5C573"/>
    <w:rsid w:val="2BEE6874"/>
    <w:rsid w:val="2BEF53A9"/>
    <w:rsid w:val="2BF930C8"/>
    <w:rsid w:val="2BFC2760"/>
    <w:rsid w:val="2C08FA1A"/>
    <w:rsid w:val="2C1C6E0E"/>
    <w:rsid w:val="2C242A3F"/>
    <w:rsid w:val="2C24A837"/>
    <w:rsid w:val="2C28574B"/>
    <w:rsid w:val="2C2E2301"/>
    <w:rsid w:val="2C3367E6"/>
    <w:rsid w:val="2C36F990"/>
    <w:rsid w:val="2C37C3CB"/>
    <w:rsid w:val="2C41FF56"/>
    <w:rsid w:val="2C429E82"/>
    <w:rsid w:val="2C48CF42"/>
    <w:rsid w:val="2C4AFF62"/>
    <w:rsid w:val="2C54131F"/>
    <w:rsid w:val="2C5781EA"/>
    <w:rsid w:val="2C67FE0B"/>
    <w:rsid w:val="2C85C2F5"/>
    <w:rsid w:val="2C85FE6D"/>
    <w:rsid w:val="2C86831E"/>
    <w:rsid w:val="2C868C43"/>
    <w:rsid w:val="2C869995"/>
    <w:rsid w:val="2C8A7DA1"/>
    <w:rsid w:val="2CBB6440"/>
    <w:rsid w:val="2CC54B06"/>
    <w:rsid w:val="2CC7B322"/>
    <w:rsid w:val="2CCA3AD9"/>
    <w:rsid w:val="2CD015E3"/>
    <w:rsid w:val="2CD76A6B"/>
    <w:rsid w:val="2CDF7F89"/>
    <w:rsid w:val="2CE0CFE7"/>
    <w:rsid w:val="2CF2DE92"/>
    <w:rsid w:val="2CFAD9E5"/>
    <w:rsid w:val="2D087689"/>
    <w:rsid w:val="2D0F8783"/>
    <w:rsid w:val="2D173BE5"/>
    <w:rsid w:val="2D1B66DC"/>
    <w:rsid w:val="2D1C3545"/>
    <w:rsid w:val="2D25A1F6"/>
    <w:rsid w:val="2D379172"/>
    <w:rsid w:val="2D381DA2"/>
    <w:rsid w:val="2D44E4F0"/>
    <w:rsid w:val="2D5A6CCE"/>
    <w:rsid w:val="2D68E45D"/>
    <w:rsid w:val="2D6D6A7D"/>
    <w:rsid w:val="2D6E4A30"/>
    <w:rsid w:val="2D740F36"/>
    <w:rsid w:val="2D766CC4"/>
    <w:rsid w:val="2D7DF678"/>
    <w:rsid w:val="2D8BDEAF"/>
    <w:rsid w:val="2D9B9B6A"/>
    <w:rsid w:val="2D9C1BFD"/>
    <w:rsid w:val="2DB16A07"/>
    <w:rsid w:val="2DB681CB"/>
    <w:rsid w:val="2DC027C3"/>
    <w:rsid w:val="2DC1B17C"/>
    <w:rsid w:val="2DC6C371"/>
    <w:rsid w:val="2DC8416F"/>
    <w:rsid w:val="2DC9C83C"/>
    <w:rsid w:val="2DD566FA"/>
    <w:rsid w:val="2DDFB414"/>
    <w:rsid w:val="2DF050A5"/>
    <w:rsid w:val="2DFE1A29"/>
    <w:rsid w:val="2E0F957D"/>
    <w:rsid w:val="2E1B1824"/>
    <w:rsid w:val="2E432E51"/>
    <w:rsid w:val="2E4A93D5"/>
    <w:rsid w:val="2E618F32"/>
    <w:rsid w:val="2E660B3A"/>
    <w:rsid w:val="2E696A09"/>
    <w:rsid w:val="2E6B5EEF"/>
    <w:rsid w:val="2E757511"/>
    <w:rsid w:val="2E9AD7BB"/>
    <w:rsid w:val="2E9CE736"/>
    <w:rsid w:val="2E9DE171"/>
    <w:rsid w:val="2EA8D041"/>
    <w:rsid w:val="2EAA5162"/>
    <w:rsid w:val="2EB60CC4"/>
    <w:rsid w:val="2EC5D918"/>
    <w:rsid w:val="2ECC42BE"/>
    <w:rsid w:val="2ECCFE7C"/>
    <w:rsid w:val="2ECD24AE"/>
    <w:rsid w:val="2ED2A7A6"/>
    <w:rsid w:val="2ED4392D"/>
    <w:rsid w:val="2ED8B4BF"/>
    <w:rsid w:val="2EDB8552"/>
    <w:rsid w:val="2EDE89B4"/>
    <w:rsid w:val="2EDE9DCC"/>
    <w:rsid w:val="2EDF5AB7"/>
    <w:rsid w:val="2EE5BAED"/>
    <w:rsid w:val="2EED0ED1"/>
    <w:rsid w:val="2EEFA9B0"/>
    <w:rsid w:val="2EF89AB7"/>
    <w:rsid w:val="2EFAAFAB"/>
    <w:rsid w:val="2F0FBD5D"/>
    <w:rsid w:val="2F12311D"/>
    <w:rsid w:val="2F157EC1"/>
    <w:rsid w:val="2F23D570"/>
    <w:rsid w:val="2F2879AE"/>
    <w:rsid w:val="2F3638B9"/>
    <w:rsid w:val="2F3F83AF"/>
    <w:rsid w:val="2F517168"/>
    <w:rsid w:val="2F528681"/>
    <w:rsid w:val="2F5C51A7"/>
    <w:rsid w:val="2F5CF269"/>
    <w:rsid w:val="2F78577F"/>
    <w:rsid w:val="2F7A64BE"/>
    <w:rsid w:val="2F7B9E8E"/>
    <w:rsid w:val="2F90D13E"/>
    <w:rsid w:val="2F9F9ECD"/>
    <w:rsid w:val="2FA3AAAD"/>
    <w:rsid w:val="2FAA9819"/>
    <w:rsid w:val="2FB12DE4"/>
    <w:rsid w:val="2FB5D340"/>
    <w:rsid w:val="2FB78223"/>
    <w:rsid w:val="2FC2D9B8"/>
    <w:rsid w:val="2FCF5045"/>
    <w:rsid w:val="2FD83582"/>
    <w:rsid w:val="2FEA3122"/>
    <w:rsid w:val="2FF1D4DC"/>
    <w:rsid w:val="2FFB181C"/>
    <w:rsid w:val="2FFDA2F6"/>
    <w:rsid w:val="300FCFAB"/>
    <w:rsid w:val="30160686"/>
    <w:rsid w:val="3019FE48"/>
    <w:rsid w:val="302092A3"/>
    <w:rsid w:val="3020CF12"/>
    <w:rsid w:val="30234D43"/>
    <w:rsid w:val="3024BDD8"/>
    <w:rsid w:val="302AD841"/>
    <w:rsid w:val="3031991B"/>
    <w:rsid w:val="3042A406"/>
    <w:rsid w:val="3045DB3B"/>
    <w:rsid w:val="30532DE8"/>
    <w:rsid w:val="30613FB4"/>
    <w:rsid w:val="3067847D"/>
    <w:rsid w:val="30690032"/>
    <w:rsid w:val="306C8AB7"/>
    <w:rsid w:val="30716053"/>
    <w:rsid w:val="307CDC29"/>
    <w:rsid w:val="307ECBDB"/>
    <w:rsid w:val="309DA564"/>
    <w:rsid w:val="30A6F333"/>
    <w:rsid w:val="30A9B694"/>
    <w:rsid w:val="30B1D64F"/>
    <w:rsid w:val="30B85568"/>
    <w:rsid w:val="30D3D0BF"/>
    <w:rsid w:val="30D3F52A"/>
    <w:rsid w:val="30D4DE36"/>
    <w:rsid w:val="30D8CF8E"/>
    <w:rsid w:val="30DD189D"/>
    <w:rsid w:val="30E56921"/>
    <w:rsid w:val="30F2220D"/>
    <w:rsid w:val="3106BCB7"/>
    <w:rsid w:val="31241FD5"/>
    <w:rsid w:val="31323B09"/>
    <w:rsid w:val="313B6F2E"/>
    <w:rsid w:val="313CBA84"/>
    <w:rsid w:val="315847E9"/>
    <w:rsid w:val="315B4793"/>
    <w:rsid w:val="3169E3D0"/>
    <w:rsid w:val="316C4B73"/>
    <w:rsid w:val="31705741"/>
    <w:rsid w:val="3170E945"/>
    <w:rsid w:val="31774B59"/>
    <w:rsid w:val="317C59AB"/>
    <w:rsid w:val="317D376F"/>
    <w:rsid w:val="31827339"/>
    <w:rsid w:val="319A1CE6"/>
    <w:rsid w:val="31A85DD0"/>
    <w:rsid w:val="31AA23E4"/>
    <w:rsid w:val="31AD1B24"/>
    <w:rsid w:val="31B37400"/>
    <w:rsid w:val="31B519A1"/>
    <w:rsid w:val="31C1291C"/>
    <w:rsid w:val="31C4BA80"/>
    <w:rsid w:val="31C5067C"/>
    <w:rsid w:val="31CB4152"/>
    <w:rsid w:val="31D0437C"/>
    <w:rsid w:val="31D203F6"/>
    <w:rsid w:val="31F78193"/>
    <w:rsid w:val="31FF74FD"/>
    <w:rsid w:val="320224F8"/>
    <w:rsid w:val="321DB352"/>
    <w:rsid w:val="3220C03B"/>
    <w:rsid w:val="3221AD43"/>
    <w:rsid w:val="3230BFF0"/>
    <w:rsid w:val="323EB4F1"/>
    <w:rsid w:val="3258F334"/>
    <w:rsid w:val="3266E183"/>
    <w:rsid w:val="3278E8FE"/>
    <w:rsid w:val="327EA67C"/>
    <w:rsid w:val="327FCF45"/>
    <w:rsid w:val="328FB867"/>
    <w:rsid w:val="3291CD1B"/>
    <w:rsid w:val="329C8A1F"/>
    <w:rsid w:val="32A5E63E"/>
    <w:rsid w:val="32A7FCB0"/>
    <w:rsid w:val="32AA792B"/>
    <w:rsid w:val="32C67FB7"/>
    <w:rsid w:val="32E438E1"/>
    <w:rsid w:val="32F37489"/>
    <w:rsid w:val="32F67B8E"/>
    <w:rsid w:val="3305793A"/>
    <w:rsid w:val="330AB69C"/>
    <w:rsid w:val="330B184D"/>
    <w:rsid w:val="330CB9A6"/>
    <w:rsid w:val="3311BE69"/>
    <w:rsid w:val="331D2801"/>
    <w:rsid w:val="332BE67E"/>
    <w:rsid w:val="333108AB"/>
    <w:rsid w:val="33368EC0"/>
    <w:rsid w:val="333CCE20"/>
    <w:rsid w:val="335032F0"/>
    <w:rsid w:val="3356C4CA"/>
    <w:rsid w:val="335C27A7"/>
    <w:rsid w:val="3373D292"/>
    <w:rsid w:val="337A44C8"/>
    <w:rsid w:val="337D392A"/>
    <w:rsid w:val="337D3968"/>
    <w:rsid w:val="338672A5"/>
    <w:rsid w:val="3398B9C8"/>
    <w:rsid w:val="339ABC73"/>
    <w:rsid w:val="33AA8512"/>
    <w:rsid w:val="33AB9D9C"/>
    <w:rsid w:val="33D1B4D5"/>
    <w:rsid w:val="33D3E8EC"/>
    <w:rsid w:val="33E15756"/>
    <w:rsid w:val="33E72D8E"/>
    <w:rsid w:val="33F9E83B"/>
    <w:rsid w:val="33FAF343"/>
    <w:rsid w:val="33FB186A"/>
    <w:rsid w:val="3423F229"/>
    <w:rsid w:val="3428A099"/>
    <w:rsid w:val="342E1830"/>
    <w:rsid w:val="3436E841"/>
    <w:rsid w:val="34379C90"/>
    <w:rsid w:val="3441EECA"/>
    <w:rsid w:val="344BCB32"/>
    <w:rsid w:val="344D705F"/>
    <w:rsid w:val="345C271D"/>
    <w:rsid w:val="346B515B"/>
    <w:rsid w:val="34A10F84"/>
    <w:rsid w:val="34A1DFFD"/>
    <w:rsid w:val="34A1EA31"/>
    <w:rsid w:val="34B2EA41"/>
    <w:rsid w:val="34C139D4"/>
    <w:rsid w:val="34C83FA0"/>
    <w:rsid w:val="34D435EB"/>
    <w:rsid w:val="34D71812"/>
    <w:rsid w:val="34E15E99"/>
    <w:rsid w:val="34F9AC1B"/>
    <w:rsid w:val="34FDE389"/>
    <w:rsid w:val="34FE274F"/>
    <w:rsid w:val="3504D175"/>
    <w:rsid w:val="350AA2D0"/>
    <w:rsid w:val="3534CAF2"/>
    <w:rsid w:val="3544D176"/>
    <w:rsid w:val="354D2923"/>
    <w:rsid w:val="3558E4B8"/>
    <w:rsid w:val="3567CB63"/>
    <w:rsid w:val="35685379"/>
    <w:rsid w:val="3576AD66"/>
    <w:rsid w:val="3580EC28"/>
    <w:rsid w:val="3582F7D1"/>
    <w:rsid w:val="35906B89"/>
    <w:rsid w:val="3593D112"/>
    <w:rsid w:val="359FD8CF"/>
    <w:rsid w:val="35A0F049"/>
    <w:rsid w:val="35A5ACF2"/>
    <w:rsid w:val="35AB9EE3"/>
    <w:rsid w:val="35AEB927"/>
    <w:rsid w:val="35B6D8E5"/>
    <w:rsid w:val="35CC2819"/>
    <w:rsid w:val="35CD1960"/>
    <w:rsid w:val="35CF1981"/>
    <w:rsid w:val="35D05AA6"/>
    <w:rsid w:val="35D21DDD"/>
    <w:rsid w:val="35E21C1B"/>
    <w:rsid w:val="35EA75F4"/>
    <w:rsid w:val="35F096F6"/>
    <w:rsid w:val="35F3739F"/>
    <w:rsid w:val="35FB6A64"/>
    <w:rsid w:val="35FDEF74"/>
    <w:rsid w:val="360AB85E"/>
    <w:rsid w:val="3617C864"/>
    <w:rsid w:val="361BA18B"/>
    <w:rsid w:val="3664395A"/>
    <w:rsid w:val="3667B700"/>
    <w:rsid w:val="36697855"/>
    <w:rsid w:val="366C6416"/>
    <w:rsid w:val="36711287"/>
    <w:rsid w:val="3671FE68"/>
    <w:rsid w:val="367B0E11"/>
    <w:rsid w:val="36B1E58A"/>
    <w:rsid w:val="36BEE6E5"/>
    <w:rsid w:val="36DA8737"/>
    <w:rsid w:val="36E59076"/>
    <w:rsid w:val="36F9B430"/>
    <w:rsid w:val="36FA3CBA"/>
    <w:rsid w:val="36FF92F1"/>
    <w:rsid w:val="3702CCB1"/>
    <w:rsid w:val="370EF3E7"/>
    <w:rsid w:val="3718F818"/>
    <w:rsid w:val="371A1242"/>
    <w:rsid w:val="37234DB9"/>
    <w:rsid w:val="373E82E6"/>
    <w:rsid w:val="37408CA8"/>
    <w:rsid w:val="37683B14"/>
    <w:rsid w:val="3781702B"/>
    <w:rsid w:val="37A1297A"/>
    <w:rsid w:val="37A786FB"/>
    <w:rsid w:val="37A9BB94"/>
    <w:rsid w:val="37C7B622"/>
    <w:rsid w:val="37C7E25B"/>
    <w:rsid w:val="37C91ED2"/>
    <w:rsid w:val="37CE85AF"/>
    <w:rsid w:val="37D0A6E9"/>
    <w:rsid w:val="37D11A9B"/>
    <w:rsid w:val="37E1D052"/>
    <w:rsid w:val="37F2F937"/>
    <w:rsid w:val="37F73548"/>
    <w:rsid w:val="38085259"/>
    <w:rsid w:val="380BD243"/>
    <w:rsid w:val="3813633C"/>
    <w:rsid w:val="3819802B"/>
    <w:rsid w:val="382301AA"/>
    <w:rsid w:val="3831806F"/>
    <w:rsid w:val="383CC1EA"/>
    <w:rsid w:val="384076E3"/>
    <w:rsid w:val="38448FC5"/>
    <w:rsid w:val="38498924"/>
    <w:rsid w:val="38505902"/>
    <w:rsid w:val="38567396"/>
    <w:rsid w:val="385F02A5"/>
    <w:rsid w:val="3860271E"/>
    <w:rsid w:val="38617669"/>
    <w:rsid w:val="38644959"/>
    <w:rsid w:val="386FE23E"/>
    <w:rsid w:val="387697F8"/>
    <w:rsid w:val="388F6B68"/>
    <w:rsid w:val="38A96C96"/>
    <w:rsid w:val="38B48BAF"/>
    <w:rsid w:val="38B8F673"/>
    <w:rsid w:val="38BB280A"/>
    <w:rsid w:val="38BC645A"/>
    <w:rsid w:val="38D9DAAC"/>
    <w:rsid w:val="38DFBB8D"/>
    <w:rsid w:val="38FFF0D7"/>
    <w:rsid w:val="390C7193"/>
    <w:rsid w:val="39101A4A"/>
    <w:rsid w:val="391214A6"/>
    <w:rsid w:val="3912C742"/>
    <w:rsid w:val="3913D873"/>
    <w:rsid w:val="391AA561"/>
    <w:rsid w:val="39298EC8"/>
    <w:rsid w:val="392BC576"/>
    <w:rsid w:val="393CF089"/>
    <w:rsid w:val="39496E62"/>
    <w:rsid w:val="3950EA2C"/>
    <w:rsid w:val="3952AADF"/>
    <w:rsid w:val="39543015"/>
    <w:rsid w:val="39573EA8"/>
    <w:rsid w:val="395746E0"/>
    <w:rsid w:val="39795433"/>
    <w:rsid w:val="397CEBC5"/>
    <w:rsid w:val="39814221"/>
    <w:rsid w:val="3989E613"/>
    <w:rsid w:val="398D4BA3"/>
    <w:rsid w:val="39A15AA5"/>
    <w:rsid w:val="39B62F84"/>
    <w:rsid w:val="39D2AA87"/>
    <w:rsid w:val="39E015AA"/>
    <w:rsid w:val="39EE00C4"/>
    <w:rsid w:val="39EF9888"/>
    <w:rsid w:val="39F2B0C7"/>
    <w:rsid w:val="3A090FDA"/>
    <w:rsid w:val="3A0CF287"/>
    <w:rsid w:val="3A146F55"/>
    <w:rsid w:val="3A19E0EC"/>
    <w:rsid w:val="3A1B606B"/>
    <w:rsid w:val="3A2600E6"/>
    <w:rsid w:val="3A3ABE09"/>
    <w:rsid w:val="3A48F7B1"/>
    <w:rsid w:val="3A4902BC"/>
    <w:rsid w:val="3A53DD32"/>
    <w:rsid w:val="3A53E0DA"/>
    <w:rsid w:val="3A5D124A"/>
    <w:rsid w:val="3A63A32F"/>
    <w:rsid w:val="3A668B22"/>
    <w:rsid w:val="3A71676A"/>
    <w:rsid w:val="3A786C58"/>
    <w:rsid w:val="3A83AE6B"/>
    <w:rsid w:val="3A85C14B"/>
    <w:rsid w:val="3A95495D"/>
    <w:rsid w:val="3A96783F"/>
    <w:rsid w:val="3A9C3CC5"/>
    <w:rsid w:val="3A9DEEC2"/>
    <w:rsid w:val="3AADC017"/>
    <w:rsid w:val="3ABB614E"/>
    <w:rsid w:val="3ABD57D0"/>
    <w:rsid w:val="3AC90166"/>
    <w:rsid w:val="3ACEDB87"/>
    <w:rsid w:val="3AD7F4EA"/>
    <w:rsid w:val="3AE04E87"/>
    <w:rsid w:val="3AE6CCD1"/>
    <w:rsid w:val="3AE97EEC"/>
    <w:rsid w:val="3AF805EA"/>
    <w:rsid w:val="3B068E9F"/>
    <w:rsid w:val="3B0FE1AD"/>
    <w:rsid w:val="3B10E1DD"/>
    <w:rsid w:val="3B15676A"/>
    <w:rsid w:val="3B19FE97"/>
    <w:rsid w:val="3B1A3C09"/>
    <w:rsid w:val="3B21E96B"/>
    <w:rsid w:val="3B353EE3"/>
    <w:rsid w:val="3B376566"/>
    <w:rsid w:val="3B4BAFDB"/>
    <w:rsid w:val="3B4D072A"/>
    <w:rsid w:val="3B507657"/>
    <w:rsid w:val="3B54AB6A"/>
    <w:rsid w:val="3B579547"/>
    <w:rsid w:val="3B58F773"/>
    <w:rsid w:val="3B73D275"/>
    <w:rsid w:val="3B791205"/>
    <w:rsid w:val="3B84461F"/>
    <w:rsid w:val="3BA57BAC"/>
    <w:rsid w:val="3BA6EBC9"/>
    <w:rsid w:val="3BAC8663"/>
    <w:rsid w:val="3BB22AF9"/>
    <w:rsid w:val="3BC1A809"/>
    <w:rsid w:val="3BC43056"/>
    <w:rsid w:val="3BC7161D"/>
    <w:rsid w:val="3BC974F3"/>
    <w:rsid w:val="3BCE0057"/>
    <w:rsid w:val="3BE7BAC0"/>
    <w:rsid w:val="3BEFE0F3"/>
    <w:rsid w:val="3C101A64"/>
    <w:rsid w:val="3C230C95"/>
    <w:rsid w:val="3C2C4D43"/>
    <w:rsid w:val="3C388F18"/>
    <w:rsid w:val="3C39AABA"/>
    <w:rsid w:val="3C400FC2"/>
    <w:rsid w:val="3C60A6DF"/>
    <w:rsid w:val="3C76C931"/>
    <w:rsid w:val="3C81C676"/>
    <w:rsid w:val="3C8BBEE5"/>
    <w:rsid w:val="3C9617B9"/>
    <w:rsid w:val="3C969B16"/>
    <w:rsid w:val="3C97AC03"/>
    <w:rsid w:val="3C9BD256"/>
    <w:rsid w:val="3CC3F710"/>
    <w:rsid w:val="3CC44DD2"/>
    <w:rsid w:val="3CD8AC1C"/>
    <w:rsid w:val="3CDA4E29"/>
    <w:rsid w:val="3CDC3062"/>
    <w:rsid w:val="3CE12030"/>
    <w:rsid w:val="3CF50279"/>
    <w:rsid w:val="3CF6F7E6"/>
    <w:rsid w:val="3CFFC774"/>
    <w:rsid w:val="3D0956F5"/>
    <w:rsid w:val="3D09BCA7"/>
    <w:rsid w:val="3D102C51"/>
    <w:rsid w:val="3D12DBA8"/>
    <w:rsid w:val="3D147332"/>
    <w:rsid w:val="3D175889"/>
    <w:rsid w:val="3D29477D"/>
    <w:rsid w:val="3D37CFBC"/>
    <w:rsid w:val="3D45BC97"/>
    <w:rsid w:val="3D4A0AB9"/>
    <w:rsid w:val="3D4A3C99"/>
    <w:rsid w:val="3D4F5B4D"/>
    <w:rsid w:val="3D65E69A"/>
    <w:rsid w:val="3D67F966"/>
    <w:rsid w:val="3D694F82"/>
    <w:rsid w:val="3D6F52F7"/>
    <w:rsid w:val="3D74E368"/>
    <w:rsid w:val="3D7E0F0C"/>
    <w:rsid w:val="3D80563E"/>
    <w:rsid w:val="3D896006"/>
    <w:rsid w:val="3D9186A3"/>
    <w:rsid w:val="3DB00D1A"/>
    <w:rsid w:val="3DC412F8"/>
    <w:rsid w:val="3DE38B6D"/>
    <w:rsid w:val="3DE7018B"/>
    <w:rsid w:val="3DEE63AE"/>
    <w:rsid w:val="3DF29AB2"/>
    <w:rsid w:val="3DF56390"/>
    <w:rsid w:val="3DF95C86"/>
    <w:rsid w:val="3E07D1EF"/>
    <w:rsid w:val="3E0AE107"/>
    <w:rsid w:val="3E1024D2"/>
    <w:rsid w:val="3E190BDB"/>
    <w:rsid w:val="3E21DFBC"/>
    <w:rsid w:val="3E27525C"/>
    <w:rsid w:val="3E2B3B97"/>
    <w:rsid w:val="3E31E784"/>
    <w:rsid w:val="3E3D054F"/>
    <w:rsid w:val="3E44C816"/>
    <w:rsid w:val="3E478730"/>
    <w:rsid w:val="3E4917D0"/>
    <w:rsid w:val="3E501736"/>
    <w:rsid w:val="3E5819C8"/>
    <w:rsid w:val="3E6E67E4"/>
    <w:rsid w:val="3E7215FA"/>
    <w:rsid w:val="3E7610C2"/>
    <w:rsid w:val="3E863C5E"/>
    <w:rsid w:val="3E884845"/>
    <w:rsid w:val="3EA88287"/>
    <w:rsid w:val="3EB3B1BC"/>
    <w:rsid w:val="3EC55EA5"/>
    <w:rsid w:val="3EC59909"/>
    <w:rsid w:val="3EC9F0F2"/>
    <w:rsid w:val="3ECB0B5B"/>
    <w:rsid w:val="3EE7AFEE"/>
    <w:rsid w:val="3EFC0B8B"/>
    <w:rsid w:val="3F122D59"/>
    <w:rsid w:val="3F15971C"/>
    <w:rsid w:val="3F183F9E"/>
    <w:rsid w:val="3F1BEA1C"/>
    <w:rsid w:val="3F24C9E8"/>
    <w:rsid w:val="3F252457"/>
    <w:rsid w:val="3F29510F"/>
    <w:rsid w:val="3F29C422"/>
    <w:rsid w:val="3F38B567"/>
    <w:rsid w:val="3F4EE2DA"/>
    <w:rsid w:val="3F51588B"/>
    <w:rsid w:val="3F7C716A"/>
    <w:rsid w:val="3F845EF0"/>
    <w:rsid w:val="3F9BB8F3"/>
    <w:rsid w:val="3FA5C08A"/>
    <w:rsid w:val="3FB2DDF1"/>
    <w:rsid w:val="3FD7C774"/>
    <w:rsid w:val="3FEAB2F0"/>
    <w:rsid w:val="4000339A"/>
    <w:rsid w:val="40015FB4"/>
    <w:rsid w:val="4004B3F6"/>
    <w:rsid w:val="400F123A"/>
    <w:rsid w:val="40100B80"/>
    <w:rsid w:val="4013DB2A"/>
    <w:rsid w:val="401944D7"/>
    <w:rsid w:val="401A330D"/>
    <w:rsid w:val="402CFD1B"/>
    <w:rsid w:val="403640C9"/>
    <w:rsid w:val="404DC1B0"/>
    <w:rsid w:val="4051177E"/>
    <w:rsid w:val="4051A6AB"/>
    <w:rsid w:val="40663065"/>
    <w:rsid w:val="406AD56D"/>
    <w:rsid w:val="406FDFBD"/>
    <w:rsid w:val="408BCE9E"/>
    <w:rsid w:val="408CDE01"/>
    <w:rsid w:val="40905D2D"/>
    <w:rsid w:val="4097CE97"/>
    <w:rsid w:val="40A87416"/>
    <w:rsid w:val="40B1677D"/>
    <w:rsid w:val="40B2689A"/>
    <w:rsid w:val="40C12EAE"/>
    <w:rsid w:val="40CE2400"/>
    <w:rsid w:val="40CEE988"/>
    <w:rsid w:val="40D90D7B"/>
    <w:rsid w:val="40DED037"/>
    <w:rsid w:val="40EE550C"/>
    <w:rsid w:val="40F01214"/>
    <w:rsid w:val="411025BA"/>
    <w:rsid w:val="41391BF9"/>
    <w:rsid w:val="4149F5DD"/>
    <w:rsid w:val="41632665"/>
    <w:rsid w:val="4163A076"/>
    <w:rsid w:val="4172D839"/>
    <w:rsid w:val="41747817"/>
    <w:rsid w:val="417F27F2"/>
    <w:rsid w:val="4191AC63"/>
    <w:rsid w:val="419A69F2"/>
    <w:rsid w:val="41A169F7"/>
    <w:rsid w:val="41A2D10D"/>
    <w:rsid w:val="41B83024"/>
    <w:rsid w:val="41BF4E67"/>
    <w:rsid w:val="41C31CCD"/>
    <w:rsid w:val="41C381FA"/>
    <w:rsid w:val="41C8CD7C"/>
    <w:rsid w:val="41DA3CB9"/>
    <w:rsid w:val="41E6278F"/>
    <w:rsid w:val="41F2C0E1"/>
    <w:rsid w:val="41FBADC5"/>
    <w:rsid w:val="4202AC1D"/>
    <w:rsid w:val="4208FDD0"/>
    <w:rsid w:val="422859B8"/>
    <w:rsid w:val="423C35E5"/>
    <w:rsid w:val="4244BE20"/>
    <w:rsid w:val="4253A399"/>
    <w:rsid w:val="42639845"/>
    <w:rsid w:val="4265668E"/>
    <w:rsid w:val="4273A42C"/>
    <w:rsid w:val="42779B12"/>
    <w:rsid w:val="428ED428"/>
    <w:rsid w:val="429DCE00"/>
    <w:rsid w:val="429DD433"/>
    <w:rsid w:val="42AB759F"/>
    <w:rsid w:val="42AD5E79"/>
    <w:rsid w:val="42B9E615"/>
    <w:rsid w:val="42BAD96C"/>
    <w:rsid w:val="42D0615B"/>
    <w:rsid w:val="42D894A8"/>
    <w:rsid w:val="42F23B6B"/>
    <w:rsid w:val="430E8D5C"/>
    <w:rsid w:val="430FDEE5"/>
    <w:rsid w:val="4314A366"/>
    <w:rsid w:val="43197AAB"/>
    <w:rsid w:val="431C3D17"/>
    <w:rsid w:val="431FEA76"/>
    <w:rsid w:val="432AD566"/>
    <w:rsid w:val="43394BB3"/>
    <w:rsid w:val="436A652A"/>
    <w:rsid w:val="436DB90B"/>
    <w:rsid w:val="437A157A"/>
    <w:rsid w:val="437D2A43"/>
    <w:rsid w:val="439CF028"/>
    <w:rsid w:val="43BF09C0"/>
    <w:rsid w:val="43BF62D0"/>
    <w:rsid w:val="43C7E323"/>
    <w:rsid w:val="43CF7D7B"/>
    <w:rsid w:val="43D05F7C"/>
    <w:rsid w:val="43D47DED"/>
    <w:rsid w:val="43F08063"/>
    <w:rsid w:val="440F6D8F"/>
    <w:rsid w:val="440F748D"/>
    <w:rsid w:val="441030A5"/>
    <w:rsid w:val="4425C073"/>
    <w:rsid w:val="4427F14A"/>
    <w:rsid w:val="442A3ABD"/>
    <w:rsid w:val="442CBCDF"/>
    <w:rsid w:val="4430872C"/>
    <w:rsid w:val="443998FB"/>
    <w:rsid w:val="4439D792"/>
    <w:rsid w:val="443DDDF0"/>
    <w:rsid w:val="4445608B"/>
    <w:rsid w:val="44506230"/>
    <w:rsid w:val="4455CCB3"/>
    <w:rsid w:val="4457F62B"/>
    <w:rsid w:val="445B90D9"/>
    <w:rsid w:val="4462E42B"/>
    <w:rsid w:val="4468185E"/>
    <w:rsid w:val="44696C43"/>
    <w:rsid w:val="446A7B47"/>
    <w:rsid w:val="44705CB7"/>
    <w:rsid w:val="4471776B"/>
    <w:rsid w:val="448793E4"/>
    <w:rsid w:val="44898C50"/>
    <w:rsid w:val="448A089B"/>
    <w:rsid w:val="448E10ED"/>
    <w:rsid w:val="44AC3865"/>
    <w:rsid w:val="44AE5B09"/>
    <w:rsid w:val="44B05222"/>
    <w:rsid w:val="44B2E391"/>
    <w:rsid w:val="44BA67C4"/>
    <w:rsid w:val="44C82835"/>
    <w:rsid w:val="44C8FFAA"/>
    <w:rsid w:val="44CAEB84"/>
    <w:rsid w:val="44D16A14"/>
    <w:rsid w:val="44D1E2A9"/>
    <w:rsid w:val="44D20BBD"/>
    <w:rsid w:val="44D2BADA"/>
    <w:rsid w:val="44E9583B"/>
    <w:rsid w:val="44F478B1"/>
    <w:rsid w:val="451E9EE8"/>
    <w:rsid w:val="4535824E"/>
    <w:rsid w:val="454350E0"/>
    <w:rsid w:val="4549F638"/>
    <w:rsid w:val="454E96BA"/>
    <w:rsid w:val="454FCA7B"/>
    <w:rsid w:val="4556EEDD"/>
    <w:rsid w:val="45879C03"/>
    <w:rsid w:val="458CAA98"/>
    <w:rsid w:val="459D8A7C"/>
    <w:rsid w:val="45B8D050"/>
    <w:rsid w:val="45D0CC46"/>
    <w:rsid w:val="45D574F5"/>
    <w:rsid w:val="45E796B2"/>
    <w:rsid w:val="45F2F661"/>
    <w:rsid w:val="45FABCDA"/>
    <w:rsid w:val="45FBBD75"/>
    <w:rsid w:val="4622296B"/>
    <w:rsid w:val="4628020B"/>
    <w:rsid w:val="46451BB2"/>
    <w:rsid w:val="464B474E"/>
    <w:rsid w:val="465470F9"/>
    <w:rsid w:val="466D16DF"/>
    <w:rsid w:val="467BBD25"/>
    <w:rsid w:val="467DB116"/>
    <w:rsid w:val="4684C567"/>
    <w:rsid w:val="4688AE6A"/>
    <w:rsid w:val="46A7D4AE"/>
    <w:rsid w:val="46A7E4D1"/>
    <w:rsid w:val="46AAC80E"/>
    <w:rsid w:val="46BA58A4"/>
    <w:rsid w:val="46BD85F5"/>
    <w:rsid w:val="46BDACEC"/>
    <w:rsid w:val="46CBE1B5"/>
    <w:rsid w:val="46CCB413"/>
    <w:rsid w:val="46D32E0F"/>
    <w:rsid w:val="46DF2141"/>
    <w:rsid w:val="46E1F450"/>
    <w:rsid w:val="46EA8A12"/>
    <w:rsid w:val="46EC65E1"/>
    <w:rsid w:val="46FFFB28"/>
    <w:rsid w:val="4701EFF3"/>
    <w:rsid w:val="47113389"/>
    <w:rsid w:val="4714A796"/>
    <w:rsid w:val="4716B0BF"/>
    <w:rsid w:val="472186D5"/>
    <w:rsid w:val="472A87EC"/>
    <w:rsid w:val="472B3442"/>
    <w:rsid w:val="47467E1A"/>
    <w:rsid w:val="47719BD0"/>
    <w:rsid w:val="4776BC1E"/>
    <w:rsid w:val="477872D6"/>
    <w:rsid w:val="47816AA5"/>
    <w:rsid w:val="4785A188"/>
    <w:rsid w:val="478B86BF"/>
    <w:rsid w:val="478E645C"/>
    <w:rsid w:val="478F3897"/>
    <w:rsid w:val="478F5CDA"/>
    <w:rsid w:val="4790793F"/>
    <w:rsid w:val="47923D0C"/>
    <w:rsid w:val="47942BDD"/>
    <w:rsid w:val="47951316"/>
    <w:rsid w:val="479A8B68"/>
    <w:rsid w:val="47A169F7"/>
    <w:rsid w:val="47A2A3EA"/>
    <w:rsid w:val="47B76B6B"/>
    <w:rsid w:val="47B98AA0"/>
    <w:rsid w:val="47BB673D"/>
    <w:rsid w:val="47BE706F"/>
    <w:rsid w:val="47C5B1AF"/>
    <w:rsid w:val="47C6611F"/>
    <w:rsid w:val="47C86BD0"/>
    <w:rsid w:val="47DAD1BA"/>
    <w:rsid w:val="47DC8F5D"/>
    <w:rsid w:val="47E76764"/>
    <w:rsid w:val="47F48FA0"/>
    <w:rsid w:val="4809EDEB"/>
    <w:rsid w:val="480A9B4B"/>
    <w:rsid w:val="480D10F3"/>
    <w:rsid w:val="48155D77"/>
    <w:rsid w:val="481F2AE4"/>
    <w:rsid w:val="48365A53"/>
    <w:rsid w:val="48458FFB"/>
    <w:rsid w:val="4849B5D8"/>
    <w:rsid w:val="4855FC9E"/>
    <w:rsid w:val="486D2580"/>
    <w:rsid w:val="487AF1A2"/>
    <w:rsid w:val="487D50CC"/>
    <w:rsid w:val="48812A80"/>
    <w:rsid w:val="48856F64"/>
    <w:rsid w:val="4892D8DE"/>
    <w:rsid w:val="48951459"/>
    <w:rsid w:val="489B9508"/>
    <w:rsid w:val="48B395E1"/>
    <w:rsid w:val="48CC6D7D"/>
    <w:rsid w:val="48D37DCF"/>
    <w:rsid w:val="48D88FA1"/>
    <w:rsid w:val="48E00E20"/>
    <w:rsid w:val="48E084C8"/>
    <w:rsid w:val="48F51CB1"/>
    <w:rsid w:val="48F93E2B"/>
    <w:rsid w:val="48FC14A4"/>
    <w:rsid w:val="49086B44"/>
    <w:rsid w:val="4909E000"/>
    <w:rsid w:val="49180F48"/>
    <w:rsid w:val="491F2BD6"/>
    <w:rsid w:val="4923E9E2"/>
    <w:rsid w:val="4928909C"/>
    <w:rsid w:val="492B4136"/>
    <w:rsid w:val="492F9A42"/>
    <w:rsid w:val="4942E349"/>
    <w:rsid w:val="4949F100"/>
    <w:rsid w:val="494CE748"/>
    <w:rsid w:val="494F48D5"/>
    <w:rsid w:val="495664F5"/>
    <w:rsid w:val="49618210"/>
    <w:rsid w:val="49691013"/>
    <w:rsid w:val="4969C8FD"/>
    <w:rsid w:val="49751E16"/>
    <w:rsid w:val="4977BD28"/>
    <w:rsid w:val="4981EBDF"/>
    <w:rsid w:val="4987927D"/>
    <w:rsid w:val="499E5F94"/>
    <w:rsid w:val="49BD69E6"/>
    <w:rsid w:val="49BEA159"/>
    <w:rsid w:val="49CBB5D6"/>
    <w:rsid w:val="49D25AA4"/>
    <w:rsid w:val="49D25E49"/>
    <w:rsid w:val="49D7C71B"/>
    <w:rsid w:val="49DC1FBE"/>
    <w:rsid w:val="49DD57F5"/>
    <w:rsid w:val="49DDF2B2"/>
    <w:rsid w:val="49EE131D"/>
    <w:rsid w:val="4A071E9D"/>
    <w:rsid w:val="4A0A3FB3"/>
    <w:rsid w:val="4A0F3489"/>
    <w:rsid w:val="4A138230"/>
    <w:rsid w:val="4A2028A4"/>
    <w:rsid w:val="4A320AC1"/>
    <w:rsid w:val="4A3DABDD"/>
    <w:rsid w:val="4A4B8430"/>
    <w:rsid w:val="4A4FB8B4"/>
    <w:rsid w:val="4A5553D0"/>
    <w:rsid w:val="4A658DB4"/>
    <w:rsid w:val="4AA8E618"/>
    <w:rsid w:val="4AA9FAD5"/>
    <w:rsid w:val="4AC1178A"/>
    <w:rsid w:val="4AD3F605"/>
    <w:rsid w:val="4AE62752"/>
    <w:rsid w:val="4AE76753"/>
    <w:rsid w:val="4AF94A1F"/>
    <w:rsid w:val="4B0D19E1"/>
    <w:rsid w:val="4B18A9EA"/>
    <w:rsid w:val="4B20C3FE"/>
    <w:rsid w:val="4B3D9094"/>
    <w:rsid w:val="4B4A983D"/>
    <w:rsid w:val="4B4E3A03"/>
    <w:rsid w:val="4B5A6170"/>
    <w:rsid w:val="4B67543E"/>
    <w:rsid w:val="4B68D03B"/>
    <w:rsid w:val="4B6C03FE"/>
    <w:rsid w:val="4B709A56"/>
    <w:rsid w:val="4B930F53"/>
    <w:rsid w:val="4B9C675B"/>
    <w:rsid w:val="4BC57DE5"/>
    <w:rsid w:val="4BCCFD29"/>
    <w:rsid w:val="4BD763A1"/>
    <w:rsid w:val="4BD8C358"/>
    <w:rsid w:val="4BDF8FD2"/>
    <w:rsid w:val="4BE84A83"/>
    <w:rsid w:val="4BEF30C1"/>
    <w:rsid w:val="4BF51C4C"/>
    <w:rsid w:val="4C194794"/>
    <w:rsid w:val="4C1C9EE9"/>
    <w:rsid w:val="4C1E3180"/>
    <w:rsid w:val="4C251BB4"/>
    <w:rsid w:val="4C2E2E35"/>
    <w:rsid w:val="4C314E17"/>
    <w:rsid w:val="4C39AA0C"/>
    <w:rsid w:val="4C3E6969"/>
    <w:rsid w:val="4C4BF61C"/>
    <w:rsid w:val="4C54A735"/>
    <w:rsid w:val="4C62E1F8"/>
    <w:rsid w:val="4C676376"/>
    <w:rsid w:val="4C68D605"/>
    <w:rsid w:val="4C6CE51A"/>
    <w:rsid w:val="4C718E43"/>
    <w:rsid w:val="4C75ADB4"/>
    <w:rsid w:val="4C7F6078"/>
    <w:rsid w:val="4C81E630"/>
    <w:rsid w:val="4C96F767"/>
    <w:rsid w:val="4C9C12A6"/>
    <w:rsid w:val="4CA4B02C"/>
    <w:rsid w:val="4CA86D5A"/>
    <w:rsid w:val="4CC0C329"/>
    <w:rsid w:val="4CCB6D03"/>
    <w:rsid w:val="4CDFBF68"/>
    <w:rsid w:val="4CF12FF0"/>
    <w:rsid w:val="4CF98F99"/>
    <w:rsid w:val="4D01CCE4"/>
    <w:rsid w:val="4D03D092"/>
    <w:rsid w:val="4D07491E"/>
    <w:rsid w:val="4D0A114A"/>
    <w:rsid w:val="4D1AE43B"/>
    <w:rsid w:val="4D2679EB"/>
    <w:rsid w:val="4D297789"/>
    <w:rsid w:val="4D34F8B0"/>
    <w:rsid w:val="4D4098A0"/>
    <w:rsid w:val="4D4241EB"/>
    <w:rsid w:val="4D463DD3"/>
    <w:rsid w:val="4D4F7606"/>
    <w:rsid w:val="4D630B8E"/>
    <w:rsid w:val="4D68E2D9"/>
    <w:rsid w:val="4D6EE035"/>
    <w:rsid w:val="4D7D8646"/>
    <w:rsid w:val="4D94DEF2"/>
    <w:rsid w:val="4D9FC809"/>
    <w:rsid w:val="4DA45A4C"/>
    <w:rsid w:val="4DA728A4"/>
    <w:rsid w:val="4DCDA905"/>
    <w:rsid w:val="4DD5ED2A"/>
    <w:rsid w:val="4E092B20"/>
    <w:rsid w:val="4E135EE1"/>
    <w:rsid w:val="4E1C0701"/>
    <w:rsid w:val="4E2A556D"/>
    <w:rsid w:val="4E37A089"/>
    <w:rsid w:val="4E3921B7"/>
    <w:rsid w:val="4E3A7C1B"/>
    <w:rsid w:val="4E5B0F5B"/>
    <w:rsid w:val="4E726C7A"/>
    <w:rsid w:val="4E766237"/>
    <w:rsid w:val="4E76A727"/>
    <w:rsid w:val="4E78B126"/>
    <w:rsid w:val="4E8EF64A"/>
    <w:rsid w:val="4E9416AA"/>
    <w:rsid w:val="4E95F5F3"/>
    <w:rsid w:val="4E9EAC55"/>
    <w:rsid w:val="4EA83B18"/>
    <w:rsid w:val="4EB0D976"/>
    <w:rsid w:val="4EB78A80"/>
    <w:rsid w:val="4ECBB3CA"/>
    <w:rsid w:val="4ED4E80F"/>
    <w:rsid w:val="4EE19E6A"/>
    <w:rsid w:val="4EE2C7E8"/>
    <w:rsid w:val="4EE3374D"/>
    <w:rsid w:val="4EF1E343"/>
    <w:rsid w:val="4EF81C38"/>
    <w:rsid w:val="4EFF4F45"/>
    <w:rsid w:val="4F00540C"/>
    <w:rsid w:val="4F142E2B"/>
    <w:rsid w:val="4F15703F"/>
    <w:rsid w:val="4F1B7663"/>
    <w:rsid w:val="4F230D08"/>
    <w:rsid w:val="4F2EE318"/>
    <w:rsid w:val="4F31E436"/>
    <w:rsid w:val="4F374ADC"/>
    <w:rsid w:val="4F3F2FFE"/>
    <w:rsid w:val="4F43DA34"/>
    <w:rsid w:val="4F490462"/>
    <w:rsid w:val="4F5A7F8B"/>
    <w:rsid w:val="4F6ABFB7"/>
    <w:rsid w:val="4F6D50A5"/>
    <w:rsid w:val="4F8F99F5"/>
    <w:rsid w:val="4F9A82BA"/>
    <w:rsid w:val="4FB75A00"/>
    <w:rsid w:val="4FD6BD32"/>
    <w:rsid w:val="4FD7B986"/>
    <w:rsid w:val="4FE622AE"/>
    <w:rsid w:val="4FE9B0B7"/>
    <w:rsid w:val="4FEA8841"/>
    <w:rsid w:val="4FEF9C9F"/>
    <w:rsid w:val="500135DF"/>
    <w:rsid w:val="500244D8"/>
    <w:rsid w:val="50108320"/>
    <w:rsid w:val="50174E23"/>
    <w:rsid w:val="501BC951"/>
    <w:rsid w:val="502601AC"/>
    <w:rsid w:val="502D8F62"/>
    <w:rsid w:val="503FBC55"/>
    <w:rsid w:val="5041DFE7"/>
    <w:rsid w:val="50563488"/>
    <w:rsid w:val="50570B24"/>
    <w:rsid w:val="50660E05"/>
    <w:rsid w:val="5079BB48"/>
    <w:rsid w:val="5079E2AD"/>
    <w:rsid w:val="507E9849"/>
    <w:rsid w:val="507EEAE4"/>
    <w:rsid w:val="50872015"/>
    <w:rsid w:val="50926DE3"/>
    <w:rsid w:val="50A30294"/>
    <w:rsid w:val="50B70735"/>
    <w:rsid w:val="50BDF14D"/>
    <w:rsid w:val="50C1890F"/>
    <w:rsid w:val="50C251EA"/>
    <w:rsid w:val="50C6F581"/>
    <w:rsid w:val="50DBEBEE"/>
    <w:rsid w:val="50DCA5F7"/>
    <w:rsid w:val="50E5D13B"/>
    <w:rsid w:val="50F03BFB"/>
    <w:rsid w:val="50F2F875"/>
    <w:rsid w:val="50F4066D"/>
    <w:rsid w:val="510FA157"/>
    <w:rsid w:val="51145120"/>
    <w:rsid w:val="5119F23D"/>
    <w:rsid w:val="511B2CFB"/>
    <w:rsid w:val="5136531B"/>
    <w:rsid w:val="51464574"/>
    <w:rsid w:val="51477656"/>
    <w:rsid w:val="5150DF39"/>
    <w:rsid w:val="515702A4"/>
    <w:rsid w:val="516ECE65"/>
    <w:rsid w:val="51774A68"/>
    <w:rsid w:val="51878518"/>
    <w:rsid w:val="518AA242"/>
    <w:rsid w:val="518D5258"/>
    <w:rsid w:val="519EAEA1"/>
    <w:rsid w:val="519ED99B"/>
    <w:rsid w:val="51A8AA03"/>
    <w:rsid w:val="51AAE3D1"/>
    <w:rsid w:val="51AD50B9"/>
    <w:rsid w:val="51B2D542"/>
    <w:rsid w:val="51B58472"/>
    <w:rsid w:val="51BDEBEB"/>
    <w:rsid w:val="51C28411"/>
    <w:rsid w:val="51C729C8"/>
    <w:rsid w:val="51C77D5C"/>
    <w:rsid w:val="51D3A534"/>
    <w:rsid w:val="51DFDBDA"/>
    <w:rsid w:val="51F53353"/>
    <w:rsid w:val="5210F320"/>
    <w:rsid w:val="521A68AA"/>
    <w:rsid w:val="521E2118"/>
    <w:rsid w:val="5221E18F"/>
    <w:rsid w:val="52271203"/>
    <w:rsid w:val="524D5ED6"/>
    <w:rsid w:val="524ED156"/>
    <w:rsid w:val="52556D3A"/>
    <w:rsid w:val="52584090"/>
    <w:rsid w:val="525D9D3D"/>
    <w:rsid w:val="5267FAAC"/>
    <w:rsid w:val="526C635A"/>
    <w:rsid w:val="526D896D"/>
    <w:rsid w:val="526E3656"/>
    <w:rsid w:val="527478CB"/>
    <w:rsid w:val="52820F9D"/>
    <w:rsid w:val="529652C1"/>
    <w:rsid w:val="529CB230"/>
    <w:rsid w:val="52A613B1"/>
    <w:rsid w:val="52A6E81C"/>
    <w:rsid w:val="52AED6C6"/>
    <w:rsid w:val="52B9BEF8"/>
    <w:rsid w:val="52C7E5CB"/>
    <w:rsid w:val="52CCD9AE"/>
    <w:rsid w:val="52D4E4E0"/>
    <w:rsid w:val="52E4C05E"/>
    <w:rsid w:val="52E804A9"/>
    <w:rsid w:val="52F2C31F"/>
    <w:rsid w:val="52F44109"/>
    <w:rsid w:val="52F84834"/>
    <w:rsid w:val="53001918"/>
    <w:rsid w:val="5322AC3C"/>
    <w:rsid w:val="5340B338"/>
    <w:rsid w:val="534663B9"/>
    <w:rsid w:val="5348A1D3"/>
    <w:rsid w:val="5358EDD8"/>
    <w:rsid w:val="535DD320"/>
    <w:rsid w:val="536EBAE7"/>
    <w:rsid w:val="5372E02C"/>
    <w:rsid w:val="537BAC3B"/>
    <w:rsid w:val="537CF3B4"/>
    <w:rsid w:val="538B745A"/>
    <w:rsid w:val="53921E3E"/>
    <w:rsid w:val="53A578DF"/>
    <w:rsid w:val="53C049C8"/>
    <w:rsid w:val="53C13C21"/>
    <w:rsid w:val="53DC6777"/>
    <w:rsid w:val="53E15203"/>
    <w:rsid w:val="53E7B696"/>
    <w:rsid w:val="53EF331C"/>
    <w:rsid w:val="53F13226"/>
    <w:rsid w:val="53FDC057"/>
    <w:rsid w:val="540B97DE"/>
    <w:rsid w:val="540D1A47"/>
    <w:rsid w:val="54115CB1"/>
    <w:rsid w:val="5419F722"/>
    <w:rsid w:val="543372CA"/>
    <w:rsid w:val="5437E4DC"/>
    <w:rsid w:val="54381E27"/>
    <w:rsid w:val="545A1A9E"/>
    <w:rsid w:val="545AA501"/>
    <w:rsid w:val="5463F8AF"/>
    <w:rsid w:val="546C17A3"/>
    <w:rsid w:val="548A6DDA"/>
    <w:rsid w:val="549F13A6"/>
    <w:rsid w:val="54AB6D14"/>
    <w:rsid w:val="54BCAD16"/>
    <w:rsid w:val="54C730CC"/>
    <w:rsid w:val="54CBAD35"/>
    <w:rsid w:val="54D12897"/>
    <w:rsid w:val="54D9F1B7"/>
    <w:rsid w:val="54DB3AF6"/>
    <w:rsid w:val="54E3CE11"/>
    <w:rsid w:val="54EEEAF8"/>
    <w:rsid w:val="54F7E000"/>
    <w:rsid w:val="54FCEBD0"/>
    <w:rsid w:val="55014FEF"/>
    <w:rsid w:val="554D8B46"/>
    <w:rsid w:val="554E9D61"/>
    <w:rsid w:val="5552096C"/>
    <w:rsid w:val="557315B7"/>
    <w:rsid w:val="5576DA03"/>
    <w:rsid w:val="5578CA91"/>
    <w:rsid w:val="5578F50E"/>
    <w:rsid w:val="5586F49E"/>
    <w:rsid w:val="558CE876"/>
    <w:rsid w:val="5595118A"/>
    <w:rsid w:val="55955E7F"/>
    <w:rsid w:val="55BBA3CE"/>
    <w:rsid w:val="55CAB653"/>
    <w:rsid w:val="55CB15A1"/>
    <w:rsid w:val="55DCDF7B"/>
    <w:rsid w:val="55F38645"/>
    <w:rsid w:val="5606638D"/>
    <w:rsid w:val="561F9FBA"/>
    <w:rsid w:val="5626136D"/>
    <w:rsid w:val="563BFCC6"/>
    <w:rsid w:val="563F8D04"/>
    <w:rsid w:val="56487E65"/>
    <w:rsid w:val="565214BC"/>
    <w:rsid w:val="5660120E"/>
    <w:rsid w:val="5669CA13"/>
    <w:rsid w:val="56727C2F"/>
    <w:rsid w:val="567B6BA7"/>
    <w:rsid w:val="5680CB01"/>
    <w:rsid w:val="568435F7"/>
    <w:rsid w:val="568A1F4C"/>
    <w:rsid w:val="56AD1D40"/>
    <w:rsid w:val="56AE04C7"/>
    <w:rsid w:val="56B49A0A"/>
    <w:rsid w:val="56BB521F"/>
    <w:rsid w:val="56BF1CD0"/>
    <w:rsid w:val="56C525AD"/>
    <w:rsid w:val="56CDAF8A"/>
    <w:rsid w:val="56DB43C1"/>
    <w:rsid w:val="56DD5E6C"/>
    <w:rsid w:val="56FD6637"/>
    <w:rsid w:val="56FF9CFF"/>
    <w:rsid w:val="5706CAB0"/>
    <w:rsid w:val="5713A5CD"/>
    <w:rsid w:val="572728DE"/>
    <w:rsid w:val="5728769B"/>
    <w:rsid w:val="573BA5DE"/>
    <w:rsid w:val="5762BB80"/>
    <w:rsid w:val="576ECE29"/>
    <w:rsid w:val="5775A7EA"/>
    <w:rsid w:val="57760328"/>
    <w:rsid w:val="577A32E9"/>
    <w:rsid w:val="578899D2"/>
    <w:rsid w:val="57A5949F"/>
    <w:rsid w:val="57AAB7B6"/>
    <w:rsid w:val="57AE0CBA"/>
    <w:rsid w:val="57B7CC34"/>
    <w:rsid w:val="57B926B0"/>
    <w:rsid w:val="57C0F020"/>
    <w:rsid w:val="57C7FED6"/>
    <w:rsid w:val="57D783BA"/>
    <w:rsid w:val="57D7CD27"/>
    <w:rsid w:val="57E2660E"/>
    <w:rsid w:val="57E34EF8"/>
    <w:rsid w:val="57EDF9B3"/>
    <w:rsid w:val="57F944CD"/>
    <w:rsid w:val="57FC3D1C"/>
    <w:rsid w:val="581D9DCE"/>
    <w:rsid w:val="582541D1"/>
    <w:rsid w:val="5827C7C8"/>
    <w:rsid w:val="582F16FF"/>
    <w:rsid w:val="583747CA"/>
    <w:rsid w:val="58414569"/>
    <w:rsid w:val="58456152"/>
    <w:rsid w:val="5846B914"/>
    <w:rsid w:val="58513513"/>
    <w:rsid w:val="585F831F"/>
    <w:rsid w:val="586C2B64"/>
    <w:rsid w:val="58737676"/>
    <w:rsid w:val="587A3ED9"/>
    <w:rsid w:val="58836A37"/>
    <w:rsid w:val="588B2F80"/>
    <w:rsid w:val="589D84BD"/>
    <w:rsid w:val="58A35686"/>
    <w:rsid w:val="58A5E930"/>
    <w:rsid w:val="58A73652"/>
    <w:rsid w:val="58A8F734"/>
    <w:rsid w:val="58A90441"/>
    <w:rsid w:val="58B0E3C0"/>
    <w:rsid w:val="58B6700F"/>
    <w:rsid w:val="58B71918"/>
    <w:rsid w:val="58CCD8F0"/>
    <w:rsid w:val="58DA16C5"/>
    <w:rsid w:val="58E0E46D"/>
    <w:rsid w:val="58E27D5A"/>
    <w:rsid w:val="58E45D32"/>
    <w:rsid w:val="58F587A1"/>
    <w:rsid w:val="58FCC863"/>
    <w:rsid w:val="58FD76C0"/>
    <w:rsid w:val="5909A815"/>
    <w:rsid w:val="5919D3C6"/>
    <w:rsid w:val="591F1BFF"/>
    <w:rsid w:val="5928031C"/>
    <w:rsid w:val="592D1F76"/>
    <w:rsid w:val="5948B0D1"/>
    <w:rsid w:val="594EC216"/>
    <w:rsid w:val="5952672A"/>
    <w:rsid w:val="596607F7"/>
    <w:rsid w:val="597523C4"/>
    <w:rsid w:val="597DEF00"/>
    <w:rsid w:val="5991C47A"/>
    <w:rsid w:val="5996BD5C"/>
    <w:rsid w:val="599C8C4A"/>
    <w:rsid w:val="59B0DB2D"/>
    <w:rsid w:val="59B17357"/>
    <w:rsid w:val="59B5BBA2"/>
    <w:rsid w:val="59BF67B8"/>
    <w:rsid w:val="59CCAE80"/>
    <w:rsid w:val="59D79AF6"/>
    <w:rsid w:val="59FE97D9"/>
    <w:rsid w:val="5A30B1D7"/>
    <w:rsid w:val="5A377D0C"/>
    <w:rsid w:val="5A4622F5"/>
    <w:rsid w:val="5A524070"/>
    <w:rsid w:val="5A56AD41"/>
    <w:rsid w:val="5A57563A"/>
    <w:rsid w:val="5A57F2AD"/>
    <w:rsid w:val="5A5B3500"/>
    <w:rsid w:val="5A5BAB89"/>
    <w:rsid w:val="5A753A10"/>
    <w:rsid w:val="5A7CD05D"/>
    <w:rsid w:val="5A820FA3"/>
    <w:rsid w:val="5A9D1CBD"/>
    <w:rsid w:val="5AA94368"/>
    <w:rsid w:val="5AC16A85"/>
    <w:rsid w:val="5ACB5CBE"/>
    <w:rsid w:val="5AEF39C9"/>
    <w:rsid w:val="5AF3FE9C"/>
    <w:rsid w:val="5AF5769F"/>
    <w:rsid w:val="5B0CF9B0"/>
    <w:rsid w:val="5B105104"/>
    <w:rsid w:val="5B158DA1"/>
    <w:rsid w:val="5B1707BD"/>
    <w:rsid w:val="5B20A8C0"/>
    <w:rsid w:val="5B22CB66"/>
    <w:rsid w:val="5B2CE1D6"/>
    <w:rsid w:val="5B338331"/>
    <w:rsid w:val="5B35B534"/>
    <w:rsid w:val="5B42136B"/>
    <w:rsid w:val="5B441B88"/>
    <w:rsid w:val="5B4ACC17"/>
    <w:rsid w:val="5B511070"/>
    <w:rsid w:val="5B6215CA"/>
    <w:rsid w:val="5B713A7D"/>
    <w:rsid w:val="5B721D5F"/>
    <w:rsid w:val="5B7FCA9F"/>
    <w:rsid w:val="5B8F232B"/>
    <w:rsid w:val="5B904C62"/>
    <w:rsid w:val="5B93E85A"/>
    <w:rsid w:val="5BA1CF65"/>
    <w:rsid w:val="5BB227A1"/>
    <w:rsid w:val="5BB7CFF7"/>
    <w:rsid w:val="5BBD77A9"/>
    <w:rsid w:val="5BE141A4"/>
    <w:rsid w:val="5BE2E04E"/>
    <w:rsid w:val="5BFCA587"/>
    <w:rsid w:val="5C0749DA"/>
    <w:rsid w:val="5C0E5DE9"/>
    <w:rsid w:val="5C0F24A7"/>
    <w:rsid w:val="5C1DF99A"/>
    <w:rsid w:val="5C2573A5"/>
    <w:rsid w:val="5C339A05"/>
    <w:rsid w:val="5C34521B"/>
    <w:rsid w:val="5C34F9B4"/>
    <w:rsid w:val="5C3636A1"/>
    <w:rsid w:val="5C3880FB"/>
    <w:rsid w:val="5C42DE94"/>
    <w:rsid w:val="5C79086C"/>
    <w:rsid w:val="5C7CF0D8"/>
    <w:rsid w:val="5C8A5AA1"/>
    <w:rsid w:val="5C8DD43A"/>
    <w:rsid w:val="5C916F30"/>
    <w:rsid w:val="5C92C519"/>
    <w:rsid w:val="5C975D92"/>
    <w:rsid w:val="5CA9FCCB"/>
    <w:rsid w:val="5CAAE83F"/>
    <w:rsid w:val="5CAC1CFA"/>
    <w:rsid w:val="5CAC6E9A"/>
    <w:rsid w:val="5CB508B7"/>
    <w:rsid w:val="5CB611C2"/>
    <w:rsid w:val="5CB649DF"/>
    <w:rsid w:val="5CD0767F"/>
    <w:rsid w:val="5CDBBD09"/>
    <w:rsid w:val="5CDC3A86"/>
    <w:rsid w:val="5CDD6C5C"/>
    <w:rsid w:val="5CF412BF"/>
    <w:rsid w:val="5D0D0ADE"/>
    <w:rsid w:val="5D157297"/>
    <w:rsid w:val="5D26BD05"/>
    <w:rsid w:val="5D2FF451"/>
    <w:rsid w:val="5D342388"/>
    <w:rsid w:val="5D408CE4"/>
    <w:rsid w:val="5D40BBDB"/>
    <w:rsid w:val="5D41DA25"/>
    <w:rsid w:val="5D4261BB"/>
    <w:rsid w:val="5D454548"/>
    <w:rsid w:val="5D60C657"/>
    <w:rsid w:val="5D936B1F"/>
    <w:rsid w:val="5D9979AA"/>
    <w:rsid w:val="5DA24740"/>
    <w:rsid w:val="5DA88091"/>
    <w:rsid w:val="5DA922BE"/>
    <w:rsid w:val="5DAA50CD"/>
    <w:rsid w:val="5DB236B7"/>
    <w:rsid w:val="5DB261E4"/>
    <w:rsid w:val="5DB285F8"/>
    <w:rsid w:val="5DC18D43"/>
    <w:rsid w:val="5DC61095"/>
    <w:rsid w:val="5DC81CE2"/>
    <w:rsid w:val="5DCF93E7"/>
    <w:rsid w:val="5DD5EEDB"/>
    <w:rsid w:val="5DD60EDA"/>
    <w:rsid w:val="5DD7B42F"/>
    <w:rsid w:val="5DDA547B"/>
    <w:rsid w:val="5DDC3DE7"/>
    <w:rsid w:val="5DE3128C"/>
    <w:rsid w:val="5DEA8659"/>
    <w:rsid w:val="5DED4FDF"/>
    <w:rsid w:val="5DF59A3A"/>
    <w:rsid w:val="5E23A9AB"/>
    <w:rsid w:val="5E3C8CE9"/>
    <w:rsid w:val="5E4E8FA6"/>
    <w:rsid w:val="5E528D50"/>
    <w:rsid w:val="5E53A28B"/>
    <w:rsid w:val="5E5BCABF"/>
    <w:rsid w:val="5E5D3048"/>
    <w:rsid w:val="5E683ECE"/>
    <w:rsid w:val="5E707E8A"/>
    <w:rsid w:val="5E76DFB0"/>
    <w:rsid w:val="5E84CF2C"/>
    <w:rsid w:val="5E86908C"/>
    <w:rsid w:val="5E8D7245"/>
    <w:rsid w:val="5E8F47DC"/>
    <w:rsid w:val="5E90E54B"/>
    <w:rsid w:val="5EA63C5C"/>
    <w:rsid w:val="5EA74DB3"/>
    <w:rsid w:val="5EA8848D"/>
    <w:rsid w:val="5ECA5EAF"/>
    <w:rsid w:val="5ED4A091"/>
    <w:rsid w:val="5ED5E414"/>
    <w:rsid w:val="5EDAF8CC"/>
    <w:rsid w:val="5EDE3DAE"/>
    <w:rsid w:val="5EE1EEAB"/>
    <w:rsid w:val="5EE4F33D"/>
    <w:rsid w:val="5EF26D06"/>
    <w:rsid w:val="5EFDECC2"/>
    <w:rsid w:val="5F1105AD"/>
    <w:rsid w:val="5F152FEC"/>
    <w:rsid w:val="5F3B9D3A"/>
    <w:rsid w:val="5F531C11"/>
    <w:rsid w:val="5F5619AE"/>
    <w:rsid w:val="5F7E77D6"/>
    <w:rsid w:val="5FA29D4A"/>
    <w:rsid w:val="5FA9D358"/>
    <w:rsid w:val="5FBEC49E"/>
    <w:rsid w:val="5FC1A8AE"/>
    <w:rsid w:val="5FD75285"/>
    <w:rsid w:val="5FDA4628"/>
    <w:rsid w:val="5FDACA77"/>
    <w:rsid w:val="5FDB4626"/>
    <w:rsid w:val="5FDCD435"/>
    <w:rsid w:val="5FDE6AFC"/>
    <w:rsid w:val="5FDF8E2F"/>
    <w:rsid w:val="5FFD8186"/>
    <w:rsid w:val="6004ED62"/>
    <w:rsid w:val="601160E7"/>
    <w:rsid w:val="60121216"/>
    <w:rsid w:val="601FE2DF"/>
    <w:rsid w:val="602DE6A4"/>
    <w:rsid w:val="603C85E5"/>
    <w:rsid w:val="603D66C8"/>
    <w:rsid w:val="604432BF"/>
    <w:rsid w:val="604B17EE"/>
    <w:rsid w:val="604D6D28"/>
    <w:rsid w:val="6059F315"/>
    <w:rsid w:val="6060E824"/>
    <w:rsid w:val="6082B1FB"/>
    <w:rsid w:val="6083A6E6"/>
    <w:rsid w:val="6088FC1F"/>
    <w:rsid w:val="608E9F47"/>
    <w:rsid w:val="609103E2"/>
    <w:rsid w:val="6091E260"/>
    <w:rsid w:val="60C49247"/>
    <w:rsid w:val="60C49622"/>
    <w:rsid w:val="60D55814"/>
    <w:rsid w:val="60D80C16"/>
    <w:rsid w:val="60DA853D"/>
    <w:rsid w:val="60E0C268"/>
    <w:rsid w:val="60E4F381"/>
    <w:rsid w:val="60E61BBF"/>
    <w:rsid w:val="60EE2F3E"/>
    <w:rsid w:val="60F71C22"/>
    <w:rsid w:val="60F8968D"/>
    <w:rsid w:val="610416AE"/>
    <w:rsid w:val="6111B6D9"/>
    <w:rsid w:val="6114A899"/>
    <w:rsid w:val="611E8C40"/>
    <w:rsid w:val="612359C1"/>
    <w:rsid w:val="613A96A4"/>
    <w:rsid w:val="614B45F6"/>
    <w:rsid w:val="61508BE1"/>
    <w:rsid w:val="615C71F9"/>
    <w:rsid w:val="615F012B"/>
    <w:rsid w:val="615FB53C"/>
    <w:rsid w:val="61725A0C"/>
    <w:rsid w:val="61747F83"/>
    <w:rsid w:val="6182FFC3"/>
    <w:rsid w:val="61881F8C"/>
    <w:rsid w:val="61939629"/>
    <w:rsid w:val="619CC419"/>
    <w:rsid w:val="619E2AB3"/>
    <w:rsid w:val="619F26D2"/>
    <w:rsid w:val="61A3BF55"/>
    <w:rsid w:val="61B02F64"/>
    <w:rsid w:val="61B5A1CF"/>
    <w:rsid w:val="61B722B0"/>
    <w:rsid w:val="61C5E5F9"/>
    <w:rsid w:val="61D85646"/>
    <w:rsid w:val="61E53CCE"/>
    <w:rsid w:val="61EC4FD3"/>
    <w:rsid w:val="620B899D"/>
    <w:rsid w:val="620F5129"/>
    <w:rsid w:val="621273A8"/>
    <w:rsid w:val="6213FE07"/>
    <w:rsid w:val="6216BCF7"/>
    <w:rsid w:val="621CB524"/>
    <w:rsid w:val="6226D8F8"/>
    <w:rsid w:val="623B8945"/>
    <w:rsid w:val="623CD5A7"/>
    <w:rsid w:val="6249C2BC"/>
    <w:rsid w:val="624D5C9B"/>
    <w:rsid w:val="624DEDED"/>
    <w:rsid w:val="625EEF0C"/>
    <w:rsid w:val="62641CA8"/>
    <w:rsid w:val="62686D84"/>
    <w:rsid w:val="6270AF0E"/>
    <w:rsid w:val="627482BC"/>
    <w:rsid w:val="627F37CE"/>
    <w:rsid w:val="6280C3E2"/>
    <w:rsid w:val="628FBF8C"/>
    <w:rsid w:val="6299387D"/>
    <w:rsid w:val="62A7ABDA"/>
    <w:rsid w:val="62AFBBE6"/>
    <w:rsid w:val="62B3F317"/>
    <w:rsid w:val="62DDEA1C"/>
    <w:rsid w:val="62ED9D44"/>
    <w:rsid w:val="630367E1"/>
    <w:rsid w:val="630814E6"/>
    <w:rsid w:val="631174FE"/>
    <w:rsid w:val="631A5418"/>
    <w:rsid w:val="6322D7B6"/>
    <w:rsid w:val="6328157C"/>
    <w:rsid w:val="633F8FB6"/>
    <w:rsid w:val="63444A74"/>
    <w:rsid w:val="636457DF"/>
    <w:rsid w:val="636A7A6F"/>
    <w:rsid w:val="636F86C7"/>
    <w:rsid w:val="6387A1B0"/>
    <w:rsid w:val="63A4B79A"/>
    <w:rsid w:val="63AD9032"/>
    <w:rsid w:val="63BD0BF7"/>
    <w:rsid w:val="63E1A477"/>
    <w:rsid w:val="63E42194"/>
    <w:rsid w:val="63F3525B"/>
    <w:rsid w:val="63F5CB87"/>
    <w:rsid w:val="63F7DD50"/>
    <w:rsid w:val="640195EF"/>
    <w:rsid w:val="64032C7B"/>
    <w:rsid w:val="64037AC9"/>
    <w:rsid w:val="641234A8"/>
    <w:rsid w:val="641C56CF"/>
    <w:rsid w:val="642151A9"/>
    <w:rsid w:val="6431AD20"/>
    <w:rsid w:val="643C94A2"/>
    <w:rsid w:val="6441E2E3"/>
    <w:rsid w:val="64447B8E"/>
    <w:rsid w:val="64478F44"/>
    <w:rsid w:val="6449F4FC"/>
    <w:rsid w:val="644EEF21"/>
    <w:rsid w:val="645AE9B5"/>
    <w:rsid w:val="6465D00A"/>
    <w:rsid w:val="646726B3"/>
    <w:rsid w:val="647C1686"/>
    <w:rsid w:val="647F3981"/>
    <w:rsid w:val="6488C00D"/>
    <w:rsid w:val="648FA95A"/>
    <w:rsid w:val="6491ADF4"/>
    <w:rsid w:val="64AE628F"/>
    <w:rsid w:val="64B7101A"/>
    <w:rsid w:val="64B8E1E2"/>
    <w:rsid w:val="64BCAA3E"/>
    <w:rsid w:val="64CF2E17"/>
    <w:rsid w:val="64DDEAF7"/>
    <w:rsid w:val="64E09CC5"/>
    <w:rsid w:val="64E1D010"/>
    <w:rsid w:val="64E2027E"/>
    <w:rsid w:val="64E3395B"/>
    <w:rsid w:val="64E51A8A"/>
    <w:rsid w:val="64F303EA"/>
    <w:rsid w:val="64FB232B"/>
    <w:rsid w:val="6523B5DB"/>
    <w:rsid w:val="6532A0E6"/>
    <w:rsid w:val="6537A521"/>
    <w:rsid w:val="653B3A4C"/>
    <w:rsid w:val="65447FA3"/>
    <w:rsid w:val="6544A9C5"/>
    <w:rsid w:val="65452AD4"/>
    <w:rsid w:val="6552728D"/>
    <w:rsid w:val="6558D600"/>
    <w:rsid w:val="656212F4"/>
    <w:rsid w:val="656A1271"/>
    <w:rsid w:val="656BE548"/>
    <w:rsid w:val="6579A8A0"/>
    <w:rsid w:val="657D2F9F"/>
    <w:rsid w:val="65881F31"/>
    <w:rsid w:val="658F66C8"/>
    <w:rsid w:val="6590EAC5"/>
    <w:rsid w:val="6594676C"/>
    <w:rsid w:val="65A8C937"/>
    <w:rsid w:val="65AAE3A4"/>
    <w:rsid w:val="65B4BB91"/>
    <w:rsid w:val="65B864A4"/>
    <w:rsid w:val="65BD5584"/>
    <w:rsid w:val="65C497DA"/>
    <w:rsid w:val="65D2B0D7"/>
    <w:rsid w:val="65E4AAAD"/>
    <w:rsid w:val="6608F73E"/>
    <w:rsid w:val="660CB164"/>
    <w:rsid w:val="66183C8C"/>
    <w:rsid w:val="66291F3F"/>
    <w:rsid w:val="66492FC0"/>
    <w:rsid w:val="664C5359"/>
    <w:rsid w:val="665539CC"/>
    <w:rsid w:val="6669077F"/>
    <w:rsid w:val="666CBCFD"/>
    <w:rsid w:val="666FDE60"/>
    <w:rsid w:val="6672566E"/>
    <w:rsid w:val="66773078"/>
    <w:rsid w:val="668ACD43"/>
    <w:rsid w:val="66A00FC2"/>
    <w:rsid w:val="66A438AE"/>
    <w:rsid w:val="66ACEE94"/>
    <w:rsid w:val="66B17869"/>
    <w:rsid w:val="66B1F197"/>
    <w:rsid w:val="66B9F124"/>
    <w:rsid w:val="66BC54DD"/>
    <w:rsid w:val="66D59A0A"/>
    <w:rsid w:val="66D81322"/>
    <w:rsid w:val="66E47833"/>
    <w:rsid w:val="66E71F0E"/>
    <w:rsid w:val="66E83EF2"/>
    <w:rsid w:val="66E9B31A"/>
    <w:rsid w:val="66F28CBD"/>
    <w:rsid w:val="66F4ACB9"/>
    <w:rsid w:val="6704ABAA"/>
    <w:rsid w:val="67092DB1"/>
    <w:rsid w:val="670CDB38"/>
    <w:rsid w:val="670CE8A1"/>
    <w:rsid w:val="67165807"/>
    <w:rsid w:val="671821F9"/>
    <w:rsid w:val="672CBB26"/>
    <w:rsid w:val="673252CE"/>
    <w:rsid w:val="6735B7CD"/>
    <w:rsid w:val="6736E716"/>
    <w:rsid w:val="673C4681"/>
    <w:rsid w:val="674E42E9"/>
    <w:rsid w:val="675B26B6"/>
    <w:rsid w:val="675EB377"/>
    <w:rsid w:val="677F8345"/>
    <w:rsid w:val="678D96EE"/>
    <w:rsid w:val="67A93987"/>
    <w:rsid w:val="67AC2A6A"/>
    <w:rsid w:val="67B68F77"/>
    <w:rsid w:val="67BE7593"/>
    <w:rsid w:val="67C3B5EE"/>
    <w:rsid w:val="67CB568D"/>
    <w:rsid w:val="67DA2932"/>
    <w:rsid w:val="67E5697A"/>
    <w:rsid w:val="6802BC2E"/>
    <w:rsid w:val="681611BD"/>
    <w:rsid w:val="6822E0F1"/>
    <w:rsid w:val="68258767"/>
    <w:rsid w:val="682DED73"/>
    <w:rsid w:val="682F78B1"/>
    <w:rsid w:val="68382181"/>
    <w:rsid w:val="683AD0F1"/>
    <w:rsid w:val="68418604"/>
    <w:rsid w:val="6851002F"/>
    <w:rsid w:val="6851BA8C"/>
    <w:rsid w:val="6857B867"/>
    <w:rsid w:val="687A7B9B"/>
    <w:rsid w:val="687F6802"/>
    <w:rsid w:val="689A281C"/>
    <w:rsid w:val="68A407B0"/>
    <w:rsid w:val="68A7BB7E"/>
    <w:rsid w:val="68D2C5A6"/>
    <w:rsid w:val="68D3F0FF"/>
    <w:rsid w:val="68D9C65E"/>
    <w:rsid w:val="68DECAE8"/>
    <w:rsid w:val="68DF4FC2"/>
    <w:rsid w:val="68EC4C0D"/>
    <w:rsid w:val="68F37B2E"/>
    <w:rsid w:val="68F416F1"/>
    <w:rsid w:val="68F81329"/>
    <w:rsid w:val="6903B27E"/>
    <w:rsid w:val="6909FAF7"/>
    <w:rsid w:val="6936F2BF"/>
    <w:rsid w:val="693FBC61"/>
    <w:rsid w:val="6957B4B3"/>
    <w:rsid w:val="695DCFA2"/>
    <w:rsid w:val="695EACCC"/>
    <w:rsid w:val="6980A1B9"/>
    <w:rsid w:val="699C4857"/>
    <w:rsid w:val="69A4B46A"/>
    <w:rsid w:val="69A72CBD"/>
    <w:rsid w:val="69B82B90"/>
    <w:rsid w:val="69BC4F98"/>
    <w:rsid w:val="69C578FF"/>
    <w:rsid w:val="69E41703"/>
    <w:rsid w:val="69F191E6"/>
    <w:rsid w:val="69FB4589"/>
    <w:rsid w:val="69FCF367"/>
    <w:rsid w:val="6A0963B5"/>
    <w:rsid w:val="6A0D1AB7"/>
    <w:rsid w:val="6A1ADE17"/>
    <w:rsid w:val="6A1B349A"/>
    <w:rsid w:val="6A1FC33C"/>
    <w:rsid w:val="6A241596"/>
    <w:rsid w:val="6A32B41D"/>
    <w:rsid w:val="6A36D517"/>
    <w:rsid w:val="6A4CD123"/>
    <w:rsid w:val="6A506D17"/>
    <w:rsid w:val="6A5917A0"/>
    <w:rsid w:val="6A64C517"/>
    <w:rsid w:val="6A6651AD"/>
    <w:rsid w:val="6A81E9DD"/>
    <w:rsid w:val="6A8DCC03"/>
    <w:rsid w:val="6AAEFCB0"/>
    <w:rsid w:val="6ABEC9DB"/>
    <w:rsid w:val="6AC8CD91"/>
    <w:rsid w:val="6ACFF0D4"/>
    <w:rsid w:val="6AD7072F"/>
    <w:rsid w:val="6AF84609"/>
    <w:rsid w:val="6B032B82"/>
    <w:rsid w:val="6B0A5290"/>
    <w:rsid w:val="6B0E9747"/>
    <w:rsid w:val="6B10E7AD"/>
    <w:rsid w:val="6B1FDBD0"/>
    <w:rsid w:val="6B255E9B"/>
    <w:rsid w:val="6B2591B3"/>
    <w:rsid w:val="6B49A6FB"/>
    <w:rsid w:val="6B60924F"/>
    <w:rsid w:val="6B6281ED"/>
    <w:rsid w:val="6B7CC690"/>
    <w:rsid w:val="6B9152A1"/>
    <w:rsid w:val="6B92B600"/>
    <w:rsid w:val="6B9489BB"/>
    <w:rsid w:val="6B9C9B58"/>
    <w:rsid w:val="6B9E3B15"/>
    <w:rsid w:val="6BAD4A7D"/>
    <w:rsid w:val="6BAF230E"/>
    <w:rsid w:val="6BB6EAEE"/>
    <w:rsid w:val="6BC199AF"/>
    <w:rsid w:val="6BE5DA59"/>
    <w:rsid w:val="6BE7D44A"/>
    <w:rsid w:val="6BF4BA15"/>
    <w:rsid w:val="6C12B3DF"/>
    <w:rsid w:val="6C364F07"/>
    <w:rsid w:val="6C3CC3DC"/>
    <w:rsid w:val="6C55C64A"/>
    <w:rsid w:val="6C6CD07A"/>
    <w:rsid w:val="6C73490E"/>
    <w:rsid w:val="6C9A7BEA"/>
    <w:rsid w:val="6C9DC95D"/>
    <w:rsid w:val="6C9E513F"/>
    <w:rsid w:val="6CA2E057"/>
    <w:rsid w:val="6CA414D8"/>
    <w:rsid w:val="6CB5C364"/>
    <w:rsid w:val="6CC1B6B4"/>
    <w:rsid w:val="6CC23BB5"/>
    <w:rsid w:val="6CCDAFD7"/>
    <w:rsid w:val="6CE5775C"/>
    <w:rsid w:val="6CEC47AD"/>
    <w:rsid w:val="6CF1A8D6"/>
    <w:rsid w:val="6CF39655"/>
    <w:rsid w:val="6D12C7D3"/>
    <w:rsid w:val="6D160C04"/>
    <w:rsid w:val="6D1AE570"/>
    <w:rsid w:val="6D1D8828"/>
    <w:rsid w:val="6D235E51"/>
    <w:rsid w:val="6D2B9661"/>
    <w:rsid w:val="6D2F7397"/>
    <w:rsid w:val="6D43D040"/>
    <w:rsid w:val="6D52C199"/>
    <w:rsid w:val="6D5F85EA"/>
    <w:rsid w:val="6D61F5B7"/>
    <w:rsid w:val="6D7A8EDB"/>
    <w:rsid w:val="6D7B2CA1"/>
    <w:rsid w:val="6D93258E"/>
    <w:rsid w:val="6D95988B"/>
    <w:rsid w:val="6D97BE62"/>
    <w:rsid w:val="6D99E38B"/>
    <w:rsid w:val="6DA6E840"/>
    <w:rsid w:val="6DAE30C5"/>
    <w:rsid w:val="6DB71071"/>
    <w:rsid w:val="6DC54329"/>
    <w:rsid w:val="6DCAD76F"/>
    <w:rsid w:val="6DD854C5"/>
    <w:rsid w:val="6DE1A9F0"/>
    <w:rsid w:val="6DE55FDD"/>
    <w:rsid w:val="6DE5CF94"/>
    <w:rsid w:val="6DF53194"/>
    <w:rsid w:val="6DFC3918"/>
    <w:rsid w:val="6E0123DC"/>
    <w:rsid w:val="6E11F0B8"/>
    <w:rsid w:val="6E18EFB9"/>
    <w:rsid w:val="6E37E428"/>
    <w:rsid w:val="6E384330"/>
    <w:rsid w:val="6E3EC713"/>
    <w:rsid w:val="6E74C0D1"/>
    <w:rsid w:val="6E7E27D1"/>
    <w:rsid w:val="6E920D6F"/>
    <w:rsid w:val="6EA110E8"/>
    <w:rsid w:val="6EA4F4F6"/>
    <w:rsid w:val="6EA94690"/>
    <w:rsid w:val="6EAE8E2B"/>
    <w:rsid w:val="6EB59DAB"/>
    <w:rsid w:val="6EC08275"/>
    <w:rsid w:val="6EC0DAE8"/>
    <w:rsid w:val="6EC0E05A"/>
    <w:rsid w:val="6ED4CF51"/>
    <w:rsid w:val="6ED57C70"/>
    <w:rsid w:val="6EDD9640"/>
    <w:rsid w:val="6EEB4DD3"/>
    <w:rsid w:val="6F0380F6"/>
    <w:rsid w:val="6F04118E"/>
    <w:rsid w:val="6F083FDF"/>
    <w:rsid w:val="6F254425"/>
    <w:rsid w:val="6F26E29A"/>
    <w:rsid w:val="6F2CCE9E"/>
    <w:rsid w:val="6F420C62"/>
    <w:rsid w:val="6F47605E"/>
    <w:rsid w:val="6F4B2B13"/>
    <w:rsid w:val="6F5CE54F"/>
    <w:rsid w:val="6F63CCB3"/>
    <w:rsid w:val="6F65A075"/>
    <w:rsid w:val="6F6E2B58"/>
    <w:rsid w:val="6F777268"/>
    <w:rsid w:val="6F7B00F1"/>
    <w:rsid w:val="6F7C7F2D"/>
    <w:rsid w:val="6F7EFC63"/>
    <w:rsid w:val="6F87A1B1"/>
    <w:rsid w:val="6F87C224"/>
    <w:rsid w:val="6F87FA21"/>
    <w:rsid w:val="6F8AF993"/>
    <w:rsid w:val="6F91BC3B"/>
    <w:rsid w:val="6F96BEC4"/>
    <w:rsid w:val="6F9747AE"/>
    <w:rsid w:val="6FA23992"/>
    <w:rsid w:val="6FB1CB40"/>
    <w:rsid w:val="6FC3C665"/>
    <w:rsid w:val="6FC86523"/>
    <w:rsid w:val="6FCBB72C"/>
    <w:rsid w:val="6FD09A6F"/>
    <w:rsid w:val="6FD4A45F"/>
    <w:rsid w:val="6FE1F853"/>
    <w:rsid w:val="6FE7327D"/>
    <w:rsid w:val="6FF49EB7"/>
    <w:rsid w:val="6FF6FA4E"/>
    <w:rsid w:val="700BFAB6"/>
    <w:rsid w:val="700F01BA"/>
    <w:rsid w:val="7011381A"/>
    <w:rsid w:val="70237141"/>
    <w:rsid w:val="7025F824"/>
    <w:rsid w:val="702F978E"/>
    <w:rsid w:val="703FA1F5"/>
    <w:rsid w:val="7049448D"/>
    <w:rsid w:val="705A4047"/>
    <w:rsid w:val="705C4FCD"/>
    <w:rsid w:val="705FD8C9"/>
    <w:rsid w:val="7061E4AA"/>
    <w:rsid w:val="70704123"/>
    <w:rsid w:val="70776290"/>
    <w:rsid w:val="70899629"/>
    <w:rsid w:val="708C1F26"/>
    <w:rsid w:val="708C7CC3"/>
    <w:rsid w:val="708FBF8E"/>
    <w:rsid w:val="709776F6"/>
    <w:rsid w:val="7098D986"/>
    <w:rsid w:val="70AE17C7"/>
    <w:rsid w:val="70C551A4"/>
    <w:rsid w:val="70DA6999"/>
    <w:rsid w:val="70DD0B29"/>
    <w:rsid w:val="70EF066A"/>
    <w:rsid w:val="70F7F952"/>
    <w:rsid w:val="70FDC1A2"/>
    <w:rsid w:val="710F5147"/>
    <w:rsid w:val="71108D50"/>
    <w:rsid w:val="7127E2F7"/>
    <w:rsid w:val="7138C49E"/>
    <w:rsid w:val="71435902"/>
    <w:rsid w:val="714CA513"/>
    <w:rsid w:val="7159C1CC"/>
    <w:rsid w:val="716492ED"/>
    <w:rsid w:val="716BFEF4"/>
    <w:rsid w:val="71859152"/>
    <w:rsid w:val="7187BD2F"/>
    <w:rsid w:val="719B3260"/>
    <w:rsid w:val="71A2CFC6"/>
    <w:rsid w:val="71A6E7F6"/>
    <w:rsid w:val="71AED90D"/>
    <w:rsid w:val="71B69DBE"/>
    <w:rsid w:val="71BF41A2"/>
    <w:rsid w:val="71D24B48"/>
    <w:rsid w:val="71DB7256"/>
    <w:rsid w:val="71F98893"/>
    <w:rsid w:val="720158AF"/>
    <w:rsid w:val="7209D3E8"/>
    <w:rsid w:val="7210C393"/>
    <w:rsid w:val="722F3D7F"/>
    <w:rsid w:val="723A1407"/>
    <w:rsid w:val="7246F145"/>
    <w:rsid w:val="7249E828"/>
    <w:rsid w:val="724B53D7"/>
    <w:rsid w:val="724C6702"/>
    <w:rsid w:val="725B5079"/>
    <w:rsid w:val="7260DDC0"/>
    <w:rsid w:val="72660B1D"/>
    <w:rsid w:val="726676B5"/>
    <w:rsid w:val="726BFE5C"/>
    <w:rsid w:val="727A198E"/>
    <w:rsid w:val="728429E1"/>
    <w:rsid w:val="72942F5F"/>
    <w:rsid w:val="72A0F7B3"/>
    <w:rsid w:val="72A1A11F"/>
    <w:rsid w:val="72A4C13D"/>
    <w:rsid w:val="72A71555"/>
    <w:rsid w:val="72AA148B"/>
    <w:rsid w:val="72AA203D"/>
    <w:rsid w:val="72B32267"/>
    <w:rsid w:val="72BC4CEB"/>
    <w:rsid w:val="72BF686E"/>
    <w:rsid w:val="72C05F64"/>
    <w:rsid w:val="72C3FF9F"/>
    <w:rsid w:val="72D9A21A"/>
    <w:rsid w:val="72EC9124"/>
    <w:rsid w:val="72FFB1BB"/>
    <w:rsid w:val="73063C53"/>
    <w:rsid w:val="730D60C0"/>
    <w:rsid w:val="730E4F14"/>
    <w:rsid w:val="7315121C"/>
    <w:rsid w:val="7317CFDB"/>
    <w:rsid w:val="731F8B59"/>
    <w:rsid w:val="732C8C0B"/>
    <w:rsid w:val="7338DEE9"/>
    <w:rsid w:val="733ED6F8"/>
    <w:rsid w:val="7344DD6C"/>
    <w:rsid w:val="73507355"/>
    <w:rsid w:val="73606FB1"/>
    <w:rsid w:val="7366793F"/>
    <w:rsid w:val="7366A474"/>
    <w:rsid w:val="7388790C"/>
    <w:rsid w:val="739E31EE"/>
    <w:rsid w:val="73A148C2"/>
    <w:rsid w:val="73A79BDF"/>
    <w:rsid w:val="73AA7193"/>
    <w:rsid w:val="73C736F8"/>
    <w:rsid w:val="73D00A66"/>
    <w:rsid w:val="73D1AB54"/>
    <w:rsid w:val="73E314AF"/>
    <w:rsid w:val="73EA07D0"/>
    <w:rsid w:val="7409CC5B"/>
    <w:rsid w:val="740B3E2E"/>
    <w:rsid w:val="740D6B1C"/>
    <w:rsid w:val="74170029"/>
    <w:rsid w:val="741AAA01"/>
    <w:rsid w:val="741DCAA3"/>
    <w:rsid w:val="741EFF90"/>
    <w:rsid w:val="7428BDE4"/>
    <w:rsid w:val="7433F089"/>
    <w:rsid w:val="74381299"/>
    <w:rsid w:val="7438D6DB"/>
    <w:rsid w:val="744735D4"/>
    <w:rsid w:val="745222C3"/>
    <w:rsid w:val="746033A4"/>
    <w:rsid w:val="7464E507"/>
    <w:rsid w:val="74672C77"/>
    <w:rsid w:val="7475727B"/>
    <w:rsid w:val="7478D08C"/>
    <w:rsid w:val="747AF2D0"/>
    <w:rsid w:val="747BA36F"/>
    <w:rsid w:val="748DED78"/>
    <w:rsid w:val="7490DF07"/>
    <w:rsid w:val="74920E2C"/>
    <w:rsid w:val="749317FB"/>
    <w:rsid w:val="7494113E"/>
    <w:rsid w:val="749F284F"/>
    <w:rsid w:val="74A4871E"/>
    <w:rsid w:val="74A48CC2"/>
    <w:rsid w:val="74ADD992"/>
    <w:rsid w:val="74BEB454"/>
    <w:rsid w:val="74C944C9"/>
    <w:rsid w:val="74CF0321"/>
    <w:rsid w:val="74D1F03A"/>
    <w:rsid w:val="74E7BEFC"/>
    <w:rsid w:val="74EBF2EE"/>
    <w:rsid w:val="74F6F3DB"/>
    <w:rsid w:val="74FA7539"/>
    <w:rsid w:val="75010F6B"/>
    <w:rsid w:val="75091E8B"/>
    <w:rsid w:val="7509EC0A"/>
    <w:rsid w:val="750BEB0A"/>
    <w:rsid w:val="750C432F"/>
    <w:rsid w:val="751535B4"/>
    <w:rsid w:val="75168449"/>
    <w:rsid w:val="751E0D13"/>
    <w:rsid w:val="7521CD56"/>
    <w:rsid w:val="75226B80"/>
    <w:rsid w:val="7527180E"/>
    <w:rsid w:val="752776BE"/>
    <w:rsid w:val="75368427"/>
    <w:rsid w:val="75378184"/>
    <w:rsid w:val="7537E301"/>
    <w:rsid w:val="755AE981"/>
    <w:rsid w:val="756331DA"/>
    <w:rsid w:val="7565146E"/>
    <w:rsid w:val="757ABBB1"/>
    <w:rsid w:val="75813355"/>
    <w:rsid w:val="758188EA"/>
    <w:rsid w:val="75878B57"/>
    <w:rsid w:val="758E41B2"/>
    <w:rsid w:val="7590B461"/>
    <w:rsid w:val="759CB6FB"/>
    <w:rsid w:val="75A6D493"/>
    <w:rsid w:val="75B4972D"/>
    <w:rsid w:val="75B63FE9"/>
    <w:rsid w:val="75BD815D"/>
    <w:rsid w:val="75C7237F"/>
    <w:rsid w:val="75CD64BF"/>
    <w:rsid w:val="75CECE2A"/>
    <w:rsid w:val="75F00533"/>
    <w:rsid w:val="75F70930"/>
    <w:rsid w:val="760EAD61"/>
    <w:rsid w:val="7614EC42"/>
    <w:rsid w:val="761CB8F0"/>
    <w:rsid w:val="761F1888"/>
    <w:rsid w:val="762076BE"/>
    <w:rsid w:val="76214209"/>
    <w:rsid w:val="76236599"/>
    <w:rsid w:val="7629AB46"/>
    <w:rsid w:val="7632D602"/>
    <w:rsid w:val="7646CB3B"/>
    <w:rsid w:val="764C9C80"/>
    <w:rsid w:val="7651CDFC"/>
    <w:rsid w:val="7659BF5B"/>
    <w:rsid w:val="76754BDD"/>
    <w:rsid w:val="76764ADA"/>
    <w:rsid w:val="7678E24A"/>
    <w:rsid w:val="76840F47"/>
    <w:rsid w:val="7686BE70"/>
    <w:rsid w:val="768E96D2"/>
    <w:rsid w:val="76908336"/>
    <w:rsid w:val="7691C1C7"/>
    <w:rsid w:val="7694462D"/>
    <w:rsid w:val="76A78733"/>
    <w:rsid w:val="76AF352C"/>
    <w:rsid w:val="76B98A19"/>
    <w:rsid w:val="76DA7F3A"/>
    <w:rsid w:val="76DE35F2"/>
    <w:rsid w:val="76E1DE3E"/>
    <w:rsid w:val="76E37E6F"/>
    <w:rsid w:val="76E4880A"/>
    <w:rsid w:val="76E610C2"/>
    <w:rsid w:val="76E76BC3"/>
    <w:rsid w:val="76E94449"/>
    <w:rsid w:val="76F51BFD"/>
    <w:rsid w:val="76F705F6"/>
    <w:rsid w:val="76FB604C"/>
    <w:rsid w:val="77085B82"/>
    <w:rsid w:val="770A6C8E"/>
    <w:rsid w:val="770DD40A"/>
    <w:rsid w:val="771221B9"/>
    <w:rsid w:val="7721A892"/>
    <w:rsid w:val="7737C04A"/>
    <w:rsid w:val="773DFD1A"/>
    <w:rsid w:val="773EBA11"/>
    <w:rsid w:val="774705BB"/>
    <w:rsid w:val="774CA95D"/>
    <w:rsid w:val="7750B6D5"/>
    <w:rsid w:val="7754A548"/>
    <w:rsid w:val="775A343C"/>
    <w:rsid w:val="77604592"/>
    <w:rsid w:val="776AE7C1"/>
    <w:rsid w:val="7783C0F9"/>
    <w:rsid w:val="77886315"/>
    <w:rsid w:val="778ED5B7"/>
    <w:rsid w:val="779E41F2"/>
    <w:rsid w:val="77A327A0"/>
    <w:rsid w:val="77AEC836"/>
    <w:rsid w:val="77AFDCC3"/>
    <w:rsid w:val="77C55FE2"/>
    <w:rsid w:val="77CA2D28"/>
    <w:rsid w:val="77DE0F17"/>
    <w:rsid w:val="77E405F3"/>
    <w:rsid w:val="77E96199"/>
    <w:rsid w:val="77EDA497"/>
    <w:rsid w:val="77EE5393"/>
    <w:rsid w:val="7808F79C"/>
    <w:rsid w:val="780B8B3A"/>
    <w:rsid w:val="7815CB8C"/>
    <w:rsid w:val="781B028A"/>
    <w:rsid w:val="781FECDA"/>
    <w:rsid w:val="78292C23"/>
    <w:rsid w:val="782A1B4B"/>
    <w:rsid w:val="784B6FF5"/>
    <w:rsid w:val="785D0E31"/>
    <w:rsid w:val="785EE88A"/>
    <w:rsid w:val="7861D4B8"/>
    <w:rsid w:val="78687AF8"/>
    <w:rsid w:val="786AF15A"/>
    <w:rsid w:val="787611AF"/>
    <w:rsid w:val="78798FF1"/>
    <w:rsid w:val="7884403B"/>
    <w:rsid w:val="7892C474"/>
    <w:rsid w:val="789A4E81"/>
    <w:rsid w:val="789CBDCC"/>
    <w:rsid w:val="78A563B9"/>
    <w:rsid w:val="78A9243A"/>
    <w:rsid w:val="78AC7B18"/>
    <w:rsid w:val="78B76A22"/>
    <w:rsid w:val="78BADF36"/>
    <w:rsid w:val="78C2E6BA"/>
    <w:rsid w:val="78D4A126"/>
    <w:rsid w:val="78D69E56"/>
    <w:rsid w:val="78DD2B54"/>
    <w:rsid w:val="78DD507F"/>
    <w:rsid w:val="78DFC993"/>
    <w:rsid w:val="78E8DE2C"/>
    <w:rsid w:val="78F138C4"/>
    <w:rsid w:val="78F36B65"/>
    <w:rsid w:val="78F89BEC"/>
    <w:rsid w:val="78FC03B1"/>
    <w:rsid w:val="78FDCED6"/>
    <w:rsid w:val="790D8E66"/>
    <w:rsid w:val="791A1D63"/>
    <w:rsid w:val="791F87DB"/>
    <w:rsid w:val="792EA9F2"/>
    <w:rsid w:val="79311151"/>
    <w:rsid w:val="7942D3F3"/>
    <w:rsid w:val="7948E39E"/>
    <w:rsid w:val="794D8571"/>
    <w:rsid w:val="79613043"/>
    <w:rsid w:val="7964CF73"/>
    <w:rsid w:val="796E914D"/>
    <w:rsid w:val="79723E03"/>
    <w:rsid w:val="7973C862"/>
    <w:rsid w:val="797AC589"/>
    <w:rsid w:val="79838584"/>
    <w:rsid w:val="79910C2C"/>
    <w:rsid w:val="799FE51C"/>
    <w:rsid w:val="79A577B7"/>
    <w:rsid w:val="79A5F7E9"/>
    <w:rsid w:val="79A6EA51"/>
    <w:rsid w:val="79B3B086"/>
    <w:rsid w:val="79C4E2F9"/>
    <w:rsid w:val="79CC3CA6"/>
    <w:rsid w:val="79D73390"/>
    <w:rsid w:val="79E636D9"/>
    <w:rsid w:val="79F73BA7"/>
    <w:rsid w:val="7A0F6F23"/>
    <w:rsid w:val="7A1A0F09"/>
    <w:rsid w:val="7A1AAB75"/>
    <w:rsid w:val="7A1BED5B"/>
    <w:rsid w:val="7A203BBF"/>
    <w:rsid w:val="7A24A042"/>
    <w:rsid w:val="7A29F2F4"/>
    <w:rsid w:val="7A2DBE07"/>
    <w:rsid w:val="7A30093D"/>
    <w:rsid w:val="7A3483F5"/>
    <w:rsid w:val="7A3551A6"/>
    <w:rsid w:val="7A4259EC"/>
    <w:rsid w:val="7A599194"/>
    <w:rsid w:val="7A69BAD0"/>
    <w:rsid w:val="7A90BBCB"/>
    <w:rsid w:val="7AA131E0"/>
    <w:rsid w:val="7AA3C664"/>
    <w:rsid w:val="7AB61A09"/>
    <w:rsid w:val="7ACC67CE"/>
    <w:rsid w:val="7AD50D88"/>
    <w:rsid w:val="7AD6B752"/>
    <w:rsid w:val="7AE15538"/>
    <w:rsid w:val="7AE4B3FF"/>
    <w:rsid w:val="7AEAAD24"/>
    <w:rsid w:val="7AF06B04"/>
    <w:rsid w:val="7AF9BD6F"/>
    <w:rsid w:val="7B0F915E"/>
    <w:rsid w:val="7B2171F7"/>
    <w:rsid w:val="7B256BC5"/>
    <w:rsid w:val="7B2845F3"/>
    <w:rsid w:val="7B308A38"/>
    <w:rsid w:val="7B32F266"/>
    <w:rsid w:val="7B44EC4D"/>
    <w:rsid w:val="7B6181A8"/>
    <w:rsid w:val="7B6597B3"/>
    <w:rsid w:val="7B691597"/>
    <w:rsid w:val="7B892551"/>
    <w:rsid w:val="7B987C0E"/>
    <w:rsid w:val="7B9CE82F"/>
    <w:rsid w:val="7BA19B6A"/>
    <w:rsid w:val="7BA483CB"/>
    <w:rsid w:val="7BB47D68"/>
    <w:rsid w:val="7BC3F421"/>
    <w:rsid w:val="7BD94019"/>
    <w:rsid w:val="7BDCB45F"/>
    <w:rsid w:val="7BE303A5"/>
    <w:rsid w:val="7BE6AEFA"/>
    <w:rsid w:val="7BE73BA1"/>
    <w:rsid w:val="7C0CBA38"/>
    <w:rsid w:val="7C0DCC48"/>
    <w:rsid w:val="7C139E39"/>
    <w:rsid w:val="7C1B5490"/>
    <w:rsid w:val="7C1BD104"/>
    <w:rsid w:val="7C201A80"/>
    <w:rsid w:val="7C2730DE"/>
    <w:rsid w:val="7C28524F"/>
    <w:rsid w:val="7C31C254"/>
    <w:rsid w:val="7C3216E7"/>
    <w:rsid w:val="7C32CF74"/>
    <w:rsid w:val="7C585D25"/>
    <w:rsid w:val="7C68C82D"/>
    <w:rsid w:val="7C690D7E"/>
    <w:rsid w:val="7C6EB051"/>
    <w:rsid w:val="7C7A9FD7"/>
    <w:rsid w:val="7C840619"/>
    <w:rsid w:val="7C85B0D5"/>
    <w:rsid w:val="7C87EA8F"/>
    <w:rsid w:val="7C98E3C6"/>
    <w:rsid w:val="7C99BA89"/>
    <w:rsid w:val="7CA29967"/>
    <w:rsid w:val="7CB997C2"/>
    <w:rsid w:val="7CCB6504"/>
    <w:rsid w:val="7CD3B9E0"/>
    <w:rsid w:val="7CF177F8"/>
    <w:rsid w:val="7D00897D"/>
    <w:rsid w:val="7D02DCD7"/>
    <w:rsid w:val="7D0BAB1E"/>
    <w:rsid w:val="7D145508"/>
    <w:rsid w:val="7D297A0C"/>
    <w:rsid w:val="7D2B9595"/>
    <w:rsid w:val="7D2BCF56"/>
    <w:rsid w:val="7D2C8C4D"/>
    <w:rsid w:val="7D2D26DE"/>
    <w:rsid w:val="7D44C1B3"/>
    <w:rsid w:val="7D4A2644"/>
    <w:rsid w:val="7D515786"/>
    <w:rsid w:val="7D5E5891"/>
    <w:rsid w:val="7D6472CB"/>
    <w:rsid w:val="7D696BE5"/>
    <w:rsid w:val="7D6E2ABB"/>
    <w:rsid w:val="7D772892"/>
    <w:rsid w:val="7D773FFC"/>
    <w:rsid w:val="7D828B6F"/>
    <w:rsid w:val="7D8CAAD7"/>
    <w:rsid w:val="7DA4AB9D"/>
    <w:rsid w:val="7DA4BA32"/>
    <w:rsid w:val="7DC9AF19"/>
    <w:rsid w:val="7DCDA5B6"/>
    <w:rsid w:val="7DD08F7B"/>
    <w:rsid w:val="7DD5768A"/>
    <w:rsid w:val="7DD7E171"/>
    <w:rsid w:val="7DDD9548"/>
    <w:rsid w:val="7DE01DBC"/>
    <w:rsid w:val="7DE44763"/>
    <w:rsid w:val="7DE8D509"/>
    <w:rsid w:val="7DEB72B4"/>
    <w:rsid w:val="7E012B92"/>
    <w:rsid w:val="7E042A38"/>
    <w:rsid w:val="7E096F0B"/>
    <w:rsid w:val="7E1C54C1"/>
    <w:rsid w:val="7E1CAE90"/>
    <w:rsid w:val="7E27CD80"/>
    <w:rsid w:val="7E297ED0"/>
    <w:rsid w:val="7E3CFA0E"/>
    <w:rsid w:val="7E486D03"/>
    <w:rsid w:val="7E4B8E52"/>
    <w:rsid w:val="7E52CCE6"/>
    <w:rsid w:val="7E53845A"/>
    <w:rsid w:val="7E5AFD6B"/>
    <w:rsid w:val="7E5D6C9E"/>
    <w:rsid w:val="7E6EFDEE"/>
    <w:rsid w:val="7E7C7A58"/>
    <w:rsid w:val="7E7F3A33"/>
    <w:rsid w:val="7E86C3A2"/>
    <w:rsid w:val="7E982306"/>
    <w:rsid w:val="7EA7C8A4"/>
    <w:rsid w:val="7EAED988"/>
    <w:rsid w:val="7EB049B6"/>
    <w:rsid w:val="7EC042B4"/>
    <w:rsid w:val="7EC09746"/>
    <w:rsid w:val="7EC221F0"/>
    <w:rsid w:val="7EC47B94"/>
    <w:rsid w:val="7ECE6327"/>
    <w:rsid w:val="7ED98389"/>
    <w:rsid w:val="7EDC2107"/>
    <w:rsid w:val="7EEA30C0"/>
    <w:rsid w:val="7EF7D692"/>
    <w:rsid w:val="7F04D520"/>
    <w:rsid w:val="7F0FBA9E"/>
    <w:rsid w:val="7F15918E"/>
    <w:rsid w:val="7F1AAA5E"/>
    <w:rsid w:val="7F253835"/>
    <w:rsid w:val="7F2B3C1C"/>
    <w:rsid w:val="7F496BAF"/>
    <w:rsid w:val="7F4D188C"/>
    <w:rsid w:val="7F6C5FDC"/>
    <w:rsid w:val="7F7A6A26"/>
    <w:rsid w:val="7F7D6C18"/>
    <w:rsid w:val="7F80941C"/>
    <w:rsid w:val="7F933A3D"/>
    <w:rsid w:val="7FA60B71"/>
    <w:rsid w:val="7FBBE5D5"/>
    <w:rsid w:val="7FD37433"/>
    <w:rsid w:val="7FD8CA6F"/>
    <w:rsid w:val="7FD9254D"/>
    <w:rsid w:val="7FE4EB63"/>
    <w:rsid w:val="7FE5FE5F"/>
    <w:rsid w:val="7FFB49E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233143"/>
  <w15:docId w15:val="{2B4047CA-C185-4856-8BF7-E2EDBDA48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240"/>
      <w:jc w:val="both"/>
    </w:pPr>
    <w:rPr>
      <w:rFonts w:ascii="Courier New" w:hAnsi="Courier New"/>
      <w:sz w:val="24"/>
    </w:rPr>
  </w:style>
  <w:style w:type="paragraph" w:styleId="Heading1">
    <w:name w:val="heading 1"/>
    <w:aliases w:val="Heading 1 Char Char Char Char Char Char Char Char Char Char Char Char Char Char"/>
    <w:basedOn w:val="Normal"/>
    <w:next w:val="Text1"/>
    <w:link w:val="Heading1Char1"/>
    <w:qFormat/>
    <w:pPr>
      <w:keepNext/>
      <w:numPr>
        <w:numId w:val="2"/>
      </w:numPr>
      <w:spacing w:before="240"/>
      <w:outlineLvl w:val="0"/>
    </w:pPr>
    <w:rPr>
      <w:b/>
      <w:smallCaps/>
    </w:rPr>
  </w:style>
  <w:style w:type="paragraph" w:styleId="Heading2">
    <w:name w:val="heading 2"/>
    <w:basedOn w:val="Normal"/>
    <w:next w:val="Text2"/>
    <w:link w:val="Heading2Char"/>
    <w:qFormat/>
    <w:pPr>
      <w:keepNext/>
      <w:numPr>
        <w:ilvl w:val="1"/>
        <w:numId w:val="2"/>
      </w:numPr>
      <w:tabs>
        <w:tab w:val="clear" w:pos="1167"/>
        <w:tab w:val="num" w:pos="1360"/>
      </w:tabs>
      <w:ind w:left="1360" w:hanging="283"/>
      <w:outlineLvl w:val="1"/>
    </w:pPr>
    <w:rPr>
      <w:b/>
    </w:rPr>
  </w:style>
  <w:style w:type="paragraph" w:styleId="Heading3">
    <w:name w:val="heading 3"/>
    <w:basedOn w:val="Normal"/>
    <w:next w:val="Text3"/>
    <w:link w:val="Heading3Char"/>
    <w:qFormat/>
    <w:pPr>
      <w:keepNext/>
      <w:numPr>
        <w:ilvl w:val="2"/>
        <w:numId w:val="2"/>
      </w:numPr>
      <w:tabs>
        <w:tab w:val="clear" w:pos="2062"/>
        <w:tab w:val="num" w:pos="1360"/>
      </w:tabs>
      <w:ind w:left="1360" w:hanging="283"/>
      <w:outlineLvl w:val="2"/>
    </w:pPr>
    <w:rPr>
      <w:i/>
    </w:rPr>
  </w:style>
  <w:style w:type="paragraph" w:styleId="Heading4">
    <w:name w:val="heading 4"/>
    <w:basedOn w:val="Normal"/>
    <w:next w:val="Text4"/>
    <w:link w:val="Heading4Char"/>
    <w:qFormat/>
    <w:pPr>
      <w:keepNext/>
      <w:numPr>
        <w:ilvl w:val="3"/>
        <w:numId w:val="2"/>
      </w:numPr>
      <w:tabs>
        <w:tab w:val="clear" w:pos="3022"/>
        <w:tab w:val="num" w:pos="1360"/>
      </w:tabs>
      <w:ind w:left="1360" w:hanging="283"/>
      <w:outlineLvl w:val="3"/>
    </w:pPr>
  </w:style>
  <w:style w:type="paragraph" w:styleId="Heading5">
    <w:name w:val="heading 5"/>
    <w:basedOn w:val="Normal"/>
    <w:next w:val="Normal"/>
    <w:link w:val="Heading5Char"/>
    <w:qFormat/>
    <w:pPr>
      <w:spacing w:before="240" w:after="60"/>
      <w:ind w:left="3332" w:hanging="708"/>
      <w:outlineLvl w:val="4"/>
    </w:pPr>
    <w:rPr>
      <w:rFonts w:ascii="Arial" w:hAnsi="Arial"/>
      <w:sz w:val="22"/>
    </w:rPr>
  </w:style>
  <w:style w:type="paragraph" w:styleId="Heading6">
    <w:name w:val="heading 6"/>
    <w:basedOn w:val="Normal"/>
    <w:next w:val="Normal"/>
    <w:link w:val="Heading6Char"/>
    <w:qFormat/>
    <w:pPr>
      <w:spacing w:before="240" w:after="60"/>
      <w:ind w:left="4040" w:hanging="708"/>
      <w:outlineLvl w:val="5"/>
    </w:pPr>
    <w:rPr>
      <w:rFonts w:ascii="Arial" w:hAnsi="Arial"/>
      <w:i/>
      <w:sz w:val="22"/>
    </w:rPr>
  </w:style>
  <w:style w:type="paragraph" w:styleId="Heading7">
    <w:name w:val="heading 7"/>
    <w:basedOn w:val="Normal"/>
    <w:next w:val="Normal"/>
    <w:link w:val="Heading7Char"/>
    <w:qFormat/>
    <w:pPr>
      <w:spacing w:before="240" w:after="60"/>
      <w:ind w:left="4748" w:hanging="708"/>
      <w:outlineLvl w:val="6"/>
    </w:pPr>
    <w:rPr>
      <w:rFonts w:ascii="Arial" w:hAnsi="Arial"/>
      <w:sz w:val="20"/>
    </w:rPr>
  </w:style>
  <w:style w:type="paragraph" w:styleId="Heading8">
    <w:name w:val="heading 8"/>
    <w:basedOn w:val="Normal"/>
    <w:next w:val="Normal"/>
    <w:link w:val="Heading8Char"/>
    <w:qFormat/>
    <w:pPr>
      <w:spacing w:before="240" w:after="60"/>
      <w:ind w:left="5456" w:hanging="708"/>
      <w:outlineLvl w:val="7"/>
    </w:pPr>
    <w:rPr>
      <w:rFonts w:ascii="Arial" w:hAnsi="Arial"/>
      <w:i/>
      <w:sz w:val="20"/>
    </w:rPr>
  </w:style>
  <w:style w:type="paragraph" w:styleId="Heading9">
    <w:name w:val="heading 9"/>
    <w:basedOn w:val="Normal"/>
    <w:next w:val="Normal"/>
    <w:link w:val="Heading9Char"/>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link w:val="ZnakZnak"/>
    <w:uiPriority w:val="99"/>
    <w:semiHidden/>
    <w:unhideWhenUsed/>
  </w:style>
  <w:style w:type="paragraph" w:customStyle="1" w:styleId="Text1">
    <w:name w:val="Text 1"/>
    <w:basedOn w:val="Normal"/>
    <w:link w:val="Text1Char"/>
    <w:pPr>
      <w:ind w:left="482"/>
    </w:pPr>
  </w:style>
  <w:style w:type="paragraph" w:customStyle="1" w:styleId="Text2">
    <w:name w:val="Text 2"/>
    <w:basedOn w:val="Normal"/>
    <w:link w:val="Text2Char1"/>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link w:val="BodyTextChar"/>
    <w:pPr>
      <w:spacing w:after="120"/>
    </w:pPr>
  </w:style>
  <w:style w:type="paragraph" w:styleId="BodyText2">
    <w:name w:val="Body Text 2"/>
    <w:basedOn w:val="Normal"/>
    <w:link w:val="BodyText2Char"/>
    <w:pPr>
      <w:spacing w:after="120" w:line="480" w:lineRule="auto"/>
    </w:pPr>
  </w:style>
  <w:style w:type="paragraph" w:styleId="BodyText3">
    <w:name w:val="Body Text 3"/>
    <w:basedOn w:val="Normal"/>
    <w:link w:val="BodyText3Char"/>
    <w:pPr>
      <w:spacing w:after="120"/>
    </w:pPr>
    <w:rPr>
      <w:sz w:val="16"/>
    </w:rPr>
  </w:style>
  <w:style w:type="paragraph" w:styleId="BodyTextFirstIndent">
    <w:name w:val="Body Text First Indent"/>
    <w:basedOn w:val="BodyText"/>
    <w:link w:val="BodyTextFirstIndentChar"/>
    <w:pPr>
      <w:ind w:firstLine="210"/>
    </w:pPr>
  </w:style>
  <w:style w:type="paragraph" w:styleId="BodyTextIndent">
    <w:name w:val="Body Text Indent"/>
    <w:basedOn w:val="Normal"/>
    <w:link w:val="BodyTextIndentChar"/>
    <w:pPr>
      <w:spacing w:after="120"/>
      <w:ind w:left="283"/>
    </w:pPr>
  </w:style>
  <w:style w:type="paragraph" w:styleId="BodyTextFirstIndent2">
    <w:name w:val="Body Text First Indent 2"/>
    <w:basedOn w:val="BodyTextIndent"/>
    <w:link w:val="BodyTextFirstIndent2Char"/>
    <w:pPr>
      <w:ind w:firstLine="210"/>
    </w:pPr>
  </w:style>
  <w:style w:type="paragraph" w:styleId="BodyTextIndent2">
    <w:name w:val="Body Text Indent 2"/>
    <w:basedOn w:val="Normal"/>
    <w:link w:val="BodyTextIndent2Char"/>
    <w:pPr>
      <w:spacing w:after="120" w:line="480" w:lineRule="auto"/>
      <w:ind w:left="283"/>
    </w:pPr>
  </w:style>
  <w:style w:type="paragraph" w:styleId="BodyTextIndent3">
    <w:name w:val="Body Text Indent 3"/>
    <w:basedOn w:val="Normal"/>
    <w:link w:val="BodyTextIndent3Char"/>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link w:val="ClosingChar"/>
    <w:pPr>
      <w:tabs>
        <w:tab w:val="left" w:pos="5103"/>
      </w:tabs>
      <w:spacing w:before="240"/>
      <w:ind w:left="5103"/>
      <w:jc w:val="left"/>
    </w:pPr>
  </w:style>
  <w:style w:type="paragraph" w:styleId="Signature">
    <w:name w:val="Signature"/>
    <w:basedOn w:val="Normal"/>
    <w:next w:val="Enclosures"/>
    <w:link w:val="SignatureChar"/>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42"/>
      </w:tabs>
      <w:spacing w:before="480" w:after="0"/>
      <w:ind w:left="1792" w:hanging="1792"/>
      <w:jc w:val="left"/>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style>
  <w:style w:type="paragraph" w:styleId="CommentText">
    <w:name w:val="annotation text"/>
    <w:basedOn w:val="Normal"/>
    <w:link w:val="CommentTextChar"/>
    <w:rPr>
      <w:sz w:val="20"/>
    </w:rPr>
  </w:style>
  <w:style w:type="paragraph" w:styleId="Date">
    <w:name w:val="Date"/>
    <w:basedOn w:val="Normal"/>
    <w:next w:val="References"/>
    <w:link w:val="DateChar"/>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link w:val="DocumentMapChar"/>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styleId="EndnoteText">
    <w:name w:val="endnote text"/>
    <w:basedOn w:val="Normal"/>
    <w:link w:val="EndnoteTextChar"/>
    <w:uiPriority w:val="99"/>
    <w:semiHidden/>
    <w:rPr>
      <w:sz w:val="20"/>
    </w:rPr>
  </w:style>
  <w:style w:type="paragraph" w:styleId="EnvelopeAddress">
    <w:name w:val="envelope address"/>
    <w:basedOn w:val="Normal"/>
    <w:pPr>
      <w:framePr w:w="7920" w:h="1980" w:hRule="exact" w:hSpace="180" w:wrap="auto" w:hAnchor="page" w:xAlign="center" w:yAlign="bottom"/>
      <w:spacing w:after="0"/>
    </w:pPr>
    <w:rPr>
      <w:rFonts w:ascii="Times New Roman" w:hAnsi="Times New Roman"/>
    </w:rPr>
  </w:style>
  <w:style w:type="paragraph" w:styleId="EnvelopeReturn">
    <w:name w:val="envelope return"/>
    <w:basedOn w:val="Normal"/>
    <w:pPr>
      <w:spacing w:after="0"/>
    </w:pPr>
    <w:rPr>
      <w:rFonts w:ascii="Times New Roman" w:hAnsi="Times New Roman"/>
      <w:sz w:val="20"/>
    </w:rPr>
  </w:style>
  <w:style w:type="paragraph" w:styleId="Footer">
    <w:name w:val="footer"/>
    <w:basedOn w:val="Normal"/>
    <w:link w:val="FooterChar"/>
    <w:pPr>
      <w:spacing w:after="0"/>
      <w:ind w:right="-567"/>
      <w:jc w:val="left"/>
    </w:pPr>
    <w:rPr>
      <w:rFonts w:ascii="Arial" w:hAnsi="Arial"/>
      <w:sz w:val="16"/>
    </w:rPr>
  </w:style>
  <w:style w:type="paragraph" w:styleId="FootnoteText">
    <w:name w:val="footnote text"/>
    <w:aliases w:val="Footnote Text Char,Footnote Text Char1 Char,Footnote Text Char Char Char,Fußnotentext Char Char1 Char Char,Fußnotentext Char1 Char1 Char Char Char,Fußnotentext Char Char Char Char Char Char Char1,Footnote Text Char1,Footnote Text Char Char"/>
    <w:basedOn w:val="Normal"/>
    <w:link w:val="FootnoteTextChar2"/>
    <w:qFormat/>
    <w:pPr>
      <w:ind w:left="357" w:hanging="357"/>
    </w:pPr>
    <w:rPr>
      <w:sz w:val="20"/>
    </w:rPr>
  </w:style>
  <w:style w:type="paragraph" w:styleId="Header">
    <w:name w:val="header"/>
    <w:basedOn w:val="Normal"/>
    <w:link w:val="HeaderChar"/>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link w:val="ListChar"/>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link w:val="ListBulletChar1"/>
    <w:pPr>
      <w:numPr>
        <w:numId w:val="3"/>
      </w:numPr>
    </w:pPr>
  </w:style>
  <w:style w:type="paragraph" w:styleId="ListBullet2">
    <w:name w:val="List Bullet 2"/>
    <w:basedOn w:val="Text2"/>
    <w:uiPriority w:val="99"/>
    <w:pPr>
      <w:numPr>
        <w:numId w:val="5"/>
      </w:numPr>
      <w:tabs>
        <w:tab w:val="clear" w:pos="2160"/>
      </w:tabs>
    </w:pPr>
  </w:style>
  <w:style w:type="paragraph" w:styleId="ListBullet3">
    <w:name w:val="List Bullet 3"/>
    <w:basedOn w:val="Text3"/>
    <w:pPr>
      <w:numPr>
        <w:numId w:val="6"/>
      </w:numPr>
      <w:tabs>
        <w:tab w:val="clear" w:pos="2302"/>
      </w:tabs>
    </w:pPr>
  </w:style>
  <w:style w:type="paragraph" w:styleId="ListBullet4">
    <w:name w:val="List Bullet 4"/>
    <w:basedOn w:val="Text4"/>
    <w:pPr>
      <w:numPr>
        <w:numId w:val="7"/>
      </w:numPr>
    </w:pPr>
  </w:style>
  <w:style w:type="paragraph" w:styleId="ListBullet5">
    <w:name w:val="List Bullet 5"/>
    <w:basedOn w:val="Normal"/>
    <w:autoRedefine/>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rsid w:val="000A64E1"/>
    <w:pPr>
      <w:numPr>
        <w:numId w:val="12"/>
      </w:numPr>
    </w:pPr>
    <w:rPr>
      <w:rFonts w:ascii="Times New Roman" w:hAnsi="Times New Roman"/>
    </w:rPr>
  </w:style>
  <w:style w:type="paragraph" w:styleId="ListNumber2">
    <w:name w:val="List Number 2"/>
    <w:basedOn w:val="Text2"/>
    <w:pPr>
      <w:numPr>
        <w:numId w:val="14"/>
      </w:numPr>
      <w:tabs>
        <w:tab w:val="clear" w:pos="2160"/>
      </w:tabs>
    </w:pPr>
  </w:style>
  <w:style w:type="paragraph" w:styleId="ListNumber3">
    <w:name w:val="List Number 3"/>
    <w:basedOn w:val="Text3"/>
    <w:pPr>
      <w:numPr>
        <w:numId w:val="15"/>
      </w:numPr>
      <w:tabs>
        <w:tab w:val="clear" w:pos="2302"/>
      </w:tabs>
    </w:pPr>
  </w:style>
  <w:style w:type="paragraph" w:styleId="ListNumber4">
    <w:name w:val="List Number 4"/>
    <w:basedOn w:val="Text4"/>
    <w:pPr>
      <w:numPr>
        <w:numId w:val="16"/>
      </w:numPr>
    </w:pPr>
  </w:style>
  <w:style w:type="paragraph" w:styleId="ListNumber5">
    <w:name w:val="List Number 5"/>
    <w:basedOn w:val="Normal"/>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rPr>
  </w:style>
  <w:style w:type="paragraph" w:styleId="MessageHeader">
    <w:name w:val="Message Header"/>
    <w:basedOn w:val="Normal"/>
    <w:link w:val="MessageHeaderChar"/>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link w:val="NoteHeadingChar"/>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link w:val="NumPar1Char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link w:val="PlainTextChar"/>
    <w:uiPriority w:val="99"/>
    <w:rPr>
      <w:sz w:val="20"/>
    </w:rPr>
  </w:style>
  <w:style w:type="paragraph" w:styleId="Salutation">
    <w:name w:val="Salutation"/>
    <w:basedOn w:val="Normal"/>
    <w:next w:val="Normal"/>
    <w:link w:val="SalutationChar"/>
  </w:style>
  <w:style w:type="paragraph" w:styleId="Subtitle">
    <w:name w:val="Subtitle"/>
    <w:basedOn w:val="Normal"/>
    <w:link w:val="SubtitleChar"/>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link w:val="TitleChar"/>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191" w:hanging="1191"/>
    </w:pPr>
  </w:style>
  <w:style w:type="paragraph" w:customStyle="1" w:styleId="ListBullet1">
    <w:name w:val="List Bullet 1"/>
    <w:basedOn w:val="Text1"/>
    <w:pPr>
      <w:numPr>
        <w:numId w:val="4"/>
      </w:numPr>
    </w:pPr>
  </w:style>
  <w:style w:type="paragraph" w:customStyle="1" w:styleId="ListDash">
    <w:name w:val="List Dash"/>
    <w:basedOn w:val="Normal"/>
    <w:link w:val="ListDashChar"/>
    <w:pPr>
      <w:numPr>
        <w:numId w:val="19"/>
      </w:numPr>
    </w:pPr>
  </w:style>
  <w:style w:type="paragraph" w:customStyle="1" w:styleId="ListDash1">
    <w:name w:val="List Dash 1"/>
    <w:basedOn w:val="Text1"/>
    <w:pPr>
      <w:numPr>
        <w:numId w:val="8"/>
      </w:numPr>
    </w:pPr>
  </w:style>
  <w:style w:type="paragraph" w:customStyle="1" w:styleId="ListDash2">
    <w:name w:val="List Dash 2"/>
    <w:basedOn w:val="Text2"/>
    <w:pPr>
      <w:numPr>
        <w:numId w:val="9"/>
      </w:numPr>
      <w:tabs>
        <w:tab w:val="clear" w:pos="2160"/>
      </w:tabs>
    </w:pPr>
  </w:style>
  <w:style w:type="paragraph" w:customStyle="1" w:styleId="ListDash3">
    <w:name w:val="List Dash 3"/>
    <w:basedOn w:val="Text3"/>
    <w:pPr>
      <w:numPr>
        <w:numId w:val="10"/>
      </w:numPr>
      <w:tabs>
        <w:tab w:val="clear" w:pos="2302"/>
      </w:tabs>
    </w:pPr>
  </w:style>
  <w:style w:type="paragraph" w:customStyle="1" w:styleId="ListDash4">
    <w:name w:val="List Dash 4"/>
    <w:basedOn w:val="Text4"/>
    <w:pPr>
      <w:numPr>
        <w:numId w:val="11"/>
      </w:numPr>
    </w:pPr>
  </w:style>
  <w:style w:type="paragraph" w:customStyle="1" w:styleId="ListNumberLevel2">
    <w:name w:val="List Number (Level 2)"/>
    <w:basedOn w:val="Normal"/>
    <w:pPr>
      <w:numPr>
        <w:ilvl w:val="1"/>
        <w:numId w:val="12"/>
      </w:numPr>
      <w:tabs>
        <w:tab w:val="clear" w:pos="1417"/>
        <w:tab w:val="num" w:pos="3333"/>
      </w:tabs>
      <w:ind w:left="3333"/>
    </w:pPr>
  </w:style>
  <w:style w:type="paragraph" w:customStyle="1" w:styleId="ListNumberLevel3">
    <w:name w:val="List Number (Level 3)"/>
    <w:basedOn w:val="Normal"/>
    <w:pPr>
      <w:numPr>
        <w:ilvl w:val="2"/>
        <w:numId w:val="12"/>
      </w:numPr>
      <w:tabs>
        <w:tab w:val="clear" w:pos="2126"/>
        <w:tab w:val="num" w:pos="4042"/>
      </w:tabs>
      <w:ind w:left="4042"/>
    </w:pPr>
  </w:style>
  <w:style w:type="paragraph" w:customStyle="1" w:styleId="ListNumberLevel4">
    <w:name w:val="List Number (Level 4)"/>
    <w:basedOn w:val="Normal"/>
    <w:pPr>
      <w:numPr>
        <w:ilvl w:val="3"/>
        <w:numId w:val="12"/>
      </w:numPr>
      <w:tabs>
        <w:tab w:val="clear" w:pos="2835"/>
        <w:tab w:val="num" w:pos="4751"/>
      </w:tabs>
      <w:ind w:left="4751"/>
    </w:pPr>
  </w:style>
  <w:style w:type="paragraph" w:customStyle="1" w:styleId="ListNumber1">
    <w:name w:val="List Number 1"/>
    <w:basedOn w:val="Text1"/>
    <w:pPr>
      <w:numPr>
        <w:numId w:val="13"/>
      </w:numPr>
    </w:pPr>
  </w:style>
  <w:style w:type="paragraph" w:customStyle="1" w:styleId="ListNumber1Level2">
    <w:name w:val="List Number 1 (Level 2)"/>
    <w:basedOn w:val="Text1"/>
    <w:pPr>
      <w:numPr>
        <w:ilvl w:val="1"/>
        <w:numId w:val="13"/>
      </w:numPr>
      <w:tabs>
        <w:tab w:val="clear" w:pos="1899"/>
        <w:tab w:val="num" w:pos="4297"/>
      </w:tabs>
      <w:ind w:left="4297"/>
    </w:pPr>
  </w:style>
  <w:style w:type="paragraph" w:customStyle="1" w:styleId="ListNumber1Level3">
    <w:name w:val="List Number 1 (Level 3)"/>
    <w:basedOn w:val="Text1"/>
    <w:pPr>
      <w:numPr>
        <w:ilvl w:val="2"/>
        <w:numId w:val="13"/>
      </w:numPr>
      <w:tabs>
        <w:tab w:val="clear" w:pos="2608"/>
        <w:tab w:val="num" w:pos="5006"/>
      </w:tabs>
      <w:ind w:left="5006"/>
    </w:pPr>
  </w:style>
  <w:style w:type="paragraph" w:customStyle="1" w:styleId="ListNumber1Level4">
    <w:name w:val="List Number 1 (Level 4)"/>
    <w:basedOn w:val="Text1"/>
    <w:pPr>
      <w:numPr>
        <w:ilvl w:val="3"/>
        <w:numId w:val="13"/>
      </w:numPr>
      <w:tabs>
        <w:tab w:val="clear" w:pos="3317"/>
        <w:tab w:val="num" w:pos="5715"/>
      </w:tabs>
      <w:ind w:left="5715"/>
    </w:pPr>
  </w:style>
  <w:style w:type="paragraph" w:customStyle="1" w:styleId="ListNumber2Level2">
    <w:name w:val="List Number 2 (Level 2)"/>
    <w:basedOn w:val="Text2"/>
    <w:pPr>
      <w:numPr>
        <w:ilvl w:val="1"/>
        <w:numId w:val="14"/>
      </w:numPr>
      <w:tabs>
        <w:tab w:val="clear" w:pos="2160"/>
        <w:tab w:val="clear" w:pos="2494"/>
        <w:tab w:val="num" w:pos="360"/>
      </w:tabs>
      <w:ind w:left="360" w:hanging="360"/>
    </w:pPr>
  </w:style>
  <w:style w:type="paragraph" w:customStyle="1" w:styleId="ListNumber2Level3">
    <w:name w:val="List Number 2 (Level 3)"/>
    <w:basedOn w:val="Text2"/>
    <w:pPr>
      <w:numPr>
        <w:ilvl w:val="2"/>
        <w:numId w:val="14"/>
      </w:numPr>
      <w:tabs>
        <w:tab w:val="clear" w:pos="2160"/>
        <w:tab w:val="clear" w:pos="3203"/>
        <w:tab w:val="num" w:pos="360"/>
      </w:tabs>
      <w:ind w:left="360" w:hanging="360"/>
    </w:pPr>
  </w:style>
  <w:style w:type="paragraph" w:customStyle="1" w:styleId="ListNumber2Level4">
    <w:name w:val="List Number 2 (Level 4)"/>
    <w:basedOn w:val="Text2"/>
    <w:pPr>
      <w:numPr>
        <w:ilvl w:val="3"/>
        <w:numId w:val="14"/>
      </w:numPr>
      <w:tabs>
        <w:tab w:val="clear" w:pos="2160"/>
        <w:tab w:val="clear" w:pos="3912"/>
        <w:tab w:val="num" w:pos="360"/>
      </w:tabs>
      <w:ind w:left="360" w:hanging="360"/>
    </w:pPr>
  </w:style>
  <w:style w:type="paragraph" w:customStyle="1" w:styleId="ListNumber3Level2">
    <w:name w:val="List Number 3 (Level 2)"/>
    <w:basedOn w:val="Text3"/>
    <w:pPr>
      <w:numPr>
        <w:ilvl w:val="1"/>
        <w:numId w:val="15"/>
      </w:numPr>
      <w:tabs>
        <w:tab w:val="clear" w:pos="2302"/>
        <w:tab w:val="clear" w:pos="3333"/>
        <w:tab w:val="num" w:pos="1440"/>
      </w:tabs>
      <w:ind w:left="1440" w:hanging="360"/>
    </w:pPr>
  </w:style>
  <w:style w:type="paragraph" w:customStyle="1" w:styleId="ListNumber3Level3">
    <w:name w:val="List Number 3 (Level 3)"/>
    <w:basedOn w:val="Text3"/>
    <w:pPr>
      <w:numPr>
        <w:ilvl w:val="2"/>
        <w:numId w:val="15"/>
      </w:numPr>
      <w:tabs>
        <w:tab w:val="clear" w:pos="2302"/>
        <w:tab w:val="clear" w:pos="4042"/>
        <w:tab w:val="num" w:pos="2160"/>
      </w:tabs>
      <w:ind w:left="2160" w:hanging="360"/>
    </w:pPr>
  </w:style>
  <w:style w:type="paragraph" w:customStyle="1" w:styleId="ListNumber3Level4">
    <w:name w:val="List Number 3 (Level 4)"/>
    <w:basedOn w:val="Text3"/>
    <w:pPr>
      <w:numPr>
        <w:ilvl w:val="3"/>
        <w:numId w:val="15"/>
      </w:numPr>
      <w:tabs>
        <w:tab w:val="clear" w:pos="2302"/>
        <w:tab w:val="clear" w:pos="4751"/>
        <w:tab w:val="num" w:pos="2880"/>
      </w:tabs>
      <w:ind w:left="2880" w:hanging="360"/>
    </w:pPr>
  </w:style>
  <w:style w:type="paragraph" w:customStyle="1" w:styleId="ListNumber4Level2">
    <w:name w:val="List Number 4 (Level 2)"/>
    <w:basedOn w:val="Text4"/>
    <w:pPr>
      <w:numPr>
        <w:ilvl w:val="1"/>
        <w:numId w:val="16"/>
      </w:numPr>
      <w:tabs>
        <w:tab w:val="clear" w:pos="4297"/>
        <w:tab w:val="num" w:pos="1724"/>
      </w:tabs>
      <w:ind w:left="1724" w:hanging="360"/>
    </w:pPr>
  </w:style>
  <w:style w:type="paragraph" w:customStyle="1" w:styleId="ListNumber4Level3">
    <w:name w:val="List Number 4 (Level 3)"/>
    <w:basedOn w:val="Text4"/>
    <w:pPr>
      <w:numPr>
        <w:ilvl w:val="2"/>
        <w:numId w:val="16"/>
      </w:numPr>
      <w:tabs>
        <w:tab w:val="clear" w:pos="5006"/>
        <w:tab w:val="num" w:pos="2444"/>
      </w:tabs>
      <w:ind w:left="2444" w:hanging="360"/>
    </w:pPr>
  </w:style>
  <w:style w:type="paragraph" w:customStyle="1" w:styleId="ListNumber4Level4">
    <w:name w:val="List Number 4 (Level 4)"/>
    <w:basedOn w:val="Text4"/>
    <w:pPr>
      <w:numPr>
        <w:ilvl w:val="3"/>
        <w:numId w:val="16"/>
      </w:numPr>
      <w:tabs>
        <w:tab w:val="clear" w:pos="5715"/>
        <w:tab w:val="num" w:pos="3164"/>
      </w:tabs>
      <w:ind w:left="3164" w:hanging="360"/>
    </w:pPr>
  </w:style>
  <w:style w:type="paragraph" w:styleId="TOCHeading">
    <w:name w:val="TOC Heading"/>
    <w:basedOn w:val="Normal"/>
    <w:next w:val="Normal"/>
    <w:qFormat/>
    <w:pPr>
      <w:keepNext/>
      <w:spacing w:before="240"/>
      <w:jc w:val="center"/>
    </w:pPr>
    <w:rPr>
      <w:b/>
    </w:rPr>
  </w:style>
  <w:style w:type="paragraph" w:customStyle="1" w:styleId="ATHeading1">
    <w:name w:val="AT Heading 1"/>
    <w:basedOn w:val="Normal"/>
    <w:next w:val="Normal"/>
    <w:pPr>
      <w:keepNext/>
      <w:keepLines/>
      <w:numPr>
        <w:numId w:val="17"/>
      </w:numPr>
      <w:spacing w:after="140"/>
      <w:jc w:val="left"/>
      <w:outlineLvl w:val="0"/>
    </w:pPr>
    <w:rPr>
      <w:rFonts w:ascii="Times New Roman" w:hAnsi="Times New Roman"/>
      <w:b/>
      <w:noProof/>
      <w:sz w:val="28"/>
    </w:rPr>
  </w:style>
  <w:style w:type="paragraph" w:customStyle="1" w:styleId="ZCom">
    <w:name w:val="Z_Com"/>
    <w:basedOn w:val="Normal"/>
    <w:next w:val="ZDGName"/>
    <w:uiPriority w:val="99"/>
    <w:pPr>
      <w:spacing w:after="0"/>
      <w:ind w:right="85"/>
    </w:pPr>
    <w:rPr>
      <w:rFonts w:ascii="Arial" w:hAnsi="Arial"/>
    </w:rPr>
  </w:style>
  <w:style w:type="paragraph" w:customStyle="1" w:styleId="ZDGName">
    <w:name w:val="Z_DGName"/>
    <w:basedOn w:val="Normal"/>
    <w:pPr>
      <w:spacing w:after="0"/>
      <w:ind w:right="85"/>
    </w:pPr>
    <w:rPr>
      <w:rFonts w:ascii="Arial" w:hAnsi="Arial"/>
      <w:sz w:val="16"/>
    </w:rPr>
  </w:style>
  <w:style w:type="paragraph" w:customStyle="1" w:styleId="H4">
    <w:name w:val="H4"/>
    <w:basedOn w:val="Normal"/>
    <w:next w:val="Normal"/>
    <w:pPr>
      <w:keepNext/>
      <w:widowControl w:val="0"/>
      <w:spacing w:before="100" w:after="100"/>
      <w:jc w:val="left"/>
      <w:outlineLvl w:val="4"/>
    </w:pPr>
    <w:rPr>
      <w:rFonts w:ascii="Times New Roman" w:hAnsi="Times New Roman"/>
      <w:b/>
      <w:snapToGrid w:val="0"/>
      <w:lang w:eastAsia="en-US"/>
    </w:rPr>
  </w:style>
  <w:style w:type="character" w:customStyle="1" w:styleId="HideTWBExt">
    <w:name w:val="HideTWBExt"/>
    <w:rPr>
      <w:noProof/>
      <w:vanish/>
      <w:color w:val="808080"/>
    </w:rPr>
  </w:style>
  <w:style w:type="paragraph" w:customStyle="1" w:styleId="Action">
    <w:name w:val="Action"/>
    <w:basedOn w:val="Normal"/>
    <w:pPr>
      <w:widowControl w:val="0"/>
      <w:tabs>
        <w:tab w:val="left" w:pos="357"/>
      </w:tabs>
      <w:ind w:left="357" w:hanging="357"/>
      <w:jc w:val="left"/>
    </w:pPr>
    <w:rPr>
      <w:rFonts w:ascii="Times New Roman" w:hAnsi="Times New Roman"/>
    </w:rPr>
  </w:style>
  <w:style w:type="paragraph" w:customStyle="1" w:styleId="ATHeading3">
    <w:name w:val="AT Heading 3"/>
    <w:basedOn w:val="Normal"/>
    <w:next w:val="Normal"/>
    <w:pPr>
      <w:keepNext/>
      <w:keepLines/>
      <w:spacing w:before="120" w:after="120"/>
      <w:jc w:val="left"/>
      <w:outlineLvl w:val="2"/>
    </w:pPr>
    <w:rPr>
      <w:rFonts w:ascii="Times New Roman" w:hAnsi="Times New Roman"/>
      <w:b/>
      <w:noProof/>
    </w:rPr>
  </w:style>
  <w:style w:type="character" w:customStyle="1" w:styleId="DefaultMargins">
    <w:name w:val="DefaultMargins"/>
    <w:rPr>
      <w:rFonts w:ascii="Courier New" w:hAnsi="Courier New"/>
      <w:noProof w:val="0"/>
      <w:sz w:val="20"/>
      <w:lang w:val="fr-FR"/>
    </w:rPr>
  </w:style>
  <w:style w:type="paragraph" w:customStyle="1" w:styleId="Initial">
    <w:name w:val="Initial"/>
    <w:link w:val="InitialChar"/>
    <w:pPr>
      <w:tabs>
        <w:tab w:val="left" w:pos="-720"/>
      </w:tabs>
      <w:suppressAutoHyphens/>
      <w:jc w:val="both"/>
    </w:pPr>
    <w:rPr>
      <w:spacing w:val="-3"/>
      <w:sz w:val="24"/>
    </w:rPr>
  </w:style>
  <w:style w:type="character" w:styleId="FootnoteReference">
    <w:name w:val="footnote reference"/>
    <w:aliases w:val=" BVI fnr,BVI fnr,SUPERS,Footnote symbol,Footnote,Footnote reference number,Footnote number,Footnote Reference Superscript,note TESI,EN Footnote Reference,-E Fußnotenzeichen,number Char Char,Footnote Reference Superscript Car,number,Re"/>
    <w:link w:val="ftrefCharCharCharCharCharCharCharCharChar"/>
    <w:qFormat/>
    <w:rPr>
      <w:vertAlign w:val="superscript"/>
    </w:rPr>
  </w:style>
  <w:style w:type="paragraph" w:customStyle="1" w:styleId="H3">
    <w:name w:val="H3"/>
    <w:basedOn w:val="Normal"/>
    <w:next w:val="Normal"/>
    <w:pPr>
      <w:keepNext/>
      <w:spacing w:before="100" w:after="100"/>
      <w:jc w:val="left"/>
      <w:outlineLvl w:val="3"/>
    </w:pPr>
    <w:rPr>
      <w:rFonts w:ascii="Times New Roman" w:hAnsi="Times New Roman"/>
      <w:b/>
      <w:snapToGrid w:val="0"/>
      <w:sz w:val="28"/>
      <w:lang w:eastAsia="en-US"/>
    </w:rPr>
  </w:style>
  <w:style w:type="paragraph" w:customStyle="1" w:styleId="Rfrencesproposition">
    <w:name w:val="Références proposition"/>
    <w:basedOn w:val="Titreobjet"/>
    <w:next w:val="Normal"/>
    <w:pPr>
      <w:spacing w:after="480"/>
    </w:pPr>
  </w:style>
  <w:style w:type="paragraph" w:customStyle="1" w:styleId="Titreobjet">
    <w:name w:val="Titre objet"/>
    <w:basedOn w:val="Normal"/>
    <w:next w:val="Normal"/>
    <w:pPr>
      <w:widowControl w:val="0"/>
      <w:spacing w:after="0"/>
      <w:ind w:left="1418"/>
      <w:jc w:val="left"/>
    </w:pPr>
    <w:rPr>
      <w:rFonts w:ascii="Times New Roman" w:hAnsi="Times New Roman"/>
      <w:snapToGrid w:val="0"/>
      <w:lang w:eastAsia="en-US"/>
    </w:rPr>
  </w:style>
  <w:style w:type="character" w:styleId="Hyperlink">
    <w:name w:val="Hyperlink"/>
    <w:aliases w:val="Char1"/>
    <w:qFormat/>
    <w:rPr>
      <w:color w:val="0000FF"/>
      <w:u w:val="single"/>
    </w:rPr>
  </w:style>
  <w:style w:type="character" w:styleId="Emphasis">
    <w:name w:val="Emphasis"/>
    <w:uiPriority w:val="20"/>
    <w:qFormat/>
    <w:rPr>
      <w:i/>
    </w:rPr>
  </w:style>
  <w:style w:type="character" w:customStyle="1" w:styleId="Added">
    <w:name w:val="Added"/>
    <w:rPr>
      <w:b/>
      <w:i/>
    </w:rPr>
  </w:style>
  <w:style w:type="paragraph" w:customStyle="1" w:styleId="Normal12">
    <w:name w:val="Normal 12"/>
    <w:basedOn w:val="Normal"/>
    <w:link w:val="Normal12Char"/>
    <w:rsid w:val="0027701F"/>
    <w:pPr>
      <w:tabs>
        <w:tab w:val="left" w:pos="-720"/>
      </w:tabs>
    </w:pPr>
    <w:rPr>
      <w:rFonts w:ascii="Times New Roman" w:hAnsi="Times New Roman"/>
      <w:noProof/>
    </w:rPr>
  </w:style>
  <w:style w:type="paragraph" w:customStyle="1" w:styleId="5Normal">
    <w:name w:val="5 Normal"/>
    <w:link w:val="5NormalChar"/>
    <w:qFormat/>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uppressAutoHyphens/>
      <w:spacing w:after="120"/>
      <w:jc w:val="both"/>
    </w:pPr>
    <w:rPr>
      <w:rFonts w:ascii="Arial" w:hAnsi="Arial"/>
      <w:spacing w:val="-2"/>
      <w:sz w:val="22"/>
    </w:rPr>
  </w:style>
  <w:style w:type="paragraph" w:customStyle="1" w:styleId="Dput">
    <w:name w:val="Député"/>
    <w:basedOn w:val="Titreobjet"/>
    <w:pPr>
      <w:spacing w:after="240"/>
    </w:pPr>
  </w:style>
  <w:style w:type="paragraph" w:customStyle="1" w:styleId="Commissionparlementaire">
    <w:name w:val="Commission parlementaire"/>
    <w:basedOn w:val="Titreobjet"/>
    <w:next w:val="Normal"/>
    <w:pPr>
      <w:spacing w:after="480"/>
    </w:pPr>
  </w:style>
  <w:style w:type="character" w:styleId="FollowedHyperlink">
    <w:name w:val="FollowedHyperlink"/>
    <w:rPr>
      <w:color w:val="800080"/>
      <w:u w:val="single"/>
    </w:rPr>
  </w:style>
  <w:style w:type="paragraph" w:customStyle="1" w:styleId="DefinitionList">
    <w:name w:val="Definition List"/>
    <w:basedOn w:val="Normal"/>
    <w:next w:val="Normal"/>
    <w:pPr>
      <w:spacing w:after="0"/>
      <w:ind w:left="360"/>
      <w:jc w:val="left"/>
    </w:pPr>
    <w:rPr>
      <w:rFonts w:ascii="Times New Roman" w:hAnsi="Times New Roman"/>
      <w:snapToGrid w:val="0"/>
      <w:lang w:eastAsia="en-US"/>
    </w:rPr>
  </w:style>
  <w:style w:type="paragraph" w:customStyle="1" w:styleId="Visa">
    <w:name w:val="Visa"/>
    <w:basedOn w:val="Normal"/>
    <w:pPr>
      <w:widowControl w:val="0"/>
      <w:tabs>
        <w:tab w:val="left" w:pos="357"/>
      </w:tabs>
      <w:ind w:left="357" w:hanging="357"/>
      <w:jc w:val="left"/>
    </w:pPr>
    <w:rPr>
      <w:rFonts w:ascii="Times New Roman" w:hAnsi="Times New Roman"/>
      <w:snapToGrid w:val="0"/>
    </w:rPr>
  </w:style>
  <w:style w:type="paragraph" w:customStyle="1" w:styleId="PagereglementairetextePR">
    <w:name w:val="Page reglementaire texte PR"/>
    <w:basedOn w:val="Normal"/>
    <w:pPr>
      <w:widowControl w:val="0"/>
      <w:jc w:val="left"/>
    </w:pPr>
    <w:rPr>
      <w:rFonts w:ascii="Times New Roman" w:hAnsi="Times New Roman"/>
      <w:snapToGrid w:val="0"/>
      <w:lang w:eastAsia="en-US"/>
    </w:rPr>
  </w:style>
  <w:style w:type="paragraph" w:customStyle="1" w:styleId="H2">
    <w:name w:val="H2"/>
    <w:basedOn w:val="Normal"/>
    <w:next w:val="Normal"/>
    <w:pPr>
      <w:keepNext/>
      <w:spacing w:before="100" w:after="100"/>
      <w:jc w:val="left"/>
      <w:outlineLvl w:val="2"/>
    </w:pPr>
    <w:rPr>
      <w:rFonts w:ascii="Times New Roman" w:hAnsi="Times New Roman"/>
      <w:b/>
      <w:snapToGrid w:val="0"/>
      <w:sz w:val="36"/>
      <w:lang w:eastAsia="en-US"/>
    </w:rPr>
  </w:style>
  <w:style w:type="paragraph" w:customStyle="1" w:styleId="Rfrenceinstitutionelle">
    <w:name w:val="Référence institutionelle"/>
    <w:basedOn w:val="Normal"/>
    <w:next w:val="Normal"/>
    <w:pPr>
      <w:ind w:left="5103"/>
      <w:jc w:val="left"/>
    </w:pPr>
    <w:rPr>
      <w:rFonts w:ascii="Times New Roman" w:hAnsi="Times New Roman"/>
    </w:rPr>
  </w:style>
  <w:style w:type="character" w:styleId="CommentReference">
    <w:name w:val="annotation reference"/>
    <w:uiPriority w:val="99"/>
    <w:rPr>
      <w:sz w:val="16"/>
    </w:rPr>
  </w:style>
  <w:style w:type="paragraph" w:customStyle="1" w:styleId="Tiret1">
    <w:name w:val="Tiret 1"/>
    <w:basedOn w:val="Normal"/>
    <w:pPr>
      <w:spacing w:before="120" w:after="120"/>
      <w:ind w:left="1418" w:hanging="567"/>
    </w:pPr>
    <w:rPr>
      <w:rFonts w:ascii="Times New Roman" w:hAnsi="Times New Roman"/>
    </w:rPr>
  </w:style>
  <w:style w:type="character" w:styleId="Strong">
    <w:name w:val="Strong"/>
    <w:uiPriority w:val="22"/>
    <w:qFormat/>
    <w:rPr>
      <w:b/>
    </w:rPr>
  </w:style>
  <w:style w:type="character" w:customStyle="1" w:styleId="Deleted">
    <w:name w:val="Deleted"/>
    <w:rPr>
      <w:b/>
      <w:i/>
    </w:rPr>
  </w:style>
  <w:style w:type="character" w:customStyle="1" w:styleId="HideTWBInt">
    <w:name w:val="HideTWBInt"/>
    <w:rsid w:val="00671028"/>
    <w:rPr>
      <w:vanish/>
      <w:color w:val="808080"/>
    </w:rPr>
  </w:style>
  <w:style w:type="paragraph" w:styleId="NormalWeb">
    <w:name w:val="Normal (Web)"/>
    <w:aliases w:val=" webb,webb"/>
    <w:basedOn w:val="Normal"/>
    <w:link w:val="NormalWebChar1"/>
    <w:uiPriority w:val="99"/>
    <w:rsid w:val="00863DF7"/>
    <w:pPr>
      <w:spacing w:before="100" w:beforeAutospacing="1" w:after="100" w:afterAutospacing="1"/>
      <w:jc w:val="left"/>
    </w:pPr>
    <w:rPr>
      <w:rFonts w:ascii="Times New Roman" w:hAnsi="Times New Roman"/>
      <w:szCs w:val="24"/>
    </w:rPr>
  </w:style>
  <w:style w:type="character" w:customStyle="1" w:styleId="ListDashChar">
    <w:name w:val="List Dash Char"/>
    <w:link w:val="ListDash"/>
    <w:rsid w:val="0008216A"/>
    <w:rPr>
      <w:rFonts w:ascii="Courier New" w:hAnsi="Courier New"/>
      <w:sz w:val="24"/>
    </w:rPr>
  </w:style>
  <w:style w:type="character" w:customStyle="1" w:styleId="exergue">
    <w:name w:val="exergue"/>
    <w:basedOn w:val="DefaultParagraphFont"/>
    <w:rsid w:val="005E526A"/>
  </w:style>
  <w:style w:type="paragraph" w:customStyle="1" w:styleId="textmain">
    <w:name w:val="textmain"/>
    <w:basedOn w:val="Normal"/>
    <w:rsid w:val="005E2CA4"/>
    <w:pPr>
      <w:spacing w:before="100" w:beforeAutospacing="1" w:after="100" w:afterAutospacing="1"/>
      <w:jc w:val="left"/>
    </w:pPr>
    <w:rPr>
      <w:rFonts w:ascii="Times New Roman" w:hAnsi="Times New Roman"/>
      <w:szCs w:val="24"/>
      <w:lang w:eastAsia="ko-KR"/>
    </w:rPr>
  </w:style>
  <w:style w:type="paragraph" w:customStyle="1" w:styleId="Normal12Tab">
    <w:name w:val="Normal12Tab"/>
    <w:basedOn w:val="Normal"/>
    <w:rsid w:val="00AA6DD4"/>
    <w:pPr>
      <w:widowControl w:val="0"/>
      <w:tabs>
        <w:tab w:val="left" w:pos="357"/>
      </w:tabs>
      <w:jc w:val="left"/>
    </w:pPr>
    <w:rPr>
      <w:rFonts w:ascii="Times New Roman" w:hAnsi="Times New Roman"/>
      <w:lang w:eastAsia="en-US"/>
    </w:rPr>
  </w:style>
  <w:style w:type="paragraph" w:customStyle="1" w:styleId="PageHeading">
    <w:name w:val="PageHeading"/>
    <w:basedOn w:val="Normal"/>
    <w:rsid w:val="00A52A26"/>
    <w:pPr>
      <w:keepNext/>
      <w:widowControl w:val="0"/>
      <w:spacing w:before="240"/>
      <w:jc w:val="center"/>
    </w:pPr>
    <w:rPr>
      <w:rFonts w:ascii="Arial" w:hAnsi="Arial"/>
      <w:b/>
    </w:rPr>
  </w:style>
  <w:style w:type="paragraph" w:customStyle="1" w:styleId="Normal12Bold">
    <w:name w:val="Normal12Bold"/>
    <w:basedOn w:val="Normal"/>
    <w:rsid w:val="00A52A26"/>
    <w:pPr>
      <w:widowControl w:val="0"/>
      <w:jc w:val="left"/>
    </w:pPr>
    <w:rPr>
      <w:rFonts w:ascii="Times New Roman" w:hAnsi="Times New Roman"/>
      <w:b/>
    </w:rPr>
  </w:style>
  <w:style w:type="paragraph" w:customStyle="1" w:styleId="Normal1">
    <w:name w:val="Normal1"/>
    <w:link w:val="NORMALChar"/>
    <w:rsid w:val="00A52A26"/>
    <w:rPr>
      <w:lang w:eastAsia="en-US"/>
    </w:rPr>
  </w:style>
  <w:style w:type="character" w:customStyle="1" w:styleId="titretable">
    <w:name w:val="titretable"/>
    <w:basedOn w:val="DefaultParagraphFont"/>
    <w:rsid w:val="00776DA5"/>
  </w:style>
  <w:style w:type="paragraph" w:customStyle="1" w:styleId="Normal12Hanging">
    <w:name w:val="Normal12Hanging"/>
    <w:basedOn w:val="Normal"/>
    <w:link w:val="Normal12HangingChar"/>
    <w:rsid w:val="00776DA5"/>
    <w:pPr>
      <w:widowControl w:val="0"/>
      <w:ind w:left="357" w:hanging="357"/>
      <w:jc w:val="left"/>
    </w:pPr>
    <w:rPr>
      <w:rFonts w:ascii="Times New Roman" w:hAnsi="Times New Roman"/>
    </w:rPr>
  </w:style>
  <w:style w:type="paragraph" w:customStyle="1" w:styleId="Normal120">
    <w:name w:val="Normal12"/>
    <w:basedOn w:val="Normal"/>
    <w:link w:val="Normal12Char0"/>
    <w:rsid w:val="0087007B"/>
    <w:pPr>
      <w:widowControl w:val="0"/>
      <w:jc w:val="left"/>
    </w:pPr>
    <w:rPr>
      <w:rFonts w:ascii="Times New Roman" w:hAnsi="Times New Roman"/>
      <w:szCs w:val="24"/>
    </w:rPr>
  </w:style>
  <w:style w:type="table" w:styleId="TableGrid">
    <w:name w:val="Table Grid"/>
    <w:basedOn w:val="TableNormal"/>
    <w:uiPriority w:val="39"/>
    <w:rsid w:val="0087007B"/>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DB39D1"/>
  </w:style>
  <w:style w:type="paragraph" w:customStyle="1" w:styleId="Typedudocument">
    <w:name w:val="Type du document"/>
    <w:basedOn w:val="Normal"/>
    <w:next w:val="Normal"/>
    <w:rsid w:val="00ED3B96"/>
    <w:pPr>
      <w:spacing w:before="360" w:after="0"/>
      <w:jc w:val="center"/>
    </w:pPr>
    <w:rPr>
      <w:rFonts w:ascii="Times New Roman" w:hAnsi="Times New Roman"/>
      <w:b/>
      <w:snapToGrid w:val="0"/>
      <w:lang w:eastAsia="en-US"/>
    </w:rPr>
  </w:style>
  <w:style w:type="character" w:customStyle="1" w:styleId="Normal12Char">
    <w:name w:val="Normal 12 Char"/>
    <w:link w:val="Normal12"/>
    <w:rsid w:val="0027701F"/>
    <w:rPr>
      <w:noProof/>
      <w:sz w:val="24"/>
      <w:lang w:val="fr-FR" w:eastAsia="en-GB" w:bidi="ar-SA"/>
    </w:rPr>
  </w:style>
  <w:style w:type="character" w:customStyle="1" w:styleId="msoins0">
    <w:name w:val="msoins"/>
    <w:rsid w:val="005513E0"/>
    <w:rPr>
      <w:color w:val="008080"/>
      <w:u w:val="single"/>
    </w:rPr>
  </w:style>
  <w:style w:type="paragraph" w:customStyle="1" w:styleId="NumPar1Char">
    <w:name w:val="NumPar 1 Char"/>
    <w:basedOn w:val="Normal"/>
    <w:next w:val="Normal"/>
    <w:link w:val="NumPar1CharChar"/>
    <w:rsid w:val="003F62ED"/>
    <w:pPr>
      <w:numPr>
        <w:numId w:val="18"/>
      </w:numPr>
      <w:tabs>
        <w:tab w:val="num" w:pos="1134"/>
      </w:tabs>
      <w:spacing w:before="120" w:after="120"/>
      <w:ind w:left="1134"/>
    </w:pPr>
    <w:rPr>
      <w:szCs w:val="24"/>
    </w:rPr>
  </w:style>
  <w:style w:type="character" w:customStyle="1" w:styleId="NumPar1CharChar">
    <w:name w:val="NumPar 1 Char Char"/>
    <w:link w:val="NumPar1Char"/>
    <w:rsid w:val="003F62ED"/>
    <w:rPr>
      <w:rFonts w:ascii="Courier New" w:hAnsi="Courier New"/>
      <w:sz w:val="24"/>
      <w:szCs w:val="24"/>
    </w:rPr>
  </w:style>
  <w:style w:type="paragraph" w:customStyle="1" w:styleId="Contact">
    <w:name w:val="Contact"/>
    <w:basedOn w:val="Normal"/>
    <w:next w:val="Enclosures"/>
    <w:rsid w:val="00FA6446"/>
    <w:pPr>
      <w:spacing w:before="480" w:after="0"/>
      <w:ind w:left="567" w:hanging="567"/>
      <w:jc w:val="left"/>
    </w:pPr>
    <w:rPr>
      <w:rFonts w:ascii="Times New Roman" w:hAnsi="Times New Roman"/>
      <w:lang w:eastAsia="en-US"/>
    </w:rPr>
  </w:style>
  <w:style w:type="paragraph" w:customStyle="1" w:styleId="NormalBold">
    <w:name w:val="NormalBold"/>
    <w:basedOn w:val="Normal"/>
    <w:link w:val="NormalBoldChar"/>
    <w:rsid w:val="00960559"/>
    <w:pPr>
      <w:widowControl w:val="0"/>
      <w:spacing w:after="0"/>
      <w:jc w:val="left"/>
    </w:pPr>
    <w:rPr>
      <w:rFonts w:ascii="Times New Roman" w:hAnsi="Times New Roman"/>
      <w:b/>
    </w:rPr>
  </w:style>
  <w:style w:type="character" w:customStyle="1" w:styleId="NormalBoldChar">
    <w:name w:val="NormalBold Char"/>
    <w:link w:val="NormalBold"/>
    <w:rsid w:val="001D670F"/>
    <w:rPr>
      <w:b/>
      <w:sz w:val="24"/>
      <w:lang w:val="fr-FR" w:eastAsia="en-GB" w:bidi="ar-SA"/>
    </w:rPr>
  </w:style>
  <w:style w:type="character" w:customStyle="1" w:styleId="subtitletable">
    <w:name w:val="subtitletable"/>
    <w:basedOn w:val="DefaultParagraphFont"/>
    <w:rsid w:val="00A66005"/>
  </w:style>
  <w:style w:type="character" w:customStyle="1" w:styleId="midtitletable">
    <w:name w:val="midtitletable"/>
    <w:basedOn w:val="DefaultParagraphFont"/>
    <w:rsid w:val="00031CA2"/>
  </w:style>
  <w:style w:type="paragraph" w:styleId="BalloonText">
    <w:name w:val="Balloon Text"/>
    <w:basedOn w:val="Normal"/>
    <w:link w:val="BalloonTextChar"/>
    <w:semiHidden/>
    <w:rsid w:val="004D3FDF"/>
    <w:rPr>
      <w:rFonts w:ascii="Tahoma" w:hAnsi="Tahoma" w:cs="Tahoma"/>
      <w:sz w:val="16"/>
      <w:szCs w:val="16"/>
    </w:rPr>
  </w:style>
  <w:style w:type="character" w:customStyle="1" w:styleId="NORMALChar">
    <w:name w:val="NORMAL Char"/>
    <w:link w:val="Normal1"/>
    <w:rsid w:val="001F57FF"/>
    <w:rPr>
      <w:lang w:val="fr-FR" w:eastAsia="en-US" w:bidi="ar-SA"/>
    </w:rPr>
  </w:style>
  <w:style w:type="paragraph" w:customStyle="1" w:styleId="Olang">
    <w:name w:val="Olang"/>
    <w:basedOn w:val="Normal"/>
    <w:rsid w:val="00CD3544"/>
    <w:pPr>
      <w:widowControl w:val="0"/>
      <w:spacing w:before="240"/>
      <w:jc w:val="right"/>
    </w:pPr>
    <w:rPr>
      <w:rFonts w:ascii="Times New Roman" w:hAnsi="Times New Roman"/>
    </w:rPr>
  </w:style>
  <w:style w:type="character" w:customStyle="1" w:styleId="NormalWebChar1">
    <w:name w:val="Normal (Web) Char1"/>
    <w:aliases w:val=" webb Char,webb Char1"/>
    <w:link w:val="NormalWeb"/>
    <w:rsid w:val="00CD3544"/>
    <w:rPr>
      <w:sz w:val="24"/>
      <w:szCs w:val="24"/>
      <w:lang w:val="fr-FR" w:eastAsia="en-GB" w:bidi="ar-SA"/>
    </w:rPr>
  </w:style>
  <w:style w:type="character" w:customStyle="1" w:styleId="italic">
    <w:name w:val="italic"/>
    <w:basedOn w:val="DefaultParagraphFont"/>
    <w:rsid w:val="006334FA"/>
  </w:style>
  <w:style w:type="character" w:customStyle="1" w:styleId="italic1">
    <w:name w:val="italic1"/>
    <w:rsid w:val="006334FA"/>
    <w:rPr>
      <w:i/>
      <w:iCs/>
    </w:rPr>
  </w:style>
  <w:style w:type="paragraph" w:customStyle="1" w:styleId="text">
    <w:name w:val="text"/>
    <w:basedOn w:val="Normal"/>
    <w:rsid w:val="006334FA"/>
    <w:pPr>
      <w:spacing w:before="100" w:beforeAutospacing="1" w:after="100" w:afterAutospacing="1"/>
      <w:jc w:val="left"/>
    </w:pPr>
    <w:rPr>
      <w:rFonts w:ascii="Arial" w:hAnsi="Arial" w:cs="Arial"/>
      <w:color w:val="000080"/>
      <w:szCs w:val="24"/>
    </w:rPr>
  </w:style>
  <w:style w:type="paragraph" w:customStyle="1" w:styleId="ManualNumPar1">
    <w:name w:val="Manual NumPar 1"/>
    <w:basedOn w:val="Normal"/>
    <w:next w:val="Normal"/>
    <w:rsid w:val="00C629C6"/>
    <w:pPr>
      <w:spacing w:before="120" w:after="120"/>
      <w:ind w:left="850" w:hanging="850"/>
    </w:pPr>
    <w:rPr>
      <w:rFonts w:ascii="Times New Roman" w:hAnsi="Times New Roman"/>
    </w:rPr>
  </w:style>
  <w:style w:type="character" w:customStyle="1" w:styleId="contents">
    <w:name w:val="contents"/>
    <w:basedOn w:val="DefaultParagraphFont"/>
    <w:rsid w:val="004F3B17"/>
  </w:style>
  <w:style w:type="paragraph" w:customStyle="1" w:styleId="CharChar2CharCharCharCharCharCharCharCharCharChar">
    <w:name w:val="Char Char2 Char Char Char Char Char Char Char Char Char Char"/>
    <w:basedOn w:val="Normal"/>
    <w:rsid w:val="00887CAB"/>
    <w:pPr>
      <w:spacing w:after="160" w:line="240" w:lineRule="exact"/>
      <w:jc w:val="left"/>
    </w:pPr>
    <w:rPr>
      <w:rFonts w:ascii="Tahoma" w:hAnsi="Tahoma"/>
      <w:sz w:val="20"/>
      <w:lang w:eastAsia="en-US"/>
    </w:rPr>
  </w:style>
  <w:style w:type="character" w:customStyle="1" w:styleId="defaultmargins0">
    <w:name w:val="defaultmargins"/>
    <w:rsid w:val="00ED1686"/>
    <w:rPr>
      <w:rFonts w:ascii="Courier New" w:hAnsi="Courier New" w:cs="Courier New" w:hint="default"/>
    </w:rPr>
  </w:style>
  <w:style w:type="paragraph" w:customStyle="1" w:styleId="Cover12">
    <w:name w:val="Cover12"/>
    <w:basedOn w:val="Normal"/>
    <w:rsid w:val="00B72965"/>
    <w:pPr>
      <w:widowControl w:val="0"/>
      <w:ind w:left="1418"/>
      <w:jc w:val="left"/>
    </w:pPr>
    <w:rPr>
      <w:rFonts w:ascii="Times New Roman" w:hAnsi="Times New Roman"/>
    </w:rPr>
  </w:style>
  <w:style w:type="paragraph" w:customStyle="1" w:styleId="CharChar1">
    <w:name w:val="Char Char1"/>
    <w:basedOn w:val="Normal"/>
    <w:rsid w:val="009E2FF2"/>
    <w:pPr>
      <w:spacing w:after="160" w:line="240" w:lineRule="exact"/>
      <w:jc w:val="left"/>
    </w:pPr>
    <w:rPr>
      <w:rFonts w:ascii="Tahoma" w:hAnsi="Tahoma"/>
      <w:sz w:val="20"/>
      <w:lang w:eastAsia="en-US"/>
    </w:rPr>
  </w:style>
  <w:style w:type="paragraph" w:customStyle="1" w:styleId="normal12hanging0">
    <w:name w:val="normal12hanging"/>
    <w:basedOn w:val="Normal"/>
    <w:rsid w:val="00E709A0"/>
    <w:pPr>
      <w:ind w:left="357" w:hanging="357"/>
      <w:jc w:val="left"/>
    </w:pPr>
    <w:rPr>
      <w:rFonts w:ascii="Times New Roman" w:hAnsi="Times New Roman"/>
      <w:szCs w:val="24"/>
      <w:lang w:eastAsia="en-US"/>
    </w:rPr>
  </w:style>
  <w:style w:type="paragraph" w:customStyle="1" w:styleId="CharCharChar">
    <w:name w:val="Char Char Char"/>
    <w:basedOn w:val="Normal"/>
    <w:next w:val="Normal"/>
    <w:rsid w:val="00E709A0"/>
    <w:pPr>
      <w:spacing w:after="160" w:line="240" w:lineRule="exact"/>
      <w:jc w:val="left"/>
    </w:pPr>
    <w:rPr>
      <w:rFonts w:ascii="Tahoma" w:hAnsi="Tahoma"/>
      <w:lang w:eastAsia="en-US"/>
    </w:rPr>
  </w:style>
  <w:style w:type="paragraph" w:customStyle="1" w:styleId="CharCharChar1">
    <w:name w:val="Char Char Char1"/>
    <w:basedOn w:val="Normal"/>
    <w:uiPriority w:val="99"/>
    <w:rsid w:val="0092510C"/>
    <w:pPr>
      <w:spacing w:after="160" w:line="240" w:lineRule="exact"/>
      <w:jc w:val="left"/>
    </w:pPr>
    <w:rPr>
      <w:rFonts w:ascii="Tahoma" w:hAnsi="Tahoma"/>
      <w:sz w:val="20"/>
      <w:lang w:eastAsia="en-US"/>
    </w:rPr>
  </w:style>
  <w:style w:type="character" w:customStyle="1" w:styleId="Normal12Char0">
    <w:name w:val="Normal12 Char"/>
    <w:link w:val="Normal120"/>
    <w:rsid w:val="008D0782"/>
    <w:rPr>
      <w:sz w:val="24"/>
      <w:szCs w:val="24"/>
      <w:lang w:val="fr-FR" w:eastAsia="en-GB" w:bidi="ar-SA"/>
    </w:rPr>
  </w:style>
  <w:style w:type="paragraph" w:customStyle="1" w:styleId="CoverNormalRC">
    <w:name w:val="CoverNormalRC"/>
    <w:basedOn w:val="Normal"/>
    <w:rsid w:val="00502387"/>
    <w:pPr>
      <w:widowControl w:val="0"/>
      <w:tabs>
        <w:tab w:val="left" w:pos="1701"/>
      </w:tabs>
      <w:spacing w:after="0"/>
      <w:ind w:left="1418"/>
      <w:jc w:val="left"/>
    </w:pPr>
    <w:rPr>
      <w:rFonts w:ascii="Times New Roman" w:hAnsi="Times New Roman"/>
    </w:rPr>
  </w:style>
  <w:style w:type="paragraph" w:customStyle="1" w:styleId="CharCarCarChar">
    <w:name w:val="Char Car Car Char"/>
    <w:basedOn w:val="Normal"/>
    <w:next w:val="Normal"/>
    <w:rsid w:val="0028727C"/>
    <w:pPr>
      <w:spacing w:after="160" w:line="240" w:lineRule="exact"/>
      <w:jc w:val="left"/>
    </w:pPr>
    <w:rPr>
      <w:rFonts w:ascii="Tahoma" w:hAnsi="Tahoma" w:cs="Tahoma"/>
      <w:szCs w:val="24"/>
      <w:lang w:eastAsia="en-US"/>
    </w:rPr>
  </w:style>
  <w:style w:type="paragraph" w:customStyle="1" w:styleId="Char11">
    <w:name w:val="Char11"/>
    <w:basedOn w:val="Normal"/>
    <w:rsid w:val="00F47B73"/>
    <w:pPr>
      <w:spacing w:after="160" w:line="240" w:lineRule="exact"/>
      <w:jc w:val="left"/>
    </w:pPr>
    <w:rPr>
      <w:rFonts w:ascii="Tahoma" w:hAnsi="Tahoma"/>
      <w:sz w:val="20"/>
      <w:lang w:eastAsia="en-US"/>
    </w:rPr>
  </w:style>
  <w:style w:type="paragraph" w:customStyle="1" w:styleId="Char">
    <w:name w:val="Char"/>
    <w:basedOn w:val="Normal"/>
    <w:rsid w:val="00124A7A"/>
    <w:pPr>
      <w:spacing w:after="160" w:line="240" w:lineRule="exact"/>
      <w:jc w:val="left"/>
    </w:pPr>
    <w:rPr>
      <w:rFonts w:ascii="Tahoma" w:hAnsi="Tahoma"/>
      <w:sz w:val="20"/>
      <w:lang w:eastAsia="en-US"/>
    </w:rPr>
  </w:style>
  <w:style w:type="character" w:customStyle="1" w:styleId="bold">
    <w:name w:val="bold"/>
    <w:basedOn w:val="DefaultParagraphFont"/>
    <w:rsid w:val="005B5CB2"/>
  </w:style>
  <w:style w:type="paragraph" w:customStyle="1" w:styleId="CoverNormal">
    <w:name w:val="CoverNormal"/>
    <w:basedOn w:val="Normal"/>
    <w:rsid w:val="00EA16CF"/>
    <w:pPr>
      <w:widowControl w:val="0"/>
      <w:spacing w:after="0"/>
      <w:ind w:left="1418"/>
      <w:jc w:val="left"/>
    </w:pPr>
    <w:rPr>
      <w:rFonts w:ascii="Times New Roman" w:hAnsi="Times New Roman"/>
    </w:rPr>
  </w:style>
  <w:style w:type="paragraph" w:styleId="CommentSubject">
    <w:name w:val="annotation subject"/>
    <w:aliases w:val=" Char Char Char Char Char"/>
    <w:basedOn w:val="CommentText"/>
    <w:next w:val="CommentText"/>
    <w:link w:val="CommentSubjectChar"/>
    <w:semiHidden/>
    <w:rsid w:val="00EA16CF"/>
    <w:pPr>
      <w:spacing w:before="120" w:after="120"/>
    </w:pPr>
    <w:rPr>
      <w:rFonts w:ascii="Times New Roman" w:hAnsi="Times New Roman"/>
      <w:b/>
      <w:bCs/>
      <w:snapToGrid w:val="0"/>
    </w:rPr>
  </w:style>
  <w:style w:type="character" w:customStyle="1" w:styleId="ListBulletChar1">
    <w:name w:val="List Bullet Char1"/>
    <w:link w:val="ListBullet"/>
    <w:rsid w:val="00EA16CF"/>
    <w:rPr>
      <w:rFonts w:ascii="Courier New" w:hAnsi="Courier New"/>
      <w:sz w:val="24"/>
    </w:rPr>
  </w:style>
  <w:style w:type="character" w:customStyle="1" w:styleId="contents1">
    <w:name w:val="contents1"/>
    <w:rsid w:val="00EA16CF"/>
    <w:rPr>
      <w:rFonts w:ascii="Arial" w:hAnsi="Arial" w:cs="Arial" w:hint="default"/>
      <w:b w:val="0"/>
      <w:bCs w:val="0"/>
      <w:color w:val="666666"/>
      <w:sz w:val="18"/>
      <w:szCs w:val="18"/>
    </w:rPr>
  </w:style>
  <w:style w:type="paragraph" w:customStyle="1" w:styleId="CharChar1Char">
    <w:name w:val="Char Char1 Char"/>
    <w:basedOn w:val="Normal"/>
    <w:rsid w:val="00476BB5"/>
    <w:pPr>
      <w:spacing w:after="160" w:line="240" w:lineRule="exact"/>
      <w:jc w:val="left"/>
    </w:pPr>
    <w:rPr>
      <w:rFonts w:ascii="Tahoma" w:hAnsi="Tahoma"/>
      <w:sz w:val="20"/>
      <w:lang w:eastAsia="en-US"/>
    </w:rPr>
  </w:style>
  <w:style w:type="character" w:customStyle="1" w:styleId="FootnoteTextChar2">
    <w:name w:val="Footnote Text Char2"/>
    <w:aliases w:val="Footnote Text Char Char1,Footnote Text Char1 Char Char,Footnote Text Char Char Char Char,Fußnotentext Char Char1 Char Char Char,Fußnotentext Char1 Char1 Char Char Char Char,Fußnotentext Char Char Char Char Char Char Char1 Char"/>
    <w:link w:val="FootnoteText"/>
    <w:qFormat/>
    <w:rsid w:val="00103DE9"/>
    <w:rPr>
      <w:rFonts w:ascii="Courier New" w:hAnsi="Courier New"/>
      <w:lang w:val="fr-FR" w:eastAsia="en-GB" w:bidi="ar-SA"/>
    </w:rPr>
  </w:style>
  <w:style w:type="paragraph" w:customStyle="1" w:styleId="CharChar2CharCharCharCharCharCharChar">
    <w:name w:val="Char Char2 Char Char Char Char Char Char Char"/>
    <w:basedOn w:val="Normal"/>
    <w:rsid w:val="00FE32E0"/>
    <w:pPr>
      <w:spacing w:after="160" w:line="240" w:lineRule="exact"/>
      <w:jc w:val="left"/>
    </w:pPr>
    <w:rPr>
      <w:rFonts w:ascii="Tahoma" w:hAnsi="Tahoma"/>
      <w:sz w:val="20"/>
      <w:lang w:eastAsia="en-US"/>
    </w:rPr>
  </w:style>
  <w:style w:type="character" w:customStyle="1" w:styleId="Text1Char">
    <w:name w:val="Text 1 Char"/>
    <w:link w:val="Text1"/>
    <w:rsid w:val="001B76B5"/>
    <w:rPr>
      <w:rFonts w:ascii="Courier New" w:hAnsi="Courier New"/>
      <w:sz w:val="24"/>
      <w:lang w:val="fr-FR" w:eastAsia="en-GB" w:bidi="ar-SA"/>
    </w:rPr>
  </w:style>
  <w:style w:type="character" w:customStyle="1" w:styleId="bold1">
    <w:name w:val="bold1"/>
    <w:rsid w:val="00236008"/>
    <w:rPr>
      <w:b/>
      <w:bCs/>
    </w:rPr>
  </w:style>
  <w:style w:type="character" w:customStyle="1" w:styleId="ListChar">
    <w:name w:val="List Char"/>
    <w:link w:val="List"/>
    <w:rsid w:val="009E216E"/>
    <w:rPr>
      <w:rFonts w:ascii="Courier New" w:hAnsi="Courier New"/>
      <w:sz w:val="24"/>
      <w:lang w:val="fr-FR" w:eastAsia="en-GB" w:bidi="ar-SA"/>
    </w:rPr>
  </w:style>
  <w:style w:type="character" w:customStyle="1" w:styleId="sup1">
    <w:name w:val="sup1"/>
    <w:rsid w:val="009E216E"/>
    <w:rPr>
      <w:sz w:val="19"/>
      <w:szCs w:val="19"/>
      <w:vertAlign w:val="superscript"/>
    </w:rPr>
  </w:style>
  <w:style w:type="character" w:customStyle="1" w:styleId="Heading1Char1">
    <w:name w:val="Heading 1 Char1"/>
    <w:aliases w:val="Heading 1 Char Char Char Char Char Char Char Char Char Char Char Char Char Char Char"/>
    <w:link w:val="Heading1"/>
    <w:rsid w:val="009E216E"/>
    <w:rPr>
      <w:rFonts w:ascii="Courier New" w:hAnsi="Courier New"/>
      <w:b/>
      <w:smallCaps/>
      <w:sz w:val="24"/>
    </w:rPr>
  </w:style>
  <w:style w:type="paragraph" w:customStyle="1" w:styleId="Statut">
    <w:name w:val="Statut"/>
    <w:basedOn w:val="Normal"/>
    <w:next w:val="Normal"/>
    <w:rsid w:val="00FE35A4"/>
    <w:pPr>
      <w:spacing w:before="360" w:after="0"/>
      <w:jc w:val="center"/>
    </w:pPr>
    <w:rPr>
      <w:rFonts w:ascii="Times New Roman" w:hAnsi="Times New Roman"/>
      <w:lang w:eastAsia="en-US"/>
    </w:rPr>
  </w:style>
  <w:style w:type="paragraph" w:customStyle="1" w:styleId="CharCharCharCharCharCharCharCharChar">
    <w:name w:val="Char Char Char Char Char Char Char Char Char"/>
    <w:aliases w:val=" Char Char Char Char Char Char Char Char Char Char Char Char"/>
    <w:basedOn w:val="Normal"/>
    <w:next w:val="Normal"/>
    <w:rsid w:val="00FE35A4"/>
    <w:pPr>
      <w:spacing w:after="160" w:line="240" w:lineRule="exact"/>
      <w:jc w:val="left"/>
    </w:pPr>
    <w:rPr>
      <w:rFonts w:ascii="Tahoma" w:hAnsi="Tahoma"/>
      <w:lang w:eastAsia="en-US"/>
    </w:rPr>
  </w:style>
  <w:style w:type="character" w:customStyle="1" w:styleId="Marker">
    <w:name w:val="Marker"/>
    <w:rsid w:val="00FE35A4"/>
    <w:rPr>
      <w:color w:val="0000FF"/>
      <w:lang w:val="fr-FR"/>
    </w:rPr>
  </w:style>
  <w:style w:type="paragraph" w:customStyle="1" w:styleId="CarChar">
    <w:name w:val="Car Char"/>
    <w:basedOn w:val="Normal"/>
    <w:rsid w:val="00573DC5"/>
    <w:pPr>
      <w:spacing w:after="160" w:line="240" w:lineRule="exact"/>
      <w:jc w:val="left"/>
    </w:pPr>
    <w:rPr>
      <w:rFonts w:ascii="Tahoma" w:hAnsi="Tahoma"/>
      <w:sz w:val="20"/>
      <w:lang w:eastAsia="en-US"/>
    </w:rPr>
  </w:style>
  <w:style w:type="paragraph" w:customStyle="1" w:styleId="Car">
    <w:name w:val="Car"/>
    <w:basedOn w:val="Normal"/>
    <w:rsid w:val="00F02465"/>
    <w:pPr>
      <w:spacing w:after="160" w:line="240" w:lineRule="exact"/>
      <w:jc w:val="left"/>
    </w:pPr>
    <w:rPr>
      <w:rFonts w:ascii="Arial" w:hAnsi="Arial" w:cs="Arial"/>
      <w:sz w:val="28"/>
      <w:szCs w:val="28"/>
      <w:lang w:eastAsia="en-US"/>
    </w:rPr>
  </w:style>
  <w:style w:type="character" w:customStyle="1" w:styleId="ringrefselectedheader">
    <w:name w:val="ring_ref_selected_header"/>
    <w:basedOn w:val="DefaultParagraphFont"/>
    <w:rsid w:val="006D74E0"/>
  </w:style>
  <w:style w:type="character" w:customStyle="1" w:styleId="Normal12HangingChar">
    <w:name w:val="Normal12Hanging Char"/>
    <w:link w:val="Normal12Hanging"/>
    <w:rsid w:val="00990461"/>
    <w:rPr>
      <w:sz w:val="24"/>
      <w:lang w:val="fr-FR" w:eastAsia="en-GB" w:bidi="ar-SA"/>
    </w:rPr>
  </w:style>
  <w:style w:type="character" w:customStyle="1" w:styleId="fnChar">
    <w:name w:val="fn Char"/>
    <w:aliases w:val="Footnote Char,Voetnoottekst Char Char,Voetnoottekst Char1 Char,Voetnoottekst Char2 Char Char Char,Voetnoottekst Char Char1 Char Char Char,Podrozdział Char,Podrozdzia3 Char,Footnote text Char,Schriftart: 9 pt Char,Schriftart: 10 pt Char,Char Char"/>
    <w:qFormat/>
    <w:rsid w:val="00990461"/>
    <w:rPr>
      <w:lang w:val="fr-FR" w:eastAsia="fr-FR" w:bidi="ar-SA"/>
    </w:rPr>
  </w:style>
  <w:style w:type="paragraph" w:customStyle="1" w:styleId="Default">
    <w:name w:val="Default"/>
    <w:rsid w:val="00990461"/>
    <w:pPr>
      <w:autoSpaceDE w:val="0"/>
      <w:autoSpaceDN w:val="0"/>
      <w:adjustRightInd w:val="0"/>
    </w:pPr>
    <w:rPr>
      <w:color w:val="000000"/>
      <w:sz w:val="24"/>
      <w:szCs w:val="24"/>
      <w:lang w:eastAsia="fr-FR"/>
    </w:rPr>
  </w:style>
  <w:style w:type="paragraph" w:customStyle="1" w:styleId="Hanging12">
    <w:name w:val="Hanging12"/>
    <w:basedOn w:val="Normal"/>
    <w:link w:val="Hanging12Char"/>
    <w:rsid w:val="00253F7D"/>
    <w:pPr>
      <w:widowControl w:val="0"/>
      <w:tabs>
        <w:tab w:val="left" w:pos="357"/>
      </w:tabs>
      <w:ind w:left="357" w:hanging="357"/>
      <w:jc w:val="left"/>
    </w:pPr>
    <w:rPr>
      <w:rFonts w:ascii="Times New Roman" w:hAnsi="Times New Roman"/>
    </w:rPr>
  </w:style>
  <w:style w:type="paragraph" w:customStyle="1" w:styleId="ringsteptitle">
    <w:name w:val="ring_step_title"/>
    <w:basedOn w:val="Normal"/>
    <w:rsid w:val="00FF43F0"/>
    <w:pPr>
      <w:spacing w:after="0"/>
      <w:jc w:val="left"/>
    </w:pPr>
    <w:rPr>
      <w:rFonts w:ascii="Arial" w:hAnsi="Arial" w:cs="Arial"/>
      <w:b/>
      <w:bCs/>
      <w:color w:val="666666"/>
      <w:sz w:val="17"/>
      <w:szCs w:val="17"/>
    </w:rPr>
  </w:style>
  <w:style w:type="character" w:customStyle="1" w:styleId="Normal12HangingCarattere">
    <w:name w:val="Normal12Hanging Carattere"/>
    <w:rsid w:val="00577812"/>
    <w:rPr>
      <w:sz w:val="24"/>
      <w:lang w:val="fr-FR" w:eastAsia="en-GB" w:bidi="ar-SA"/>
    </w:rPr>
  </w:style>
  <w:style w:type="character" w:customStyle="1" w:styleId="underline">
    <w:name w:val="underline"/>
    <w:basedOn w:val="DefaultParagraphFont"/>
    <w:rsid w:val="00DA48EF"/>
  </w:style>
  <w:style w:type="character" w:customStyle="1" w:styleId="ctteelong1">
    <w:name w:val="cttee_long1"/>
    <w:rsid w:val="00DA48EF"/>
    <w:rPr>
      <w:b/>
      <w:bCs/>
      <w:color w:val="000000"/>
      <w:sz w:val="25"/>
      <w:szCs w:val="25"/>
    </w:rPr>
  </w:style>
  <w:style w:type="paragraph" w:customStyle="1" w:styleId="CharChar2CharCharCharChar">
    <w:name w:val="Char Char2 Char Char Char Char"/>
    <w:basedOn w:val="Normal"/>
    <w:rsid w:val="00D35B03"/>
    <w:pPr>
      <w:spacing w:after="160" w:line="240" w:lineRule="exact"/>
      <w:jc w:val="left"/>
    </w:pPr>
    <w:rPr>
      <w:rFonts w:ascii="Tahoma" w:hAnsi="Tahoma"/>
      <w:sz w:val="20"/>
      <w:lang w:eastAsia="en-US"/>
    </w:rPr>
  </w:style>
  <w:style w:type="paragraph" w:customStyle="1" w:styleId="CharChar7CharCharCharCharCharCharChar">
    <w:name w:val="Char Char7 Char Char Char Char Char Char Char"/>
    <w:basedOn w:val="Normal"/>
    <w:rsid w:val="00CD730B"/>
    <w:pPr>
      <w:spacing w:after="160" w:line="240" w:lineRule="exact"/>
      <w:jc w:val="left"/>
    </w:pPr>
    <w:rPr>
      <w:rFonts w:ascii="Tahoma" w:hAnsi="Tahoma"/>
      <w:sz w:val="20"/>
      <w:lang w:eastAsia="en-US"/>
    </w:rPr>
  </w:style>
  <w:style w:type="paragraph" w:customStyle="1" w:styleId="Znak">
    <w:name w:val="Znak"/>
    <w:basedOn w:val="Normal"/>
    <w:rsid w:val="00A76EE9"/>
    <w:pPr>
      <w:spacing w:after="160" w:line="240" w:lineRule="exact"/>
      <w:jc w:val="left"/>
    </w:pPr>
    <w:rPr>
      <w:rFonts w:ascii="Tahoma" w:hAnsi="Tahoma"/>
      <w:sz w:val="20"/>
      <w:lang w:eastAsia="en-US"/>
    </w:rPr>
  </w:style>
  <w:style w:type="character" w:customStyle="1" w:styleId="Forte1">
    <w:name w:val="Forte1"/>
    <w:rsid w:val="00386FED"/>
    <w:rPr>
      <w:b/>
      <w:bCs/>
      <w:color w:val="000066"/>
      <w:sz w:val="20"/>
      <w:szCs w:val="20"/>
    </w:rPr>
  </w:style>
  <w:style w:type="character" w:customStyle="1" w:styleId="Hiperligao6">
    <w:name w:val="Hiperligação6"/>
    <w:rsid w:val="00386FED"/>
    <w:rPr>
      <w:color w:val="000066"/>
      <w:sz w:val="20"/>
      <w:szCs w:val="20"/>
      <w:u w:val="single"/>
    </w:rPr>
  </w:style>
  <w:style w:type="character" w:customStyle="1" w:styleId="Text1Car">
    <w:name w:val="Text 1 Car"/>
    <w:rsid w:val="00BD1BAB"/>
    <w:rPr>
      <w:smallCaps/>
      <w:sz w:val="24"/>
      <w:szCs w:val="24"/>
      <w:lang w:val="fr-FR" w:eastAsia="en-GB" w:bidi="ar-SA"/>
    </w:rPr>
  </w:style>
  <w:style w:type="character" w:customStyle="1" w:styleId="bodytext1">
    <w:name w:val="bodytext1"/>
    <w:rsid w:val="00B35BF4"/>
    <w:rPr>
      <w:rFonts w:ascii="Verdana" w:hAnsi="Verdana" w:hint="default"/>
      <w:b w:val="0"/>
      <w:bCs w:val="0"/>
      <w:i w:val="0"/>
      <w:iCs w:val="0"/>
      <w:sz w:val="17"/>
      <w:szCs w:val="17"/>
    </w:rPr>
  </w:style>
  <w:style w:type="paragraph" w:customStyle="1" w:styleId="listdash10">
    <w:name w:val="listdash1"/>
    <w:basedOn w:val="Normal"/>
    <w:rsid w:val="00FD3ECC"/>
    <w:pPr>
      <w:tabs>
        <w:tab w:val="num" w:pos="283"/>
      </w:tabs>
      <w:ind w:left="765" w:hanging="283"/>
    </w:pPr>
    <w:rPr>
      <w:rFonts w:ascii="Times New Roman" w:hAnsi="Times New Roman"/>
      <w:szCs w:val="24"/>
    </w:rPr>
  </w:style>
  <w:style w:type="character" w:customStyle="1" w:styleId="FooterChar">
    <w:name w:val="Footer Char"/>
    <w:link w:val="Footer"/>
    <w:rsid w:val="00634CB5"/>
    <w:rPr>
      <w:rFonts w:ascii="Arial" w:hAnsi="Arial"/>
      <w:sz w:val="16"/>
      <w:lang w:val="fr-FR" w:eastAsia="en-GB" w:bidi="ar-SA"/>
    </w:rPr>
  </w:style>
  <w:style w:type="paragraph" w:customStyle="1" w:styleId="Cover60">
    <w:name w:val="Cover60"/>
    <w:basedOn w:val="Normal"/>
    <w:rsid w:val="009A6382"/>
    <w:pPr>
      <w:widowControl w:val="0"/>
      <w:spacing w:after="1200"/>
      <w:ind w:left="1418"/>
      <w:jc w:val="left"/>
    </w:pPr>
    <w:rPr>
      <w:rFonts w:ascii="Times New Roman" w:hAnsi="Times New Roman"/>
    </w:rPr>
  </w:style>
  <w:style w:type="paragraph" w:customStyle="1" w:styleId="copy">
    <w:name w:val="copy"/>
    <w:basedOn w:val="Normal"/>
    <w:rsid w:val="009A6382"/>
    <w:pPr>
      <w:spacing w:before="100" w:beforeAutospacing="1" w:after="100" w:afterAutospacing="1" w:line="178" w:lineRule="atLeast"/>
      <w:jc w:val="left"/>
    </w:pPr>
    <w:rPr>
      <w:rFonts w:ascii="Verdana" w:hAnsi="Verdana"/>
      <w:color w:val="000000"/>
      <w:sz w:val="14"/>
      <w:szCs w:val="14"/>
      <w:lang w:eastAsia="en-US"/>
    </w:rPr>
  </w:style>
  <w:style w:type="character" w:customStyle="1" w:styleId="ListBulletChar">
    <w:name w:val="List Bullet Char"/>
    <w:rsid w:val="00B36749"/>
    <w:rPr>
      <w:sz w:val="24"/>
      <w:lang w:val="fr-FR" w:eastAsia="en-US" w:bidi="ar-SA"/>
    </w:rPr>
  </w:style>
  <w:style w:type="character" w:customStyle="1" w:styleId="Normal12HangingZnak">
    <w:name w:val="Normal12Hanging Znak"/>
    <w:rsid w:val="006474F2"/>
    <w:rPr>
      <w:sz w:val="24"/>
      <w:lang w:val="fr-FR" w:eastAsia="en-GB" w:bidi="ar-SA"/>
    </w:rPr>
  </w:style>
  <w:style w:type="character" w:customStyle="1" w:styleId="Text2Char1">
    <w:name w:val="Text 2 Char1"/>
    <w:link w:val="Text2"/>
    <w:rsid w:val="006474F2"/>
    <w:rPr>
      <w:rFonts w:ascii="Courier New" w:hAnsi="Courier New"/>
      <w:sz w:val="24"/>
      <w:lang w:val="fr-FR" w:eastAsia="en-GB" w:bidi="ar-SA"/>
    </w:rPr>
  </w:style>
  <w:style w:type="paragraph" w:customStyle="1" w:styleId="Cover24">
    <w:name w:val="Cover24"/>
    <w:basedOn w:val="Normal"/>
    <w:rsid w:val="00CF7345"/>
    <w:pPr>
      <w:widowControl w:val="0"/>
      <w:spacing w:after="480"/>
      <w:ind w:left="1418"/>
      <w:jc w:val="left"/>
    </w:pPr>
    <w:rPr>
      <w:rFonts w:ascii="Times New Roman" w:hAnsi="Times New Roman"/>
    </w:rPr>
  </w:style>
  <w:style w:type="character" w:customStyle="1" w:styleId="verdanaelflight">
    <w:name w:val="verdanaelflight"/>
    <w:basedOn w:val="DefaultParagraphFont"/>
    <w:rsid w:val="0059734D"/>
  </w:style>
  <w:style w:type="character" w:customStyle="1" w:styleId="titlemep">
    <w:name w:val="titlemep"/>
    <w:basedOn w:val="DefaultParagraphFont"/>
    <w:rsid w:val="000975A5"/>
  </w:style>
  <w:style w:type="character" w:customStyle="1" w:styleId="titlemep2">
    <w:name w:val="titlemep2"/>
    <w:basedOn w:val="DefaultParagraphFont"/>
    <w:rsid w:val="000975A5"/>
  </w:style>
  <w:style w:type="paragraph" w:customStyle="1" w:styleId="Normal6">
    <w:name w:val="Normal6"/>
    <w:basedOn w:val="Normal"/>
    <w:link w:val="Normal6Char"/>
    <w:rsid w:val="00A62579"/>
    <w:pPr>
      <w:widowControl w:val="0"/>
      <w:spacing w:after="120"/>
      <w:jc w:val="left"/>
    </w:pPr>
    <w:rPr>
      <w:rFonts w:ascii="Times New Roman" w:hAnsi="Times New Roman"/>
      <w:noProof/>
    </w:rPr>
  </w:style>
  <w:style w:type="character" w:customStyle="1" w:styleId="Normal6Char">
    <w:name w:val="Normal6 Char"/>
    <w:link w:val="Normal6"/>
    <w:rsid w:val="00A62579"/>
    <w:rPr>
      <w:noProof/>
      <w:sz w:val="24"/>
      <w:lang w:val="fr-FR" w:eastAsia="en-GB" w:bidi="ar-SA"/>
    </w:rPr>
  </w:style>
  <w:style w:type="character" w:customStyle="1" w:styleId="ListBulletCharCharChar">
    <w:name w:val="List Bullet Char Char Char"/>
    <w:rsid w:val="00536069"/>
    <w:rPr>
      <w:sz w:val="24"/>
      <w:lang w:val="fr-FR" w:eastAsia="en-US" w:bidi="ar-SA"/>
    </w:rPr>
  </w:style>
  <w:style w:type="paragraph" w:customStyle="1" w:styleId="texte-compact">
    <w:name w:val="texte-compact"/>
    <w:basedOn w:val="Normal"/>
    <w:rsid w:val="00F47793"/>
    <w:pPr>
      <w:spacing w:before="30"/>
      <w:jc w:val="left"/>
    </w:pPr>
    <w:rPr>
      <w:rFonts w:ascii="Times New Roman" w:hAnsi="Times New Roman"/>
      <w:szCs w:val="24"/>
    </w:rPr>
  </w:style>
  <w:style w:type="character" w:customStyle="1" w:styleId="NumPar1Char1">
    <w:name w:val="NumPar 1 Char1"/>
    <w:link w:val="NumPar1"/>
    <w:rsid w:val="00822F9D"/>
    <w:rPr>
      <w:rFonts w:ascii="Courier New" w:hAnsi="Courier New"/>
      <w:sz w:val="24"/>
    </w:rPr>
  </w:style>
  <w:style w:type="paragraph" w:customStyle="1" w:styleId="initial0">
    <w:name w:val="initial"/>
    <w:basedOn w:val="Normal"/>
    <w:rsid w:val="00E01174"/>
    <w:pPr>
      <w:spacing w:after="0"/>
    </w:pPr>
    <w:rPr>
      <w:rFonts w:ascii="Times New Roman" w:hAnsi="Times New Roman"/>
      <w:spacing w:val="-3"/>
      <w:szCs w:val="24"/>
    </w:rPr>
  </w:style>
  <w:style w:type="character" w:customStyle="1" w:styleId="Heading1Char">
    <w:name w:val="Heading 1 Char"/>
    <w:rsid w:val="000A1BDC"/>
    <w:rPr>
      <w:bCs/>
      <w:smallCaps/>
      <w:sz w:val="24"/>
      <w:lang w:val="fr-FR" w:eastAsia="ko-KR" w:bidi="ar-SA"/>
    </w:rPr>
  </w:style>
  <w:style w:type="paragraph" w:customStyle="1" w:styleId="Prliminairetype">
    <w:name w:val="Préliminaire type"/>
    <w:basedOn w:val="Normal"/>
    <w:next w:val="Normal"/>
    <w:rsid w:val="00495658"/>
    <w:pPr>
      <w:spacing w:before="360" w:after="0"/>
      <w:jc w:val="center"/>
    </w:pPr>
    <w:rPr>
      <w:rFonts w:ascii="Times New Roman" w:hAnsi="Times New Roman"/>
      <w:b/>
      <w:szCs w:val="24"/>
      <w:lang w:eastAsia="de-DE"/>
    </w:rPr>
  </w:style>
  <w:style w:type="character" w:customStyle="1" w:styleId="introtext">
    <w:name w:val="introtext"/>
    <w:basedOn w:val="DefaultParagraphFont"/>
    <w:rsid w:val="00FF30F1"/>
  </w:style>
  <w:style w:type="paragraph" w:styleId="ListParagraph">
    <w:name w:val="List Paragraph"/>
    <w:aliases w:val="Dot pt,F5 List Paragraph,List Paragraph1,No Spacing1,List Paragraph Char Char Char,Indicator Text,Numbered Para 1,Bullet 1,Bullet Points,MAIN CONTENT,List Paragraph11,List Paragraph12,List Paragraph2,OBC Bullet,L,Listaszerű bekezdés1,3,2"/>
    <w:basedOn w:val="Normal"/>
    <w:link w:val="ListParagraphChar"/>
    <w:uiPriority w:val="34"/>
    <w:qFormat/>
    <w:rsid w:val="001C680C"/>
    <w:pPr>
      <w:spacing w:after="200" w:line="276" w:lineRule="auto"/>
      <w:ind w:left="720"/>
      <w:contextualSpacing/>
      <w:jc w:val="left"/>
    </w:pPr>
    <w:rPr>
      <w:rFonts w:ascii="Calibri" w:eastAsia="Calibri" w:hAnsi="Calibri"/>
      <w:sz w:val="22"/>
      <w:szCs w:val="22"/>
      <w:lang w:eastAsia="en-US"/>
    </w:rPr>
  </w:style>
  <w:style w:type="paragraph" w:customStyle="1" w:styleId="ZDate">
    <w:name w:val="ZDate"/>
    <w:basedOn w:val="Normal"/>
    <w:rsid w:val="00A03CB8"/>
    <w:pPr>
      <w:widowControl w:val="0"/>
      <w:spacing w:after="1200"/>
      <w:jc w:val="left"/>
    </w:pPr>
    <w:rPr>
      <w:rFonts w:ascii="Times New Roman" w:hAnsi="Times New Roman"/>
    </w:rPr>
  </w:style>
  <w:style w:type="character" w:customStyle="1" w:styleId="Heading3Char">
    <w:name w:val="Heading 3 Char"/>
    <w:link w:val="Heading3"/>
    <w:rsid w:val="0067029D"/>
    <w:rPr>
      <w:rFonts w:ascii="Courier New" w:hAnsi="Courier New"/>
      <w:i/>
      <w:sz w:val="24"/>
    </w:rPr>
  </w:style>
  <w:style w:type="character" w:customStyle="1" w:styleId="5NormalChar">
    <w:name w:val="5 Normal Char"/>
    <w:link w:val="5Normal"/>
    <w:rsid w:val="00AB63A6"/>
    <w:rPr>
      <w:rFonts w:ascii="Arial" w:hAnsi="Arial"/>
      <w:spacing w:val="-2"/>
      <w:sz w:val="22"/>
      <w:lang w:val="fr-FR" w:eastAsia="en-GB" w:bidi="ar-SA"/>
    </w:rPr>
  </w:style>
  <w:style w:type="paragraph" w:customStyle="1" w:styleId="Prliminairetitre">
    <w:name w:val="Préliminaire titre"/>
    <w:basedOn w:val="Normal"/>
    <w:next w:val="Normal"/>
    <w:rsid w:val="00E85A91"/>
    <w:pPr>
      <w:spacing w:before="360" w:after="360"/>
      <w:jc w:val="center"/>
    </w:pPr>
    <w:rPr>
      <w:rFonts w:ascii="Times New Roman" w:hAnsi="Times New Roman"/>
      <w:b/>
      <w:szCs w:val="24"/>
      <w:lang w:eastAsia="de-DE"/>
    </w:rPr>
  </w:style>
  <w:style w:type="character" w:customStyle="1" w:styleId="docsubtitlelevel1bis">
    <w:name w:val="doc_subtitle_level1_bis"/>
    <w:basedOn w:val="DefaultParagraphFont"/>
    <w:rsid w:val="00871A9E"/>
  </w:style>
  <w:style w:type="paragraph" w:customStyle="1" w:styleId="a3520normalp5">
    <w:name w:val="a__35__20_normal_p5"/>
    <w:basedOn w:val="Normal"/>
    <w:rsid w:val="00BB7227"/>
    <w:pPr>
      <w:spacing w:after="120"/>
    </w:pPr>
    <w:rPr>
      <w:rFonts w:ascii="Times New Roman" w:hAnsi="Times New Roman"/>
      <w:szCs w:val="24"/>
      <w:lang w:eastAsia="en-US"/>
    </w:rPr>
  </w:style>
  <w:style w:type="paragraph" w:customStyle="1" w:styleId="Considrant">
    <w:name w:val="Considérant"/>
    <w:basedOn w:val="Normal"/>
    <w:rsid w:val="009D3B39"/>
    <w:pPr>
      <w:numPr>
        <w:numId w:val="20"/>
      </w:numPr>
      <w:spacing w:before="120" w:after="120"/>
    </w:pPr>
    <w:rPr>
      <w:rFonts w:ascii="Times New Roman" w:hAnsi="Times New Roman"/>
      <w:lang w:eastAsia="zh-CN"/>
    </w:rPr>
  </w:style>
  <w:style w:type="table" w:styleId="TableGrid1">
    <w:name w:val="Table Grid 1"/>
    <w:basedOn w:val="TableNormal"/>
    <w:rsid w:val="009D1A0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THeading2">
    <w:name w:val="AT Heading 2"/>
    <w:basedOn w:val="Normal"/>
    <w:next w:val="Normal"/>
    <w:link w:val="ATHeading2Char"/>
    <w:rsid w:val="004649AB"/>
    <w:pPr>
      <w:spacing w:before="120" w:after="120"/>
      <w:jc w:val="left"/>
      <w:outlineLvl w:val="1"/>
    </w:pPr>
    <w:rPr>
      <w:rFonts w:ascii="Times New Roman" w:hAnsi="Times New Roman"/>
      <w:b/>
      <w:noProof/>
      <w:sz w:val="28"/>
    </w:rPr>
  </w:style>
  <w:style w:type="character" w:customStyle="1" w:styleId="ATHeading2Char">
    <w:name w:val="AT Heading 2 Char"/>
    <w:link w:val="ATHeading2"/>
    <w:rsid w:val="004649AB"/>
    <w:rPr>
      <w:b/>
      <w:noProof/>
      <w:sz w:val="28"/>
      <w:lang w:val="fr-FR" w:eastAsia="en-GB" w:bidi="ar-SA"/>
    </w:rPr>
  </w:style>
  <w:style w:type="paragraph" w:customStyle="1" w:styleId="ftrefCharCharCharCharCharCharCharCharChar">
    <w:name w:val="ftref Char Char Char Char Char Char Char Char Char"/>
    <w:aliases w:val="Footnote Char Char Char Char Char Char Char Char Char, BVI fnr Char Char Char Char Char Char Char Char Char,BVI fnr Char Char Char Char Char Char Char Char Char Char"/>
    <w:basedOn w:val="Normal"/>
    <w:next w:val="Normal"/>
    <w:link w:val="FootnoteReference"/>
    <w:rsid w:val="004649AB"/>
    <w:pPr>
      <w:spacing w:after="160" w:line="240" w:lineRule="exact"/>
      <w:jc w:val="left"/>
    </w:pPr>
    <w:rPr>
      <w:rFonts w:ascii="Times New Roman" w:hAnsi="Times New Roman"/>
      <w:sz w:val="20"/>
      <w:vertAlign w:val="superscript"/>
    </w:rPr>
  </w:style>
  <w:style w:type="character" w:customStyle="1" w:styleId="singlespaceChar">
    <w:name w:val="single space Char"/>
    <w:aliases w:val="footnote text Char1,Fußnote Char,FOOTNOTES Char, Char Char Char Char,Note de bas de page2 Char,Footnotes Char Char,footnote text Char Char,Footnotes Char1,Char Char Char Char"/>
    <w:qFormat/>
    <w:locked/>
    <w:rsid w:val="004649AB"/>
    <w:rPr>
      <w:lang w:val="fr-FR" w:eastAsia="en-US" w:bidi="ar-SA"/>
    </w:rPr>
  </w:style>
  <w:style w:type="paragraph" w:customStyle="1" w:styleId="Listenabsatz">
    <w:name w:val="Listenabsatz"/>
    <w:basedOn w:val="Normal"/>
    <w:qFormat/>
    <w:rsid w:val="00316C69"/>
    <w:pPr>
      <w:spacing w:after="200" w:line="276" w:lineRule="auto"/>
      <w:ind w:left="720"/>
      <w:contextualSpacing/>
      <w:jc w:val="left"/>
    </w:pPr>
    <w:rPr>
      <w:rFonts w:ascii="Calibri" w:eastAsia="Calibri" w:hAnsi="Calibri"/>
      <w:sz w:val="22"/>
      <w:szCs w:val="22"/>
      <w:lang w:eastAsia="en-US"/>
    </w:rPr>
  </w:style>
  <w:style w:type="paragraph" w:customStyle="1" w:styleId="Point0">
    <w:name w:val="Point 0"/>
    <w:basedOn w:val="Normal"/>
    <w:rsid w:val="001912E2"/>
    <w:pPr>
      <w:spacing w:before="120" w:after="120"/>
      <w:ind w:left="850" w:hanging="850"/>
    </w:pPr>
    <w:rPr>
      <w:rFonts w:ascii="Times New Roman" w:hAnsi="Times New Roman"/>
      <w:szCs w:val="24"/>
      <w:lang w:eastAsia="de-DE"/>
    </w:rPr>
  </w:style>
  <w:style w:type="character" w:customStyle="1" w:styleId="5NormalCar">
    <w:name w:val="5 Normal Car"/>
    <w:rsid w:val="005951D7"/>
    <w:rPr>
      <w:rFonts w:ascii="Arial" w:hAnsi="Arial"/>
      <w:spacing w:val="-2"/>
      <w:sz w:val="22"/>
      <w:lang w:val="fr-FR" w:eastAsia="en-GB" w:bidi="ar-SA"/>
    </w:rPr>
  </w:style>
  <w:style w:type="paragraph" w:customStyle="1" w:styleId="Briefingspeakdef">
    <w:name w:val="Briefing speak/def"/>
    <w:basedOn w:val="Normal"/>
    <w:rsid w:val="005951D7"/>
    <w:pPr>
      <w:numPr>
        <w:numId w:val="21"/>
      </w:numPr>
      <w:tabs>
        <w:tab w:val="num" w:pos="284"/>
      </w:tabs>
      <w:ind w:left="284" w:hanging="284"/>
    </w:pPr>
    <w:rPr>
      <w:rFonts w:ascii="Tahoma" w:hAnsi="Tahoma" w:cs="Tahoma"/>
      <w:sz w:val="40"/>
      <w:szCs w:val="22"/>
      <w:lang w:eastAsia="en-US"/>
    </w:rPr>
  </w:style>
  <w:style w:type="character" w:customStyle="1" w:styleId="NormalWebChar">
    <w:name w:val="Normal (Web) Char"/>
    <w:aliases w:val="webb Char"/>
    <w:rsid w:val="00AB650D"/>
    <w:rPr>
      <w:sz w:val="24"/>
      <w:szCs w:val="24"/>
      <w:lang w:val="fr-FR" w:eastAsia="en-GB" w:bidi="ar-SA"/>
    </w:rPr>
  </w:style>
  <w:style w:type="paragraph" w:customStyle="1" w:styleId="Briefinglist1">
    <w:name w:val="Briefing list 1"/>
    <w:basedOn w:val="Normal"/>
    <w:link w:val="Briefinglist1Char"/>
    <w:qFormat/>
    <w:rsid w:val="007E4EE6"/>
    <w:pPr>
      <w:spacing w:after="0"/>
      <w:jc w:val="left"/>
    </w:pPr>
    <w:rPr>
      <w:rFonts w:ascii="Times New Roman" w:hAnsi="Times New Roman"/>
      <w:szCs w:val="24"/>
    </w:rPr>
  </w:style>
  <w:style w:type="paragraph" w:customStyle="1" w:styleId="Briefingtext">
    <w:name w:val="Briefing text"/>
    <w:basedOn w:val="Normal"/>
    <w:link w:val="BriefingtextChar"/>
    <w:qFormat/>
    <w:rsid w:val="00217E48"/>
    <w:rPr>
      <w:rFonts w:ascii="Arial" w:hAnsi="Arial" w:cs="Arial"/>
      <w:sz w:val="22"/>
      <w:szCs w:val="24"/>
      <w:lang w:eastAsia="en-US"/>
    </w:rPr>
  </w:style>
  <w:style w:type="character" w:customStyle="1" w:styleId="BriefingtextChar">
    <w:name w:val="Briefing text Char"/>
    <w:link w:val="Briefingtext"/>
    <w:qFormat/>
    <w:rsid w:val="00217E48"/>
    <w:rPr>
      <w:rFonts w:ascii="Arial" w:hAnsi="Arial" w:cs="Arial"/>
      <w:sz w:val="22"/>
      <w:szCs w:val="24"/>
      <w:lang w:val="fr-FR" w:eastAsia="en-US" w:bidi="ar-SA"/>
    </w:rPr>
  </w:style>
  <w:style w:type="numbering" w:styleId="111111">
    <w:name w:val="Outline List 2"/>
    <w:basedOn w:val="NoList"/>
    <w:rsid w:val="00BC35A6"/>
    <w:pPr>
      <w:numPr>
        <w:numId w:val="19"/>
      </w:numPr>
    </w:pPr>
  </w:style>
  <w:style w:type="character" w:customStyle="1" w:styleId="at11">
    <w:name w:val="a__t11"/>
    <w:rsid w:val="008B3A18"/>
    <w:rPr>
      <w:b/>
      <w:bCs/>
    </w:rPr>
  </w:style>
  <w:style w:type="paragraph" w:customStyle="1" w:styleId="a3520normal">
    <w:name w:val="a___35__20_normal"/>
    <w:basedOn w:val="Normal"/>
    <w:rsid w:val="0069026C"/>
    <w:pPr>
      <w:spacing w:before="30"/>
      <w:jc w:val="left"/>
    </w:pPr>
    <w:rPr>
      <w:rFonts w:ascii="Times New Roman" w:hAnsi="Times New Roman"/>
      <w:sz w:val="20"/>
    </w:rPr>
  </w:style>
  <w:style w:type="character" w:customStyle="1" w:styleId="at1">
    <w:name w:val="a__t1"/>
    <w:basedOn w:val="DefaultParagraphFont"/>
    <w:rsid w:val="00AE7C82"/>
  </w:style>
  <w:style w:type="character" w:customStyle="1" w:styleId="at51">
    <w:name w:val="a__t51"/>
    <w:rsid w:val="00AE7C82"/>
    <w:rPr>
      <w:i/>
      <w:iCs/>
    </w:rPr>
  </w:style>
  <w:style w:type="character" w:customStyle="1" w:styleId="at61">
    <w:name w:val="a__t61"/>
    <w:rsid w:val="00AE7C82"/>
    <w:rPr>
      <w:u w:val="single"/>
    </w:rPr>
  </w:style>
  <w:style w:type="character" w:customStyle="1" w:styleId="at111">
    <w:name w:val="a__t111"/>
    <w:rsid w:val="00AE7C82"/>
    <w:rPr>
      <w:color w:val="000000"/>
    </w:rPr>
  </w:style>
  <w:style w:type="paragraph" w:customStyle="1" w:styleId="Rapporteur">
    <w:name w:val="Rapporteur"/>
    <w:basedOn w:val="Normal"/>
    <w:rsid w:val="00E72F7C"/>
    <w:pPr>
      <w:tabs>
        <w:tab w:val="num" w:pos="540"/>
        <w:tab w:val="left" w:pos="2160"/>
      </w:tabs>
      <w:spacing w:after="120"/>
      <w:ind w:left="540"/>
    </w:pPr>
    <w:rPr>
      <w:rFonts w:ascii="Times New Roman" w:hAnsi="Times New Roman"/>
      <w:szCs w:val="24"/>
      <w:u w:val="single"/>
      <w:lang w:eastAsia="en-US"/>
    </w:rPr>
  </w:style>
  <w:style w:type="paragraph" w:customStyle="1" w:styleId="5normal0">
    <w:name w:val="5normal"/>
    <w:basedOn w:val="Normal"/>
    <w:rsid w:val="00C124C9"/>
    <w:pPr>
      <w:spacing w:before="100" w:beforeAutospacing="1" w:after="100" w:afterAutospacing="1"/>
      <w:jc w:val="left"/>
    </w:pPr>
    <w:rPr>
      <w:rFonts w:ascii="Arial" w:hAnsi="Arial" w:cs="Arial"/>
      <w:sz w:val="20"/>
    </w:rPr>
  </w:style>
  <w:style w:type="character" w:customStyle="1" w:styleId="hps">
    <w:name w:val="hps"/>
    <w:basedOn w:val="DefaultParagraphFont"/>
    <w:rsid w:val="002C30C5"/>
  </w:style>
  <w:style w:type="character" w:customStyle="1" w:styleId="FootnoteTextCharCharCharCharChar1">
    <w:name w:val="Footnote Text Char Char Char Char Char1"/>
    <w:aliases w:val="Footnote Text Char Char Char1,Footnote Text Char Char Char Char Char Char,Footnote Text Char Char Char Char Char Char Char Char Char,Footnote Text Char Char Char Char1,Schriftart: 9 pt Char1,Char1 Char"/>
    <w:locked/>
    <w:rsid w:val="00EA0D59"/>
    <w:rPr>
      <w:lang w:val="fr-FR" w:eastAsia="en-GB" w:bidi="ar-SA"/>
    </w:rPr>
  </w:style>
  <w:style w:type="character" w:customStyle="1" w:styleId="InitialChar">
    <w:name w:val="Initial Char"/>
    <w:link w:val="Initial"/>
    <w:rsid w:val="00FD22F7"/>
    <w:rPr>
      <w:spacing w:val="-3"/>
      <w:sz w:val="24"/>
      <w:lang w:val="fr-FR" w:eastAsia="en-GB" w:bidi="ar-SA"/>
    </w:rPr>
  </w:style>
  <w:style w:type="paragraph" w:customStyle="1" w:styleId="Briefingspdef">
    <w:name w:val="Briefing sp/def"/>
    <w:basedOn w:val="Normal"/>
    <w:rsid w:val="00FD22F7"/>
    <w:pPr>
      <w:keepLines/>
      <w:numPr>
        <w:numId w:val="22"/>
      </w:numPr>
      <w:spacing w:after="480"/>
    </w:pPr>
    <w:rPr>
      <w:rFonts w:ascii="Arial" w:hAnsi="Arial" w:cs="Arial"/>
      <w:sz w:val="48"/>
      <w:szCs w:val="48"/>
    </w:rPr>
  </w:style>
  <w:style w:type="character" w:customStyle="1" w:styleId="titlemep1">
    <w:name w:val="titlemep1"/>
    <w:rsid w:val="00DC0AA5"/>
    <w:rPr>
      <w:rFonts w:ascii="Verdana" w:hAnsi="Verdana" w:hint="default"/>
      <w:b/>
      <w:bCs/>
      <w:color w:val="48452D"/>
      <w:sz w:val="16"/>
      <w:szCs w:val="16"/>
    </w:rPr>
  </w:style>
  <w:style w:type="character" w:customStyle="1" w:styleId="referencenotice">
    <w:name w:val="reference_notice"/>
    <w:basedOn w:val="DefaultParagraphFont"/>
    <w:rsid w:val="007D628A"/>
  </w:style>
  <w:style w:type="character" w:customStyle="1" w:styleId="ephidden1">
    <w:name w:val="ep_hidden1"/>
    <w:rsid w:val="00ED4495"/>
    <w:rPr>
      <w:vanish w:val="0"/>
      <w:webHidden w:val="0"/>
      <w:color w:val="000000"/>
      <w:shd w:val="clear" w:color="auto" w:fill="FFFFFF"/>
      <w:specVanish w:val="0"/>
    </w:rPr>
  </w:style>
  <w:style w:type="character" w:customStyle="1" w:styleId="playersrapportertext1">
    <w:name w:val="players_rapporter_text1"/>
    <w:basedOn w:val="DefaultParagraphFont"/>
    <w:rsid w:val="00151572"/>
  </w:style>
  <w:style w:type="character" w:customStyle="1" w:styleId="apple-converted-space">
    <w:name w:val="apple-converted-space"/>
    <w:basedOn w:val="DefaultParagraphFont"/>
    <w:rsid w:val="00151572"/>
  </w:style>
  <w:style w:type="character" w:customStyle="1" w:styleId="ringrefselectedheader1">
    <w:name w:val="ring_ref_selected_header1"/>
    <w:rsid w:val="00A12CB4"/>
    <w:rPr>
      <w:rFonts w:ascii="Arial" w:hAnsi="Arial" w:cs="Arial" w:hint="default"/>
      <w:b w:val="0"/>
      <w:bCs w:val="0"/>
      <w:strike w:val="0"/>
      <w:dstrike w:val="0"/>
      <w:color w:val="666666"/>
      <w:sz w:val="22"/>
      <w:szCs w:val="22"/>
      <w:u w:val="none"/>
      <w:effect w:val="none"/>
      <w:bdr w:val="single" w:sz="4" w:space="0" w:color="0077BE" w:frame="1"/>
      <w:shd w:val="clear" w:color="auto" w:fill="FFFFFF"/>
    </w:rPr>
  </w:style>
  <w:style w:type="paragraph" w:customStyle="1" w:styleId="briefingspdef0">
    <w:name w:val="briefingspdef"/>
    <w:basedOn w:val="Normal"/>
    <w:rsid w:val="00A12CB4"/>
    <w:pPr>
      <w:spacing w:before="100" w:beforeAutospacing="1" w:after="100" w:afterAutospacing="1"/>
      <w:jc w:val="left"/>
    </w:pPr>
    <w:rPr>
      <w:rFonts w:ascii="Times New Roman" w:hAnsi="Times New Roman"/>
      <w:szCs w:val="24"/>
    </w:rPr>
  </w:style>
  <w:style w:type="character" w:customStyle="1" w:styleId="contentssmallbis1">
    <w:name w:val="contents_small_bis1"/>
    <w:rsid w:val="00801E69"/>
    <w:rPr>
      <w:rFonts w:ascii="Arial" w:hAnsi="Arial" w:cs="Arial" w:hint="default"/>
      <w:b w:val="0"/>
      <w:bCs w:val="0"/>
      <w:color w:val="999999"/>
      <w:sz w:val="24"/>
      <w:szCs w:val="24"/>
    </w:rPr>
  </w:style>
  <w:style w:type="character" w:customStyle="1" w:styleId="auteur">
    <w:name w:val="auteur"/>
    <w:basedOn w:val="DefaultParagraphFont"/>
    <w:rsid w:val="00801E69"/>
  </w:style>
  <w:style w:type="character" w:customStyle="1" w:styleId="reference2">
    <w:name w:val="reference2"/>
    <w:rsid w:val="00402C69"/>
    <w:rPr>
      <w:b/>
      <w:bCs/>
    </w:rPr>
  </w:style>
  <w:style w:type="paragraph" w:customStyle="1" w:styleId="CoverBold">
    <w:name w:val="CoverBold"/>
    <w:basedOn w:val="Normal"/>
    <w:rsid w:val="00023C78"/>
    <w:pPr>
      <w:widowControl w:val="0"/>
      <w:spacing w:after="0"/>
      <w:ind w:left="1418"/>
      <w:jc w:val="left"/>
    </w:pPr>
    <w:rPr>
      <w:rFonts w:ascii="Times New Roman" w:hAnsi="Times New Roman"/>
      <w:b/>
    </w:rPr>
  </w:style>
  <w:style w:type="paragraph" w:customStyle="1" w:styleId="s16">
    <w:name w:val="s16"/>
    <w:basedOn w:val="Normal"/>
    <w:rsid w:val="0093481E"/>
    <w:pPr>
      <w:spacing w:before="100" w:beforeAutospacing="1" w:after="100" w:afterAutospacing="1"/>
      <w:jc w:val="left"/>
    </w:pPr>
    <w:rPr>
      <w:rFonts w:ascii="Times New Roman" w:hAnsi="Times New Roman"/>
      <w:szCs w:val="24"/>
    </w:rPr>
  </w:style>
  <w:style w:type="character" w:customStyle="1" w:styleId="bumpedfont15">
    <w:name w:val="bumpedfont15"/>
    <w:basedOn w:val="DefaultParagraphFont"/>
    <w:rsid w:val="0093481E"/>
  </w:style>
  <w:style w:type="paragraph" w:styleId="NoSpacing">
    <w:name w:val="No Spacing"/>
    <w:link w:val="NoSpacingChar"/>
    <w:uiPriority w:val="1"/>
    <w:qFormat/>
    <w:rsid w:val="005855E7"/>
    <w:rPr>
      <w:rFonts w:ascii="Arial" w:hAnsi="Arial"/>
      <w:sz w:val="22"/>
      <w:szCs w:val="22"/>
      <w:lang w:eastAsia="en-US"/>
    </w:rPr>
  </w:style>
  <w:style w:type="character" w:styleId="HTMLCite">
    <w:name w:val="HTML Cite"/>
    <w:rsid w:val="0050397D"/>
    <w:rPr>
      <w:i w:val="0"/>
      <w:iCs w:val="0"/>
      <w:color w:val="0E774A"/>
    </w:rPr>
  </w:style>
  <w:style w:type="character" w:customStyle="1" w:styleId="Hanging12Char">
    <w:name w:val="Hanging12 Char"/>
    <w:link w:val="Hanging12"/>
    <w:locked/>
    <w:rsid w:val="00E61FC7"/>
    <w:rPr>
      <w:sz w:val="24"/>
      <w:lang w:val="fr-FR" w:eastAsia="en-GB" w:bidi="ar-SA"/>
    </w:rPr>
  </w:style>
  <w:style w:type="paragraph" w:customStyle="1" w:styleId="ZnakZnak">
    <w:name w:val="Znak Znak"/>
    <w:basedOn w:val="Normal"/>
    <w:link w:val="NoList"/>
    <w:rsid w:val="00E61FC7"/>
    <w:pPr>
      <w:spacing w:after="0" w:line="360" w:lineRule="auto"/>
    </w:pPr>
    <w:rPr>
      <w:rFonts w:ascii="Verdana" w:hAnsi="Verdana"/>
      <w:sz w:val="20"/>
      <w:lang w:eastAsia="pl-PL"/>
    </w:rPr>
  </w:style>
  <w:style w:type="character" w:customStyle="1" w:styleId="st">
    <w:name w:val="st"/>
    <w:rsid w:val="00EC3A6B"/>
  </w:style>
  <w:style w:type="character" w:customStyle="1" w:styleId="CommentTextChar">
    <w:name w:val="Comment Text Char"/>
    <w:link w:val="CommentText"/>
    <w:rsid w:val="007726A9"/>
    <w:rPr>
      <w:rFonts w:ascii="Courier New" w:hAnsi="Courier New"/>
      <w:lang w:val="fr-FR" w:eastAsia="en-GB" w:bidi="ar-SA"/>
    </w:rPr>
  </w:style>
  <w:style w:type="character" w:customStyle="1" w:styleId="highlightedsearchterm">
    <w:name w:val="highlightedsearchterm"/>
    <w:rsid w:val="007726A9"/>
  </w:style>
  <w:style w:type="character" w:customStyle="1" w:styleId="iceouttxtcommissiondossiercontenttablecol3-title">
    <w:name w:val="iceouttxt commissiondossiercontenttablecol3-title"/>
    <w:rsid w:val="007726A9"/>
    <w:rPr>
      <w:sz w:val="24"/>
      <w:szCs w:val="24"/>
      <w:bdr w:val="none" w:sz="0" w:space="0" w:color="auto" w:frame="1"/>
      <w:vertAlign w:val="baseline"/>
    </w:rPr>
  </w:style>
  <w:style w:type="character" w:customStyle="1" w:styleId="FootnoteTextCharCarChar">
    <w:name w:val="Footnote Text Char Car Char"/>
    <w:aliases w:val="Fußnotentextf Char,Note de bas de page 1 Char,footnote Char,Voetnoottekst Char Char Char Char Char,Voetnoottekst1 Char,Sprotna opomba - besedilo Znak Znak Znak Char,Sprotna opomba - besedilo Znak Znak Char"/>
    <w:rsid w:val="00721020"/>
    <w:rPr>
      <w:lang w:val="fr-FR" w:eastAsia="en-GB" w:bidi="ar-SA"/>
    </w:rPr>
  </w:style>
  <w:style w:type="paragraph" w:customStyle="1" w:styleId="intropara">
    <w:name w:val="intropara"/>
    <w:basedOn w:val="Normal"/>
    <w:rsid w:val="009B7E72"/>
    <w:pPr>
      <w:spacing w:before="100" w:beforeAutospacing="1" w:after="100" w:afterAutospacing="1"/>
      <w:ind w:right="612"/>
      <w:jc w:val="left"/>
    </w:pPr>
    <w:rPr>
      <w:rFonts w:ascii="Times New Roman" w:hAnsi="Times New Roman"/>
      <w:b/>
      <w:bCs/>
      <w:szCs w:val="24"/>
    </w:rPr>
  </w:style>
  <w:style w:type="paragraph" w:customStyle="1" w:styleId="ZnakZnak1">
    <w:name w:val="Znak Znak1"/>
    <w:basedOn w:val="Normal"/>
    <w:rsid w:val="002D2D7A"/>
    <w:pPr>
      <w:spacing w:after="0" w:line="360" w:lineRule="auto"/>
    </w:pPr>
    <w:rPr>
      <w:rFonts w:ascii="Verdana" w:hAnsi="Verdana"/>
      <w:sz w:val="20"/>
      <w:lang w:eastAsia="pl-PL"/>
    </w:rPr>
  </w:style>
  <w:style w:type="character" w:customStyle="1" w:styleId="NoSpacingChar">
    <w:name w:val="No Spacing Char"/>
    <w:link w:val="NoSpacing"/>
    <w:uiPriority w:val="1"/>
    <w:locked/>
    <w:rsid w:val="00513CF8"/>
    <w:rPr>
      <w:rFonts w:ascii="Arial" w:hAnsi="Arial"/>
      <w:sz w:val="22"/>
      <w:szCs w:val="22"/>
      <w:lang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uiPriority w:val="99"/>
    <w:rsid w:val="00CF192F"/>
    <w:pPr>
      <w:spacing w:after="160" w:line="240" w:lineRule="exact"/>
    </w:pPr>
    <w:rPr>
      <w:rFonts w:ascii="Times New Roman" w:hAnsi="Times New Roman"/>
      <w:sz w:val="20"/>
      <w:vertAlign w:val="superscript"/>
    </w:rPr>
  </w:style>
  <w:style w:type="character" w:customStyle="1" w:styleId="at7">
    <w:name w:val="a__t7"/>
    <w:rsid w:val="00B76067"/>
  </w:style>
  <w:style w:type="paragraph" w:customStyle="1" w:styleId="BVIfnrCarCar">
    <w:name w:val="BVI fnr Car Car"/>
    <w:aliases w:val="BVI fnr Car,BVI fnr Car Car Car Car,BVI fnr Char Char Char Char Char Char Char"/>
    <w:basedOn w:val="Normal"/>
    <w:uiPriority w:val="99"/>
    <w:rsid w:val="003C6D10"/>
    <w:pPr>
      <w:spacing w:before="120" w:after="160" w:line="240" w:lineRule="exact"/>
      <w:jc w:val="left"/>
    </w:pPr>
    <w:rPr>
      <w:rFonts w:ascii="Calibri" w:eastAsia="Calibri" w:hAnsi="Calibri"/>
      <w:sz w:val="22"/>
      <w:szCs w:val="22"/>
      <w:vertAlign w:val="superscript"/>
      <w:lang w:eastAsia="en-US"/>
    </w:rPr>
  </w:style>
  <w:style w:type="paragraph" w:customStyle="1" w:styleId="En-ttedetabledesmatires">
    <w:name w:val="En-tête de table des matières"/>
    <w:basedOn w:val="Normal"/>
    <w:next w:val="Normal"/>
    <w:qFormat/>
    <w:rsid w:val="007C5D8A"/>
    <w:pPr>
      <w:keepNext/>
      <w:spacing w:before="240"/>
      <w:jc w:val="center"/>
    </w:pPr>
    <w:rPr>
      <w:b/>
    </w:rPr>
  </w:style>
  <w:style w:type="paragraph" w:customStyle="1" w:styleId="ColorfulList-Accent11">
    <w:name w:val="Colorful List - Accent 11"/>
    <w:basedOn w:val="Normal"/>
    <w:qFormat/>
    <w:rsid w:val="007C5D8A"/>
    <w:pPr>
      <w:spacing w:after="200" w:line="276" w:lineRule="auto"/>
      <w:ind w:left="720"/>
      <w:contextualSpacing/>
      <w:jc w:val="left"/>
    </w:pPr>
    <w:rPr>
      <w:rFonts w:ascii="Calibri" w:eastAsia="Calibri" w:hAnsi="Calibri"/>
      <w:sz w:val="22"/>
      <w:szCs w:val="22"/>
      <w:lang w:eastAsia="en-US"/>
    </w:rPr>
  </w:style>
  <w:style w:type="paragraph" w:customStyle="1" w:styleId="MediumGrid21">
    <w:name w:val="Medium Grid 21"/>
    <w:link w:val="MediumGrid2Char"/>
    <w:uiPriority w:val="1"/>
    <w:qFormat/>
    <w:rsid w:val="007C5D8A"/>
    <w:rPr>
      <w:rFonts w:ascii="Arial" w:hAnsi="Arial"/>
      <w:sz w:val="22"/>
      <w:szCs w:val="22"/>
      <w:lang w:eastAsia="en-US"/>
    </w:rPr>
  </w:style>
  <w:style w:type="character" w:customStyle="1" w:styleId="MediumGrid2Char">
    <w:name w:val="Medium Grid 2 Char"/>
    <w:link w:val="MediumGrid21"/>
    <w:uiPriority w:val="1"/>
    <w:locked/>
    <w:rsid w:val="007C5D8A"/>
    <w:rPr>
      <w:rFonts w:ascii="Arial" w:hAnsi="Arial"/>
      <w:sz w:val="22"/>
      <w:szCs w:val="22"/>
      <w:lang w:eastAsia="en-US"/>
    </w:rPr>
  </w:style>
  <w:style w:type="character" w:customStyle="1" w:styleId="subcontenttext2">
    <w:name w:val="subcontenttext2"/>
    <w:rsid w:val="007C5D8A"/>
    <w:rPr>
      <w:color w:val="000000"/>
    </w:rPr>
  </w:style>
  <w:style w:type="paragraph" w:customStyle="1" w:styleId="astandard">
    <w:name w:val="a__standard"/>
    <w:basedOn w:val="Normal"/>
    <w:rsid w:val="007C5D8A"/>
    <w:pPr>
      <w:spacing w:after="120"/>
      <w:ind w:right="57"/>
    </w:pPr>
    <w:rPr>
      <w:rFonts w:ascii="Times New Roman" w:hAnsi="Times New Roman"/>
      <w:szCs w:val="24"/>
    </w:rPr>
  </w:style>
  <w:style w:type="paragraph" w:customStyle="1" w:styleId="astandard3520normal">
    <w:name w:val="a_standard__35__20_normal"/>
    <w:basedOn w:val="Normal"/>
    <w:rsid w:val="007C5D8A"/>
    <w:pPr>
      <w:spacing w:after="120"/>
      <w:ind w:right="57"/>
    </w:pPr>
    <w:rPr>
      <w:rFonts w:ascii="Times New Roman" w:hAnsi="Times New Roman"/>
      <w:szCs w:val="24"/>
    </w:rPr>
  </w:style>
  <w:style w:type="paragraph" w:customStyle="1" w:styleId="astandardp1">
    <w:name w:val="a_standard_p1"/>
    <w:basedOn w:val="Normal"/>
    <w:rsid w:val="007C5D8A"/>
    <w:pPr>
      <w:spacing w:after="120"/>
      <w:ind w:right="57"/>
    </w:pPr>
    <w:rPr>
      <w:rFonts w:ascii="Times New Roman" w:hAnsi="Times New Roman"/>
      <w:szCs w:val="24"/>
    </w:rPr>
  </w:style>
  <w:style w:type="paragraph" w:customStyle="1" w:styleId="a3520normalp10">
    <w:name w:val="a__35__20_normal_p10"/>
    <w:basedOn w:val="Normal"/>
    <w:rsid w:val="007C5D8A"/>
    <w:pPr>
      <w:spacing w:after="120"/>
      <w:ind w:right="57"/>
    </w:pPr>
    <w:rPr>
      <w:rFonts w:ascii="Times New Roman" w:hAnsi="Times New Roman"/>
      <w:szCs w:val="24"/>
    </w:rPr>
  </w:style>
  <w:style w:type="paragraph" w:customStyle="1" w:styleId="asous-titre201p11">
    <w:name w:val="a_sous-titre_20_1_p11"/>
    <w:basedOn w:val="Normal"/>
    <w:rsid w:val="007C5D8A"/>
    <w:pPr>
      <w:spacing w:after="120"/>
      <w:ind w:right="57"/>
    </w:pPr>
    <w:rPr>
      <w:rFonts w:ascii="Times New Roman" w:hAnsi="Times New Roman"/>
      <w:b/>
      <w:bCs/>
      <w:szCs w:val="24"/>
    </w:rPr>
  </w:style>
  <w:style w:type="character" w:customStyle="1" w:styleId="at3">
    <w:name w:val="a__t3"/>
    <w:rsid w:val="007C5D8A"/>
  </w:style>
  <w:style w:type="character" w:customStyle="1" w:styleId="at5">
    <w:name w:val="a__t5"/>
    <w:rsid w:val="007C5D8A"/>
  </w:style>
  <w:style w:type="paragraph" w:customStyle="1" w:styleId="CM1">
    <w:name w:val="CM1"/>
    <w:basedOn w:val="Default"/>
    <w:next w:val="Default"/>
    <w:uiPriority w:val="99"/>
    <w:rsid w:val="007C5D8A"/>
    <w:rPr>
      <w:rFonts w:ascii="EUAlbertina" w:hAnsi="EUAlbertina"/>
      <w:color w:val="auto"/>
      <w:lang w:eastAsia="en-GB"/>
    </w:rPr>
  </w:style>
  <w:style w:type="paragraph" w:customStyle="1" w:styleId="CM3">
    <w:name w:val="CM3"/>
    <w:basedOn w:val="Default"/>
    <w:next w:val="Default"/>
    <w:uiPriority w:val="99"/>
    <w:rsid w:val="007C5D8A"/>
    <w:rPr>
      <w:rFonts w:ascii="EUAlbertina" w:hAnsi="EUAlbertina"/>
      <w:color w:val="auto"/>
      <w:lang w:eastAsia="en-GB"/>
    </w:rPr>
  </w:style>
  <w:style w:type="paragraph" w:customStyle="1" w:styleId="CM4">
    <w:name w:val="CM4"/>
    <w:basedOn w:val="Default"/>
    <w:next w:val="Default"/>
    <w:uiPriority w:val="99"/>
    <w:rsid w:val="007C5D8A"/>
    <w:rPr>
      <w:rFonts w:ascii="EUAlbertina" w:hAnsi="EUAlbertina"/>
      <w:color w:val="auto"/>
      <w:lang w:eastAsia="en-GB"/>
    </w:rPr>
  </w:style>
  <w:style w:type="character" w:customStyle="1" w:styleId="st1">
    <w:name w:val="st1"/>
    <w:rsid w:val="007C5D8A"/>
  </w:style>
  <w:style w:type="character" w:customStyle="1" w:styleId="CharacterStyle1">
    <w:name w:val="Character Style 1"/>
    <w:uiPriority w:val="99"/>
    <w:rsid w:val="007C5D8A"/>
    <w:rPr>
      <w:rFonts w:ascii="Arial" w:hAnsi="Arial" w:cs="Arial" w:hint="default"/>
      <w:sz w:val="6"/>
    </w:rPr>
  </w:style>
  <w:style w:type="character" w:customStyle="1" w:styleId="subcontenttextbold2">
    <w:name w:val="subcontenttextbold2"/>
    <w:rsid w:val="007C5D8A"/>
    <w:rPr>
      <w:b/>
      <w:bCs/>
      <w:color w:val="000000"/>
    </w:rPr>
  </w:style>
  <w:style w:type="paragraph" w:styleId="Revision">
    <w:name w:val="Revision"/>
    <w:hidden/>
    <w:uiPriority w:val="99"/>
    <w:semiHidden/>
    <w:rsid w:val="007C5D8A"/>
    <w:rPr>
      <w:rFonts w:ascii="Courier New" w:hAnsi="Courier New"/>
      <w:sz w:val="24"/>
    </w:rPr>
  </w:style>
  <w:style w:type="paragraph" w:customStyle="1" w:styleId="normal2">
    <w:name w:val="normal2"/>
    <w:basedOn w:val="Normal"/>
    <w:rsid w:val="007C5D8A"/>
    <w:pPr>
      <w:spacing w:before="195" w:after="0"/>
    </w:pPr>
    <w:rPr>
      <w:rFonts w:ascii="Times New Roman" w:hAnsi="Times New Roman"/>
      <w:szCs w:val="24"/>
    </w:rPr>
  </w:style>
  <w:style w:type="paragraph" w:customStyle="1" w:styleId="FootnoteReferneceChar">
    <w:name w:val="Footnote Refernece Char"/>
    <w:aliases w:val="BVI fnr Char Char Char Char Char Char Char Char Char,BVI fnr Car Car Char Char Char Char Char Char Char Char Char,BVI fnr Car Char Char Char Char Char Char Char Char Char Char,Footnote Refernece Char Char Char Char"/>
    <w:basedOn w:val="Normal"/>
    <w:rsid w:val="00E95D68"/>
    <w:pPr>
      <w:spacing w:before="240" w:after="160" w:line="240" w:lineRule="exact"/>
      <w:jc w:val="left"/>
    </w:pPr>
    <w:rPr>
      <w:rFonts w:ascii="Times New Roman" w:hAnsi="Times New Roman"/>
      <w:sz w:val="20"/>
      <w:vertAlign w:val="superscript"/>
    </w:rPr>
  </w:style>
  <w:style w:type="character" w:customStyle="1" w:styleId="PlainTextChar">
    <w:name w:val="Plain Text Char"/>
    <w:link w:val="PlainText"/>
    <w:uiPriority w:val="99"/>
    <w:rsid w:val="00866EEF"/>
    <w:rPr>
      <w:rFonts w:ascii="Courier New" w:hAnsi="Courier New"/>
    </w:rPr>
  </w:style>
  <w:style w:type="character" w:customStyle="1" w:styleId="A5">
    <w:name w:val="A5"/>
    <w:uiPriority w:val="99"/>
    <w:rsid w:val="007F48ED"/>
    <w:rPr>
      <w:rFonts w:cs="EC Square Sans Cond Pro"/>
      <w:color w:val="000000"/>
      <w:sz w:val="22"/>
      <w:szCs w:val="22"/>
    </w:rPr>
  </w:style>
  <w:style w:type="paragraph" w:customStyle="1" w:styleId="Appelnotedebasdep">
    <w:name w:val="Appel note de bas de p"/>
    <w:aliases w:val="Nota,Ref, Char1,(NECG) Footnote Reference,fr,Style 6,Signature Ch"/>
    <w:basedOn w:val="Normal"/>
    <w:next w:val="Normal"/>
    <w:uiPriority w:val="99"/>
    <w:rsid w:val="008C79B9"/>
    <w:pPr>
      <w:spacing w:after="160" w:line="240" w:lineRule="exact"/>
      <w:jc w:val="left"/>
    </w:pPr>
    <w:rPr>
      <w:rFonts w:ascii="Times New Roman" w:hAnsi="Times New Roman"/>
      <w:sz w:val="20"/>
      <w:vertAlign w:val="superscript"/>
    </w:rPr>
  </w:style>
  <w:style w:type="character" w:customStyle="1" w:styleId="Corpsdutexte5">
    <w:name w:val="Corps du texte (5)_"/>
    <w:link w:val="Corpsdutexte50"/>
    <w:rsid w:val="00096700"/>
    <w:rPr>
      <w:sz w:val="22"/>
      <w:szCs w:val="22"/>
      <w:shd w:val="clear" w:color="auto" w:fill="FFFFFF"/>
    </w:rPr>
  </w:style>
  <w:style w:type="paragraph" w:customStyle="1" w:styleId="Corpsdutexte50">
    <w:name w:val="Corps du texte (5)"/>
    <w:basedOn w:val="Normal"/>
    <w:link w:val="Corpsdutexte5"/>
    <w:rsid w:val="00096700"/>
    <w:pPr>
      <w:widowControl w:val="0"/>
      <w:shd w:val="clear" w:color="auto" w:fill="FFFFFF"/>
      <w:spacing w:before="300" w:after="60" w:line="0" w:lineRule="atLeast"/>
      <w:ind w:hanging="360"/>
      <w:jc w:val="left"/>
    </w:pPr>
    <w:rPr>
      <w:rFonts w:ascii="Times New Roman" w:hAnsi="Times New Roman"/>
      <w:sz w:val="22"/>
      <w:szCs w:val="22"/>
    </w:rPr>
  </w:style>
  <w:style w:type="paragraph" w:customStyle="1" w:styleId="-FNCharCharChar">
    <w:name w:val="Знак сноски-FN Char Char Char"/>
    <w:aliases w:val="сноска Char Char Char,Footnote Reference 2 Char Char Char Char Char,16 Point Char Char Char Char Char,Superscript 6 Point Char Char Char Char Char,BVI fnr Char Char Char Char Char"/>
    <w:basedOn w:val="Normal"/>
    <w:uiPriority w:val="99"/>
    <w:rsid w:val="00D8297C"/>
    <w:pPr>
      <w:spacing w:after="160" w:line="240" w:lineRule="exact"/>
      <w:jc w:val="left"/>
    </w:pPr>
    <w:rPr>
      <w:rFonts w:ascii="Times New Roman" w:hAnsi="Times New Roman"/>
      <w:sz w:val="20"/>
      <w:vertAlign w:val="superscript"/>
    </w:rPr>
  </w:style>
  <w:style w:type="character" w:styleId="EndnoteReference">
    <w:name w:val="endnote reference"/>
    <w:rsid w:val="000B70BC"/>
    <w:rPr>
      <w:vertAlign w:val="superscript"/>
    </w:rPr>
  </w:style>
  <w:style w:type="character" w:customStyle="1" w:styleId="Bodytext29pt">
    <w:name w:val="Body text (2) + 9 pt"/>
    <w:rsid w:val="000B70BC"/>
    <w:rPr>
      <w:rFonts w:ascii="Arial" w:eastAsia="Arial" w:hAnsi="Arial" w:cs="Arial" w:hint="default"/>
      <w:b w:val="0"/>
      <w:bCs w:val="0"/>
      <w:i w:val="0"/>
      <w:iCs w:val="0"/>
      <w:smallCaps w:val="0"/>
      <w:strike w:val="0"/>
      <w:dstrike w:val="0"/>
      <w:color w:val="000000"/>
      <w:spacing w:val="0"/>
      <w:w w:val="100"/>
      <w:position w:val="0"/>
      <w:sz w:val="18"/>
      <w:szCs w:val="18"/>
      <w:u w:val="none"/>
      <w:effect w:val="none"/>
      <w:lang w:val="fr-FR" w:eastAsia="en-US" w:bidi="en-US"/>
    </w:rPr>
  </w:style>
  <w:style w:type="character" w:customStyle="1" w:styleId="EndnoteTextChar">
    <w:name w:val="Endnote Text Char"/>
    <w:link w:val="EndnoteText"/>
    <w:uiPriority w:val="99"/>
    <w:semiHidden/>
    <w:rsid w:val="000B70BC"/>
    <w:rPr>
      <w:rFonts w:ascii="Courier New" w:hAnsi="Courier New"/>
    </w:rPr>
  </w:style>
  <w:style w:type="paragraph" w:customStyle="1" w:styleId="briefingtext0">
    <w:name w:val="briefingtext"/>
    <w:basedOn w:val="Normal"/>
    <w:rsid w:val="00441AFE"/>
    <w:rPr>
      <w:rFonts w:ascii="Arial" w:eastAsia="Calibri" w:hAnsi="Arial" w:cs="Arial"/>
      <w:sz w:val="22"/>
      <w:szCs w:val="22"/>
    </w:rPr>
  </w:style>
  <w:style w:type="character" w:customStyle="1" w:styleId="tgc">
    <w:name w:val="_tgc"/>
    <w:rsid w:val="003B7B24"/>
  </w:style>
  <w:style w:type="character" w:customStyle="1" w:styleId="reference">
    <w:name w:val="reference"/>
    <w:rsid w:val="00E46D65"/>
  </w:style>
  <w:style w:type="character" w:customStyle="1" w:styleId="playerscommitteetext">
    <w:name w:val="players_committee_text"/>
    <w:rsid w:val="00CF0D39"/>
  </w:style>
  <w:style w:type="character" w:customStyle="1" w:styleId="ScenesetterText">
    <w:name w:val="Scene setter Text"/>
    <w:uiPriority w:val="12"/>
    <w:qFormat/>
    <w:rsid w:val="00F34622"/>
    <w:rPr>
      <w:rFonts w:ascii="Times New Roman Bold" w:hAnsi="Times New Roman Bold"/>
      <w:b/>
      <w:bCs/>
      <w:i w:val="0"/>
      <w:color w:val="auto"/>
      <w:sz w:val="24"/>
    </w:rPr>
  </w:style>
  <w:style w:type="paragraph" w:customStyle="1" w:styleId="Body">
    <w:name w:val="Body"/>
    <w:link w:val="BodyChar"/>
    <w:qFormat/>
    <w:rsid w:val="0008040A"/>
    <w:pPr>
      <w:pBdr>
        <w:top w:val="none" w:sz="96" w:space="31" w:color="FFFFFF" w:frame="1"/>
        <w:left w:val="none" w:sz="96" w:space="31" w:color="FFFFFF" w:frame="1"/>
        <w:bottom w:val="none" w:sz="96" w:space="31" w:color="FFFFFF" w:frame="1"/>
        <w:right w:val="none" w:sz="96" w:space="31" w:color="FFFFFF" w:frame="1"/>
      </w:pBdr>
      <w:spacing w:after="240"/>
      <w:jc w:val="both"/>
    </w:pPr>
    <w:rPr>
      <w:color w:val="000000"/>
      <w:sz w:val="24"/>
      <w:szCs w:val="24"/>
      <w:u w:color="000000"/>
    </w:rPr>
  </w:style>
  <w:style w:type="paragraph" w:customStyle="1" w:styleId="BodyA">
    <w:name w:val="Body A"/>
    <w:rsid w:val="000A7C9B"/>
    <w:pPr>
      <w:pBdr>
        <w:top w:val="nil"/>
        <w:left w:val="nil"/>
        <w:bottom w:val="nil"/>
        <w:right w:val="nil"/>
        <w:between w:val="nil"/>
        <w:bar w:val="nil"/>
      </w:pBdr>
      <w:spacing w:after="240"/>
      <w:jc w:val="both"/>
    </w:pPr>
    <w:rPr>
      <w:color w:val="000000"/>
      <w:sz w:val="24"/>
      <w:szCs w:val="24"/>
      <w:u w:color="000000"/>
      <w:bdr w:val="nil"/>
    </w:rPr>
  </w:style>
  <w:style w:type="paragraph" w:customStyle="1" w:styleId="paragraph">
    <w:name w:val="paragraph"/>
    <w:basedOn w:val="Normal"/>
    <w:rsid w:val="00910F6E"/>
    <w:pPr>
      <w:spacing w:before="100" w:beforeAutospacing="1" w:after="100" w:afterAutospacing="1"/>
      <w:jc w:val="left"/>
    </w:pPr>
    <w:rPr>
      <w:rFonts w:ascii="Times New Roman" w:hAnsi="Times New Roman"/>
      <w:szCs w:val="24"/>
      <w:lang w:eastAsia="en-IE"/>
    </w:rPr>
  </w:style>
  <w:style w:type="character" w:customStyle="1" w:styleId="normaltextrun">
    <w:name w:val="normaltextrun"/>
    <w:basedOn w:val="DefaultParagraphFont"/>
    <w:rsid w:val="00910F6E"/>
  </w:style>
  <w:style w:type="character" w:customStyle="1" w:styleId="eop">
    <w:name w:val="eop"/>
    <w:basedOn w:val="DefaultParagraphFont"/>
    <w:rsid w:val="00910F6E"/>
  </w:style>
  <w:style w:type="character" w:customStyle="1" w:styleId="superscript">
    <w:name w:val="superscript"/>
    <w:basedOn w:val="DefaultParagraphFont"/>
    <w:rsid w:val="00910F6E"/>
  </w:style>
  <w:style w:type="character" w:customStyle="1" w:styleId="scxw257909334">
    <w:name w:val="scxw257909334"/>
    <w:basedOn w:val="DefaultParagraphFont"/>
    <w:rsid w:val="004C1E00"/>
  </w:style>
  <w:style w:type="character" w:customStyle="1" w:styleId="scxw30748734">
    <w:name w:val="scxw30748734"/>
    <w:basedOn w:val="DefaultParagraphFont"/>
    <w:rsid w:val="0095622E"/>
  </w:style>
  <w:style w:type="character" w:customStyle="1" w:styleId="findhit">
    <w:name w:val="findhit"/>
    <w:basedOn w:val="DefaultParagraphFont"/>
    <w:rsid w:val="006A46A6"/>
  </w:style>
  <w:style w:type="character" w:customStyle="1" w:styleId="ListParagraphChar">
    <w:name w:val="List Paragraph Char"/>
    <w:aliases w:val="Dot pt Char,F5 List Paragraph Char,List Paragraph1 Char,No Spacing1 Char,List Paragraph Char Char Char Char,Indicator Text Char,Numbered Para 1 Char,Bullet 1 Char,Bullet Points Char,MAIN CONTENT Char,List Paragraph11 Char,L Char"/>
    <w:link w:val="ListParagraph"/>
    <w:uiPriority w:val="34"/>
    <w:qFormat/>
    <w:locked/>
    <w:rsid w:val="00AB1811"/>
    <w:rPr>
      <w:rFonts w:ascii="Calibri" w:eastAsia="Calibri" w:hAnsi="Calibri"/>
      <w:sz w:val="22"/>
      <w:szCs w:val="22"/>
      <w:lang w:val="fr-FR" w:eastAsia="en-US"/>
    </w:rPr>
  </w:style>
  <w:style w:type="character" w:styleId="Mention">
    <w:name w:val="Mention"/>
    <w:basedOn w:val="DefaultParagraphFont"/>
    <w:uiPriority w:val="99"/>
    <w:unhideWhenUsed/>
    <w:rPr>
      <w:color w:val="2B579A"/>
      <w:shd w:val="clear" w:color="auto" w:fill="E6E6E6"/>
    </w:rPr>
  </w:style>
  <w:style w:type="character" w:customStyle="1" w:styleId="DateChar">
    <w:name w:val="Date Char"/>
    <w:basedOn w:val="DefaultParagraphFont"/>
    <w:link w:val="Date"/>
    <w:rsid w:val="00732664"/>
    <w:rPr>
      <w:rFonts w:ascii="Courier New" w:hAnsi="Courier New"/>
      <w:sz w:val="24"/>
    </w:rPr>
  </w:style>
  <w:style w:type="paragraph" w:customStyle="1" w:styleId="ZFlag">
    <w:name w:val="Z_Flag"/>
    <w:basedOn w:val="Normal"/>
    <w:next w:val="Normal"/>
    <w:uiPriority w:val="99"/>
    <w:semiHidden/>
    <w:rsid w:val="00732664"/>
    <w:pPr>
      <w:widowControl w:val="0"/>
      <w:spacing w:after="0"/>
      <w:ind w:right="85"/>
    </w:pPr>
    <w:rPr>
      <w:rFonts w:ascii="Times New Roman" w:hAnsi="Times New Roman"/>
      <w:lang w:eastAsia="fr-BE"/>
    </w:rPr>
  </w:style>
  <w:style w:type="table" w:customStyle="1" w:styleId="TableLetterhead">
    <w:name w:val="Table Letterhead"/>
    <w:basedOn w:val="TableNormal"/>
    <w:uiPriority w:val="99"/>
    <w:rsid w:val="00732664"/>
    <w:rPr>
      <w:sz w:val="24"/>
      <w:lang w:eastAsia="fr-BE"/>
    </w:rPr>
    <w:tblPr>
      <w:tblInd w:w="0" w:type="nil"/>
      <w:tblCellMar>
        <w:left w:w="0" w:type="dxa"/>
        <w:bottom w:w="340" w:type="dxa"/>
        <w:right w:w="0" w:type="dxa"/>
      </w:tblCellMar>
    </w:tblPr>
  </w:style>
  <w:style w:type="character" w:customStyle="1" w:styleId="FootnoteTextChar1CharChar1">
    <w:name w:val="Footnote Text Char1 Char Char1"/>
    <w:aliases w:val="Fußnotentext Char Char1 Char Char Char1,Fußnotentext Char1 Char1 Char Char Char Char1,Fußnotentext Char Char Char Char Char Char Char1 Char1,Footnote Text Char1 Char2,AF Fußnotentext Char"/>
    <w:basedOn w:val="DefaultParagraphFont"/>
    <w:uiPriority w:val="1"/>
    <w:qFormat/>
    <w:rsid w:val="00732664"/>
    <w:rPr>
      <w:rFonts w:ascii="Courier New" w:eastAsia="Times New Roman" w:hAnsi="Courier New" w:cs="Times New Roman"/>
      <w:sz w:val="20"/>
      <w:szCs w:val="20"/>
      <w:lang w:eastAsia="en-GB"/>
    </w:rPr>
  </w:style>
  <w:style w:type="character" w:customStyle="1" w:styleId="BalloonTextChar">
    <w:name w:val="Balloon Text Char"/>
    <w:basedOn w:val="DefaultParagraphFont"/>
    <w:link w:val="BalloonText"/>
    <w:semiHidden/>
    <w:rsid w:val="00732664"/>
    <w:rPr>
      <w:rFonts w:ascii="Tahoma" w:hAnsi="Tahoma" w:cs="Tahoma"/>
      <w:sz w:val="16"/>
      <w:szCs w:val="16"/>
    </w:rPr>
  </w:style>
  <w:style w:type="character" w:customStyle="1" w:styleId="BodyChar">
    <w:name w:val="Body Char"/>
    <w:link w:val="Body"/>
    <w:rsid w:val="00732664"/>
    <w:rPr>
      <w:color w:val="000000"/>
      <w:sz w:val="24"/>
      <w:szCs w:val="24"/>
      <w:u w:color="000000"/>
    </w:rPr>
  </w:style>
  <w:style w:type="character" w:customStyle="1" w:styleId="HeaderChar">
    <w:name w:val="Header Char"/>
    <w:basedOn w:val="DefaultParagraphFont"/>
    <w:link w:val="Header"/>
    <w:rsid w:val="00732664"/>
    <w:rPr>
      <w:rFonts w:ascii="Courier New" w:hAnsi="Courier New"/>
      <w:sz w:val="24"/>
    </w:rPr>
  </w:style>
  <w:style w:type="character" w:customStyle="1" w:styleId="Heading2Char">
    <w:name w:val="Heading 2 Char"/>
    <w:basedOn w:val="DefaultParagraphFont"/>
    <w:link w:val="Heading2"/>
    <w:rsid w:val="00732664"/>
    <w:rPr>
      <w:rFonts w:ascii="Courier New" w:hAnsi="Courier New"/>
      <w:b/>
      <w:sz w:val="24"/>
    </w:rPr>
  </w:style>
  <w:style w:type="character" w:customStyle="1" w:styleId="Heading4Char">
    <w:name w:val="Heading 4 Char"/>
    <w:basedOn w:val="DefaultParagraphFont"/>
    <w:link w:val="Heading4"/>
    <w:rsid w:val="00732664"/>
    <w:rPr>
      <w:rFonts w:ascii="Courier New" w:hAnsi="Courier New"/>
      <w:sz w:val="24"/>
    </w:rPr>
  </w:style>
  <w:style w:type="character" w:customStyle="1" w:styleId="Heading5Char">
    <w:name w:val="Heading 5 Char"/>
    <w:basedOn w:val="DefaultParagraphFont"/>
    <w:link w:val="Heading5"/>
    <w:rsid w:val="00732664"/>
    <w:rPr>
      <w:rFonts w:ascii="Arial" w:hAnsi="Arial"/>
      <w:sz w:val="22"/>
    </w:rPr>
  </w:style>
  <w:style w:type="character" w:customStyle="1" w:styleId="Heading6Char">
    <w:name w:val="Heading 6 Char"/>
    <w:basedOn w:val="DefaultParagraphFont"/>
    <w:link w:val="Heading6"/>
    <w:rsid w:val="00732664"/>
    <w:rPr>
      <w:rFonts w:ascii="Arial" w:hAnsi="Arial"/>
      <w:i/>
      <w:sz w:val="22"/>
    </w:rPr>
  </w:style>
  <w:style w:type="character" w:customStyle="1" w:styleId="Heading7Char">
    <w:name w:val="Heading 7 Char"/>
    <w:basedOn w:val="DefaultParagraphFont"/>
    <w:link w:val="Heading7"/>
    <w:rsid w:val="00732664"/>
    <w:rPr>
      <w:rFonts w:ascii="Arial" w:hAnsi="Arial"/>
    </w:rPr>
  </w:style>
  <w:style w:type="character" w:customStyle="1" w:styleId="Heading8Char">
    <w:name w:val="Heading 8 Char"/>
    <w:basedOn w:val="DefaultParagraphFont"/>
    <w:link w:val="Heading8"/>
    <w:rsid w:val="00732664"/>
    <w:rPr>
      <w:rFonts w:ascii="Arial" w:hAnsi="Arial"/>
      <w:i/>
    </w:rPr>
  </w:style>
  <w:style w:type="character" w:customStyle="1" w:styleId="Heading9Char">
    <w:name w:val="Heading 9 Char"/>
    <w:basedOn w:val="DefaultParagraphFont"/>
    <w:link w:val="Heading9"/>
    <w:rsid w:val="00732664"/>
    <w:rPr>
      <w:rFonts w:ascii="Arial" w:hAnsi="Arial"/>
      <w:i/>
      <w:sz w:val="18"/>
    </w:rPr>
  </w:style>
  <w:style w:type="character" w:customStyle="1" w:styleId="BodyTextChar">
    <w:name w:val="Body Text Char"/>
    <w:basedOn w:val="DefaultParagraphFont"/>
    <w:link w:val="BodyText"/>
    <w:rsid w:val="00732664"/>
    <w:rPr>
      <w:rFonts w:ascii="Courier New" w:hAnsi="Courier New"/>
      <w:sz w:val="24"/>
    </w:rPr>
  </w:style>
  <w:style w:type="character" w:customStyle="1" w:styleId="BodyText2Char">
    <w:name w:val="Body Text 2 Char"/>
    <w:basedOn w:val="DefaultParagraphFont"/>
    <w:link w:val="BodyText2"/>
    <w:rsid w:val="00732664"/>
    <w:rPr>
      <w:rFonts w:ascii="Courier New" w:hAnsi="Courier New"/>
      <w:sz w:val="24"/>
    </w:rPr>
  </w:style>
  <w:style w:type="character" w:customStyle="1" w:styleId="BodyText3Char">
    <w:name w:val="Body Text 3 Char"/>
    <w:basedOn w:val="DefaultParagraphFont"/>
    <w:link w:val="BodyText3"/>
    <w:rsid w:val="00732664"/>
    <w:rPr>
      <w:rFonts w:ascii="Courier New" w:hAnsi="Courier New"/>
      <w:sz w:val="16"/>
    </w:rPr>
  </w:style>
  <w:style w:type="character" w:customStyle="1" w:styleId="BodyTextFirstIndentChar">
    <w:name w:val="Body Text First Indent Char"/>
    <w:basedOn w:val="BodyTextChar"/>
    <w:link w:val="BodyTextFirstIndent"/>
    <w:rsid w:val="00732664"/>
    <w:rPr>
      <w:rFonts w:ascii="Courier New" w:hAnsi="Courier New"/>
      <w:sz w:val="24"/>
    </w:rPr>
  </w:style>
  <w:style w:type="character" w:customStyle="1" w:styleId="BodyTextIndentChar">
    <w:name w:val="Body Text Indent Char"/>
    <w:basedOn w:val="DefaultParagraphFont"/>
    <w:link w:val="BodyTextIndent"/>
    <w:rsid w:val="00732664"/>
    <w:rPr>
      <w:rFonts w:ascii="Courier New" w:hAnsi="Courier New"/>
      <w:sz w:val="24"/>
    </w:rPr>
  </w:style>
  <w:style w:type="character" w:customStyle="1" w:styleId="BodyTextFirstIndent2Char">
    <w:name w:val="Body Text First Indent 2 Char"/>
    <w:basedOn w:val="BodyTextIndentChar"/>
    <w:link w:val="BodyTextFirstIndent2"/>
    <w:rsid w:val="00732664"/>
    <w:rPr>
      <w:rFonts w:ascii="Courier New" w:hAnsi="Courier New"/>
      <w:sz w:val="24"/>
    </w:rPr>
  </w:style>
  <w:style w:type="character" w:customStyle="1" w:styleId="BodyTextIndent2Char">
    <w:name w:val="Body Text Indent 2 Char"/>
    <w:basedOn w:val="DefaultParagraphFont"/>
    <w:link w:val="BodyTextIndent2"/>
    <w:rsid w:val="00732664"/>
    <w:rPr>
      <w:rFonts w:ascii="Courier New" w:hAnsi="Courier New"/>
      <w:sz w:val="24"/>
    </w:rPr>
  </w:style>
  <w:style w:type="character" w:customStyle="1" w:styleId="BodyTextIndent3Char">
    <w:name w:val="Body Text Indent 3 Char"/>
    <w:basedOn w:val="DefaultParagraphFont"/>
    <w:link w:val="BodyTextIndent3"/>
    <w:rsid w:val="00732664"/>
    <w:rPr>
      <w:rFonts w:ascii="Courier New" w:hAnsi="Courier New"/>
      <w:sz w:val="16"/>
    </w:rPr>
  </w:style>
  <w:style w:type="character" w:customStyle="1" w:styleId="ClosingChar">
    <w:name w:val="Closing Char"/>
    <w:basedOn w:val="DefaultParagraphFont"/>
    <w:link w:val="Closing"/>
    <w:rsid w:val="00732664"/>
    <w:rPr>
      <w:rFonts w:ascii="Courier New" w:hAnsi="Courier New"/>
      <w:sz w:val="24"/>
    </w:rPr>
  </w:style>
  <w:style w:type="character" w:customStyle="1" w:styleId="SignatureChar">
    <w:name w:val="Signature Char"/>
    <w:basedOn w:val="DefaultParagraphFont"/>
    <w:link w:val="Signature"/>
    <w:rsid w:val="00732664"/>
    <w:rPr>
      <w:rFonts w:ascii="Courier New" w:hAnsi="Courier New"/>
      <w:sz w:val="24"/>
    </w:rPr>
  </w:style>
  <w:style w:type="character" w:customStyle="1" w:styleId="DocumentMapChar">
    <w:name w:val="Document Map Char"/>
    <w:basedOn w:val="DefaultParagraphFont"/>
    <w:link w:val="DocumentMap"/>
    <w:semiHidden/>
    <w:rsid w:val="00732664"/>
    <w:rPr>
      <w:rFonts w:ascii="Tahoma" w:hAnsi="Tahoma"/>
      <w:sz w:val="24"/>
      <w:shd w:val="clear" w:color="auto" w:fill="000080"/>
    </w:rPr>
  </w:style>
  <w:style w:type="character" w:customStyle="1" w:styleId="MacroTextChar">
    <w:name w:val="Macro Text Char"/>
    <w:basedOn w:val="DefaultParagraphFont"/>
    <w:link w:val="MacroText"/>
    <w:semiHidden/>
    <w:rsid w:val="00732664"/>
    <w:rPr>
      <w:rFonts w:ascii="Courier New" w:hAnsi="Courier New"/>
    </w:rPr>
  </w:style>
  <w:style w:type="character" w:customStyle="1" w:styleId="MessageHeaderChar">
    <w:name w:val="Message Header Char"/>
    <w:basedOn w:val="DefaultParagraphFont"/>
    <w:link w:val="MessageHeader"/>
    <w:rsid w:val="00732664"/>
    <w:rPr>
      <w:rFonts w:ascii="Arial" w:hAnsi="Arial"/>
      <w:sz w:val="24"/>
      <w:shd w:val="pct20" w:color="auto" w:fill="auto"/>
    </w:rPr>
  </w:style>
  <w:style w:type="character" w:customStyle="1" w:styleId="NoteHeadingChar">
    <w:name w:val="Note Heading Char"/>
    <w:basedOn w:val="DefaultParagraphFont"/>
    <w:link w:val="NoteHeading"/>
    <w:rsid w:val="00732664"/>
    <w:rPr>
      <w:rFonts w:ascii="Courier New" w:hAnsi="Courier New"/>
      <w:sz w:val="24"/>
    </w:rPr>
  </w:style>
  <w:style w:type="character" w:customStyle="1" w:styleId="SalutationChar">
    <w:name w:val="Salutation Char"/>
    <w:basedOn w:val="DefaultParagraphFont"/>
    <w:link w:val="Salutation"/>
    <w:rsid w:val="00732664"/>
    <w:rPr>
      <w:rFonts w:ascii="Courier New" w:hAnsi="Courier New"/>
      <w:sz w:val="24"/>
    </w:rPr>
  </w:style>
  <w:style w:type="character" w:customStyle="1" w:styleId="SubtitleChar">
    <w:name w:val="Subtitle Char"/>
    <w:basedOn w:val="DefaultParagraphFont"/>
    <w:link w:val="Subtitle"/>
    <w:rsid w:val="00732664"/>
    <w:rPr>
      <w:rFonts w:ascii="Arial" w:hAnsi="Arial"/>
      <w:sz w:val="24"/>
    </w:rPr>
  </w:style>
  <w:style w:type="character" w:customStyle="1" w:styleId="TitleChar">
    <w:name w:val="Title Char"/>
    <w:basedOn w:val="DefaultParagraphFont"/>
    <w:link w:val="Title"/>
    <w:rsid w:val="00732664"/>
    <w:rPr>
      <w:rFonts w:ascii="Arial" w:hAnsi="Arial"/>
      <w:b/>
      <w:kern w:val="28"/>
      <w:sz w:val="32"/>
    </w:rPr>
  </w:style>
  <w:style w:type="paragraph" w:customStyle="1" w:styleId="CharCharChar0">
    <w:name w:val="Char Char Char0"/>
    <w:basedOn w:val="Normal"/>
    <w:uiPriority w:val="99"/>
    <w:rsid w:val="00732664"/>
    <w:pPr>
      <w:spacing w:after="160" w:line="240" w:lineRule="exact"/>
      <w:jc w:val="left"/>
    </w:pPr>
    <w:rPr>
      <w:rFonts w:ascii="Tahoma" w:hAnsi="Tahoma"/>
      <w:sz w:val="20"/>
      <w:lang w:eastAsia="en-US"/>
    </w:rPr>
  </w:style>
  <w:style w:type="character" w:customStyle="1" w:styleId="CommentSubjectChar">
    <w:name w:val="Comment Subject Char"/>
    <w:aliases w:val=" Char Char Char Char Char Char"/>
    <w:basedOn w:val="CommentTextChar"/>
    <w:link w:val="CommentSubject"/>
    <w:semiHidden/>
    <w:rsid w:val="00732664"/>
    <w:rPr>
      <w:rFonts w:ascii="Courier New" w:hAnsi="Courier New"/>
      <w:b/>
      <w:bCs/>
      <w:snapToGrid w:val="0"/>
      <w:lang w:val="fr-FR" w:eastAsia="en-GB" w:bidi="ar-SA"/>
    </w:rPr>
  </w:style>
  <w:style w:type="paragraph" w:customStyle="1" w:styleId="ZnakZnak0">
    <w:name w:val="Znak Znak0"/>
    <w:basedOn w:val="Normal"/>
    <w:rsid w:val="00732664"/>
    <w:pPr>
      <w:spacing w:after="0" w:line="360" w:lineRule="auto"/>
    </w:pPr>
    <w:rPr>
      <w:rFonts w:ascii="Verdana" w:hAnsi="Verdana"/>
      <w:sz w:val="20"/>
      <w:lang w:eastAsia="pl-PL"/>
    </w:rPr>
  </w:style>
  <w:style w:type="character" w:customStyle="1" w:styleId="playersrapportertext">
    <w:name w:val="players_rapporter_text"/>
    <w:rsid w:val="00732664"/>
  </w:style>
  <w:style w:type="character" w:customStyle="1" w:styleId="UnresolvedMention1">
    <w:name w:val="Unresolved Mention1"/>
    <w:basedOn w:val="DefaultParagraphFont"/>
    <w:uiPriority w:val="99"/>
    <w:semiHidden/>
    <w:unhideWhenUsed/>
    <w:rsid w:val="00732664"/>
    <w:rPr>
      <w:color w:val="605E5C"/>
      <w:shd w:val="clear" w:color="auto" w:fill="E1DFDD"/>
    </w:rPr>
  </w:style>
  <w:style w:type="character" w:customStyle="1" w:styleId="epname">
    <w:name w:val="ep_name"/>
    <w:rsid w:val="00732664"/>
  </w:style>
  <w:style w:type="character" w:customStyle="1" w:styleId="Bodytext10">
    <w:name w:val="Body text|1_"/>
    <w:link w:val="Bodytext11"/>
    <w:rsid w:val="00732664"/>
  </w:style>
  <w:style w:type="paragraph" w:customStyle="1" w:styleId="Bodytext11">
    <w:name w:val="Body text|1"/>
    <w:basedOn w:val="Normal"/>
    <w:link w:val="Bodytext10"/>
    <w:rsid w:val="00732664"/>
    <w:pPr>
      <w:widowControl w:val="0"/>
      <w:spacing w:after="220"/>
      <w:jc w:val="left"/>
    </w:pPr>
    <w:rPr>
      <w:rFonts w:ascii="Times New Roman" w:hAnsi="Times New Roman"/>
      <w:sz w:val="20"/>
    </w:rPr>
  </w:style>
  <w:style w:type="character" w:customStyle="1" w:styleId="Briefinglist1Char">
    <w:name w:val="Briefing list 1 Char"/>
    <w:link w:val="Briefinglist1"/>
    <w:qFormat/>
    <w:rsid w:val="00732664"/>
    <w:rPr>
      <w:sz w:val="24"/>
      <w:szCs w:val="24"/>
    </w:rPr>
  </w:style>
  <w:style w:type="paragraph" w:customStyle="1" w:styleId="RTDBody">
    <w:name w:val="RTD Body"/>
    <w:basedOn w:val="Normal"/>
    <w:link w:val="RTDBodyChar"/>
    <w:qFormat/>
    <w:rsid w:val="00732664"/>
    <w:pPr>
      <w:spacing w:after="200" w:line="276" w:lineRule="auto"/>
    </w:pPr>
    <w:rPr>
      <w:rFonts w:ascii="EC Square Sans Pro" w:eastAsia="Calibri" w:hAnsi="EC Square Sans Pro"/>
      <w:sz w:val="22"/>
      <w:szCs w:val="22"/>
      <w:lang w:eastAsia="en-US"/>
    </w:rPr>
  </w:style>
  <w:style w:type="character" w:customStyle="1" w:styleId="RTDBodyChar">
    <w:name w:val="RTD Body Char"/>
    <w:link w:val="RTDBody"/>
    <w:rsid w:val="00732664"/>
    <w:rPr>
      <w:rFonts w:ascii="EC Square Sans Pro" w:eastAsia="Calibri" w:hAnsi="EC Square Sans Pro"/>
      <w:sz w:val="22"/>
      <w:szCs w:val="22"/>
      <w:lang w:val="fr-FR" w:eastAsia="en-US"/>
    </w:rPr>
  </w:style>
  <w:style w:type="paragraph" w:customStyle="1" w:styleId="selectionshareable">
    <w:name w:val="selectionshareable"/>
    <w:basedOn w:val="Normal"/>
    <w:rsid w:val="00732664"/>
    <w:pPr>
      <w:spacing w:before="100" w:beforeAutospacing="1" w:after="100" w:afterAutospacing="1"/>
      <w:jc w:val="left"/>
    </w:pPr>
    <w:rPr>
      <w:rFonts w:ascii="Calibri" w:eastAsia="Calibri" w:hAnsi="Calibri"/>
      <w:sz w:val="22"/>
      <w:szCs w:val="22"/>
    </w:rPr>
  </w:style>
  <w:style w:type="character" w:customStyle="1" w:styleId="VoetnoottekstRutgersChar">
    <w:name w:val="Voetnoottekst Rutgers Char"/>
    <w:uiPriority w:val="99"/>
    <w:semiHidden/>
    <w:locked/>
    <w:rsid w:val="00732664"/>
  </w:style>
  <w:style w:type="character" w:customStyle="1" w:styleId="NormalHanging12aChar">
    <w:name w:val="NormalHanging12a Char"/>
    <w:link w:val="NormalHanging12a"/>
    <w:locked/>
    <w:rsid w:val="00732664"/>
  </w:style>
  <w:style w:type="paragraph" w:customStyle="1" w:styleId="NormalHanging12a">
    <w:name w:val="NormalHanging12a"/>
    <w:basedOn w:val="Normal"/>
    <w:link w:val="NormalHanging12aChar"/>
    <w:rsid w:val="00732664"/>
    <w:pPr>
      <w:ind w:left="567" w:hanging="567"/>
      <w:jc w:val="left"/>
    </w:pPr>
    <w:rPr>
      <w:rFonts w:ascii="Times New Roman" w:hAnsi="Times New Roman"/>
      <w:sz w:val="20"/>
    </w:rPr>
  </w:style>
  <w:style w:type="character" w:customStyle="1" w:styleId="markedcontent">
    <w:name w:val="markedcontent"/>
    <w:rsid w:val="00732664"/>
  </w:style>
  <w:style w:type="paragraph" w:customStyle="1" w:styleId="Pointabc">
    <w:name w:val="Point abc"/>
    <w:basedOn w:val="Normal"/>
    <w:rsid w:val="00732664"/>
    <w:pPr>
      <w:numPr>
        <w:ilvl w:val="1"/>
        <w:numId w:val="28"/>
      </w:numPr>
      <w:tabs>
        <w:tab w:val="clear" w:pos="567"/>
      </w:tabs>
      <w:spacing w:before="120" w:after="120" w:line="360" w:lineRule="auto"/>
      <w:ind w:left="1440" w:hanging="360"/>
      <w:jc w:val="left"/>
    </w:pPr>
    <w:rPr>
      <w:rFonts w:ascii="Times New Roman" w:eastAsia="Calibri" w:hAnsi="Times New Roman"/>
      <w:szCs w:val="22"/>
      <w:lang w:eastAsia="en-US"/>
    </w:rPr>
  </w:style>
  <w:style w:type="paragraph" w:customStyle="1" w:styleId="Pointabc1">
    <w:name w:val="Point abc (1)"/>
    <w:basedOn w:val="Normal"/>
    <w:rsid w:val="00732664"/>
    <w:pPr>
      <w:numPr>
        <w:ilvl w:val="3"/>
        <w:numId w:val="28"/>
      </w:numPr>
      <w:tabs>
        <w:tab w:val="clear" w:pos="1134"/>
      </w:tabs>
      <w:spacing w:before="120" w:after="120" w:line="360" w:lineRule="auto"/>
      <w:ind w:left="2880" w:hanging="360"/>
      <w:jc w:val="left"/>
    </w:pPr>
    <w:rPr>
      <w:rFonts w:ascii="Times New Roman" w:eastAsia="Calibri" w:hAnsi="Times New Roman"/>
      <w:szCs w:val="22"/>
      <w:lang w:eastAsia="en-US"/>
    </w:rPr>
  </w:style>
  <w:style w:type="paragraph" w:customStyle="1" w:styleId="Pointabc2">
    <w:name w:val="Point abc (2)"/>
    <w:basedOn w:val="Normal"/>
    <w:rsid w:val="00732664"/>
    <w:pPr>
      <w:numPr>
        <w:ilvl w:val="5"/>
        <w:numId w:val="28"/>
      </w:numPr>
      <w:tabs>
        <w:tab w:val="clear" w:pos="1701"/>
      </w:tabs>
      <w:spacing w:before="120" w:after="120" w:line="360" w:lineRule="auto"/>
      <w:ind w:left="4320" w:hanging="360"/>
      <w:jc w:val="left"/>
    </w:pPr>
    <w:rPr>
      <w:rFonts w:ascii="Times New Roman" w:eastAsia="Calibri" w:hAnsi="Times New Roman"/>
      <w:szCs w:val="22"/>
      <w:lang w:eastAsia="en-US"/>
    </w:rPr>
  </w:style>
  <w:style w:type="paragraph" w:customStyle="1" w:styleId="Pointabc3">
    <w:name w:val="Point abc (3)"/>
    <w:basedOn w:val="Normal"/>
    <w:rsid w:val="00732664"/>
    <w:pPr>
      <w:numPr>
        <w:ilvl w:val="7"/>
        <w:numId w:val="28"/>
      </w:numPr>
      <w:tabs>
        <w:tab w:val="clear" w:pos="2268"/>
      </w:tabs>
      <w:spacing w:before="120" w:after="120" w:line="360" w:lineRule="auto"/>
      <w:ind w:left="5760" w:hanging="360"/>
      <w:jc w:val="left"/>
    </w:pPr>
    <w:rPr>
      <w:rFonts w:ascii="Times New Roman" w:eastAsia="Calibri" w:hAnsi="Times New Roman"/>
      <w:szCs w:val="22"/>
      <w:lang w:eastAsia="en-US"/>
    </w:rPr>
  </w:style>
  <w:style w:type="paragraph" w:customStyle="1" w:styleId="Pointabc4">
    <w:name w:val="Point abc (4)"/>
    <w:basedOn w:val="Normal"/>
    <w:rsid w:val="00732664"/>
    <w:pPr>
      <w:numPr>
        <w:ilvl w:val="8"/>
        <w:numId w:val="28"/>
      </w:numPr>
      <w:tabs>
        <w:tab w:val="clear" w:pos="2835"/>
      </w:tabs>
      <w:spacing w:before="120" w:after="120" w:line="360" w:lineRule="auto"/>
      <w:ind w:left="6480" w:hanging="360"/>
      <w:jc w:val="left"/>
    </w:pPr>
    <w:rPr>
      <w:rFonts w:ascii="Times New Roman" w:eastAsia="Calibri" w:hAnsi="Times New Roman"/>
      <w:szCs w:val="22"/>
      <w:lang w:eastAsia="en-US"/>
    </w:rPr>
  </w:style>
  <w:style w:type="paragraph" w:customStyle="1" w:styleId="Point123">
    <w:name w:val="Point 123"/>
    <w:basedOn w:val="Normal"/>
    <w:rsid w:val="00732664"/>
    <w:pPr>
      <w:numPr>
        <w:numId w:val="28"/>
      </w:numPr>
      <w:tabs>
        <w:tab w:val="clear" w:pos="567"/>
      </w:tabs>
      <w:spacing w:before="120" w:after="120" w:line="360" w:lineRule="auto"/>
      <w:ind w:left="720" w:hanging="360"/>
      <w:jc w:val="left"/>
    </w:pPr>
    <w:rPr>
      <w:rFonts w:ascii="Times New Roman" w:eastAsia="Calibri" w:hAnsi="Times New Roman"/>
      <w:szCs w:val="22"/>
      <w:lang w:eastAsia="en-US"/>
    </w:rPr>
  </w:style>
  <w:style w:type="paragraph" w:customStyle="1" w:styleId="Point1231">
    <w:name w:val="Point 123 (1)"/>
    <w:basedOn w:val="Normal"/>
    <w:rsid w:val="00732664"/>
    <w:pPr>
      <w:numPr>
        <w:ilvl w:val="2"/>
        <w:numId w:val="28"/>
      </w:numPr>
      <w:tabs>
        <w:tab w:val="clear" w:pos="1134"/>
      </w:tabs>
      <w:spacing w:before="120" w:after="120" w:line="360" w:lineRule="auto"/>
      <w:ind w:left="2160" w:hanging="360"/>
      <w:jc w:val="left"/>
    </w:pPr>
    <w:rPr>
      <w:rFonts w:ascii="Times New Roman" w:eastAsia="Calibri" w:hAnsi="Times New Roman"/>
      <w:szCs w:val="22"/>
      <w:lang w:eastAsia="en-US"/>
    </w:rPr>
  </w:style>
  <w:style w:type="paragraph" w:customStyle="1" w:styleId="Point1232">
    <w:name w:val="Point 123 (2)"/>
    <w:basedOn w:val="Normal"/>
    <w:rsid w:val="00732664"/>
    <w:pPr>
      <w:numPr>
        <w:ilvl w:val="4"/>
        <w:numId w:val="28"/>
      </w:numPr>
      <w:tabs>
        <w:tab w:val="clear" w:pos="1701"/>
      </w:tabs>
      <w:spacing w:before="120" w:after="120" w:line="360" w:lineRule="auto"/>
      <w:ind w:left="3600" w:hanging="360"/>
      <w:jc w:val="left"/>
    </w:pPr>
    <w:rPr>
      <w:rFonts w:ascii="Times New Roman" w:eastAsia="Calibri" w:hAnsi="Times New Roman"/>
      <w:szCs w:val="22"/>
      <w:lang w:eastAsia="en-US"/>
    </w:rPr>
  </w:style>
  <w:style w:type="paragraph" w:customStyle="1" w:styleId="Point1233">
    <w:name w:val="Point 123 (3)"/>
    <w:basedOn w:val="Normal"/>
    <w:rsid w:val="00732664"/>
    <w:pPr>
      <w:numPr>
        <w:ilvl w:val="6"/>
        <w:numId w:val="28"/>
      </w:numPr>
      <w:tabs>
        <w:tab w:val="clear" w:pos="2268"/>
      </w:tabs>
      <w:spacing w:before="120" w:after="120" w:line="360" w:lineRule="auto"/>
      <w:ind w:left="5040" w:hanging="360"/>
      <w:jc w:val="left"/>
    </w:pPr>
    <w:rPr>
      <w:rFonts w:ascii="Times New Roman" w:eastAsia="Calibri" w:hAnsi="Times New Roman"/>
      <w:szCs w:val="22"/>
      <w:lang w:eastAsia="en-US"/>
    </w:rPr>
  </w:style>
  <w:style w:type="paragraph" w:customStyle="1" w:styleId="title-bold">
    <w:name w:val="title-bold"/>
    <w:basedOn w:val="Normal"/>
    <w:rsid w:val="00732664"/>
    <w:pPr>
      <w:spacing w:before="100" w:beforeAutospacing="1" w:after="100" w:afterAutospacing="1"/>
      <w:jc w:val="left"/>
    </w:pPr>
    <w:rPr>
      <w:rFonts w:ascii="Times New Roman" w:hAnsi="Times New Roman"/>
      <w:szCs w:val="24"/>
      <w:lang w:eastAsia="en-IE"/>
    </w:rPr>
  </w:style>
  <w:style w:type="character" w:styleId="UnresolvedMention">
    <w:name w:val="Unresolved Mention"/>
    <w:basedOn w:val="DefaultParagraphFont"/>
    <w:uiPriority w:val="99"/>
    <w:semiHidden/>
    <w:unhideWhenUsed/>
    <w:rsid w:val="00732664"/>
    <w:rPr>
      <w:color w:val="605E5C"/>
      <w:shd w:val="clear" w:color="auto" w:fill="E1DFDD"/>
    </w:rPr>
  </w:style>
  <w:style w:type="paragraph" w:customStyle="1" w:styleId="BVIfnrCarCarCarCarChar">
    <w:name w:val="BVI fnr Car Car Car Car Char"/>
    <w:basedOn w:val="Normal"/>
    <w:uiPriority w:val="99"/>
    <w:rsid w:val="00732664"/>
    <w:pPr>
      <w:spacing w:line="240" w:lineRule="exact"/>
    </w:pPr>
    <w:rPr>
      <w:rFonts w:asciiTheme="minorHAnsi" w:eastAsiaTheme="minorHAnsi" w:hAnsiTheme="minorHAnsi" w:cstheme="minorBidi"/>
      <w:sz w:val="22"/>
      <w:szCs w:val="22"/>
      <w:vertAlign w:val="superscript"/>
      <w:lang w:eastAsia="en-US"/>
    </w:rPr>
  </w:style>
  <w:style w:type="paragraph" w:customStyle="1" w:styleId="normalhanging12a0">
    <w:name w:val="normalhanging12a"/>
    <w:basedOn w:val="Normal"/>
    <w:rsid w:val="00732664"/>
    <w:pPr>
      <w:ind w:left="567" w:hanging="567"/>
      <w:jc w:val="left"/>
    </w:pPr>
    <w:rPr>
      <w:rFonts w:ascii="Times New Roman" w:eastAsiaTheme="minorHAnsi" w:hAnsi="Times New Roman"/>
      <w:szCs w:val="24"/>
      <w:lang w:eastAsia="en-IE"/>
    </w:rPr>
  </w:style>
  <w:style w:type="character" w:customStyle="1" w:styleId="sup">
    <w:name w:val="sup"/>
    <w:rsid w:val="00732664"/>
  </w:style>
  <w:style w:type="paragraph" w:customStyle="1" w:styleId="li">
    <w:name w:val="li"/>
    <w:basedOn w:val="Normal"/>
    <w:rsid w:val="00732664"/>
    <w:pPr>
      <w:spacing w:before="100" w:beforeAutospacing="1" w:after="100" w:afterAutospacing="1"/>
      <w:jc w:val="left"/>
    </w:pPr>
    <w:rPr>
      <w:rFonts w:ascii="Times New Roman" w:hAnsi="Times New Roman"/>
      <w:szCs w:val="24"/>
      <w:lang w:eastAsia="fr-BE"/>
    </w:rPr>
  </w:style>
  <w:style w:type="character" w:customStyle="1" w:styleId="num">
    <w:name w:val="num"/>
    <w:rsid w:val="00732664"/>
  </w:style>
  <w:style w:type="character" w:customStyle="1" w:styleId="cf01">
    <w:name w:val="cf01"/>
    <w:basedOn w:val="DefaultParagraphFont"/>
    <w:rsid w:val="0073266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61272">
      <w:bodyDiv w:val="1"/>
      <w:marLeft w:val="0"/>
      <w:marRight w:val="0"/>
      <w:marTop w:val="0"/>
      <w:marBottom w:val="0"/>
      <w:divBdr>
        <w:top w:val="none" w:sz="0" w:space="0" w:color="auto"/>
        <w:left w:val="none" w:sz="0" w:space="0" w:color="auto"/>
        <w:bottom w:val="none" w:sz="0" w:space="0" w:color="auto"/>
        <w:right w:val="none" w:sz="0" w:space="0" w:color="auto"/>
      </w:divBdr>
      <w:divsChild>
        <w:div w:id="32115289">
          <w:marLeft w:val="0"/>
          <w:marRight w:val="0"/>
          <w:marTop w:val="0"/>
          <w:marBottom w:val="0"/>
          <w:divBdr>
            <w:top w:val="none" w:sz="0" w:space="0" w:color="auto"/>
            <w:left w:val="none" w:sz="0" w:space="0" w:color="auto"/>
            <w:bottom w:val="none" w:sz="0" w:space="0" w:color="auto"/>
            <w:right w:val="none" w:sz="0" w:space="0" w:color="auto"/>
          </w:divBdr>
        </w:div>
        <w:div w:id="1901549607">
          <w:marLeft w:val="0"/>
          <w:marRight w:val="0"/>
          <w:marTop w:val="0"/>
          <w:marBottom w:val="0"/>
          <w:divBdr>
            <w:top w:val="none" w:sz="0" w:space="0" w:color="auto"/>
            <w:left w:val="none" w:sz="0" w:space="0" w:color="auto"/>
            <w:bottom w:val="none" w:sz="0" w:space="0" w:color="auto"/>
            <w:right w:val="none" w:sz="0" w:space="0" w:color="auto"/>
          </w:divBdr>
        </w:div>
        <w:div w:id="2056392414">
          <w:marLeft w:val="0"/>
          <w:marRight w:val="0"/>
          <w:marTop w:val="0"/>
          <w:marBottom w:val="0"/>
          <w:divBdr>
            <w:top w:val="none" w:sz="0" w:space="0" w:color="auto"/>
            <w:left w:val="none" w:sz="0" w:space="0" w:color="auto"/>
            <w:bottom w:val="none" w:sz="0" w:space="0" w:color="auto"/>
            <w:right w:val="none" w:sz="0" w:space="0" w:color="auto"/>
          </w:divBdr>
        </w:div>
      </w:divsChild>
    </w:div>
    <w:div w:id="44842583">
      <w:bodyDiv w:val="1"/>
      <w:marLeft w:val="0"/>
      <w:marRight w:val="0"/>
      <w:marTop w:val="0"/>
      <w:marBottom w:val="0"/>
      <w:divBdr>
        <w:top w:val="none" w:sz="0" w:space="0" w:color="auto"/>
        <w:left w:val="none" w:sz="0" w:space="0" w:color="auto"/>
        <w:bottom w:val="none" w:sz="0" w:space="0" w:color="auto"/>
        <w:right w:val="none" w:sz="0" w:space="0" w:color="auto"/>
      </w:divBdr>
      <w:divsChild>
        <w:div w:id="827136148">
          <w:marLeft w:val="0"/>
          <w:marRight w:val="0"/>
          <w:marTop w:val="0"/>
          <w:marBottom w:val="0"/>
          <w:divBdr>
            <w:top w:val="none" w:sz="0" w:space="0" w:color="auto"/>
            <w:left w:val="none" w:sz="0" w:space="0" w:color="auto"/>
            <w:bottom w:val="none" w:sz="0" w:space="0" w:color="auto"/>
            <w:right w:val="none" w:sz="0" w:space="0" w:color="auto"/>
          </w:divBdr>
        </w:div>
        <w:div w:id="1999723707">
          <w:marLeft w:val="0"/>
          <w:marRight w:val="0"/>
          <w:marTop w:val="0"/>
          <w:marBottom w:val="0"/>
          <w:divBdr>
            <w:top w:val="none" w:sz="0" w:space="0" w:color="auto"/>
            <w:left w:val="none" w:sz="0" w:space="0" w:color="auto"/>
            <w:bottom w:val="none" w:sz="0" w:space="0" w:color="auto"/>
            <w:right w:val="none" w:sz="0" w:space="0" w:color="auto"/>
          </w:divBdr>
        </w:div>
      </w:divsChild>
    </w:div>
    <w:div w:id="172577516">
      <w:bodyDiv w:val="1"/>
      <w:marLeft w:val="0"/>
      <w:marRight w:val="0"/>
      <w:marTop w:val="0"/>
      <w:marBottom w:val="0"/>
      <w:divBdr>
        <w:top w:val="none" w:sz="0" w:space="0" w:color="auto"/>
        <w:left w:val="none" w:sz="0" w:space="0" w:color="auto"/>
        <w:bottom w:val="none" w:sz="0" w:space="0" w:color="auto"/>
        <w:right w:val="none" w:sz="0" w:space="0" w:color="auto"/>
      </w:divBdr>
    </w:div>
    <w:div w:id="286400977">
      <w:bodyDiv w:val="1"/>
      <w:marLeft w:val="0"/>
      <w:marRight w:val="0"/>
      <w:marTop w:val="0"/>
      <w:marBottom w:val="0"/>
      <w:divBdr>
        <w:top w:val="none" w:sz="0" w:space="0" w:color="auto"/>
        <w:left w:val="none" w:sz="0" w:space="0" w:color="auto"/>
        <w:bottom w:val="none" w:sz="0" w:space="0" w:color="auto"/>
        <w:right w:val="none" w:sz="0" w:space="0" w:color="auto"/>
      </w:divBdr>
    </w:div>
    <w:div w:id="309021063">
      <w:bodyDiv w:val="1"/>
      <w:marLeft w:val="0"/>
      <w:marRight w:val="0"/>
      <w:marTop w:val="0"/>
      <w:marBottom w:val="0"/>
      <w:divBdr>
        <w:top w:val="none" w:sz="0" w:space="0" w:color="auto"/>
        <w:left w:val="none" w:sz="0" w:space="0" w:color="auto"/>
        <w:bottom w:val="none" w:sz="0" w:space="0" w:color="auto"/>
        <w:right w:val="none" w:sz="0" w:space="0" w:color="auto"/>
      </w:divBdr>
      <w:divsChild>
        <w:div w:id="296692880">
          <w:marLeft w:val="0"/>
          <w:marRight w:val="0"/>
          <w:marTop w:val="0"/>
          <w:marBottom w:val="0"/>
          <w:divBdr>
            <w:top w:val="none" w:sz="0" w:space="0" w:color="auto"/>
            <w:left w:val="none" w:sz="0" w:space="0" w:color="auto"/>
            <w:bottom w:val="none" w:sz="0" w:space="0" w:color="auto"/>
            <w:right w:val="none" w:sz="0" w:space="0" w:color="auto"/>
          </w:divBdr>
        </w:div>
        <w:div w:id="1726679784">
          <w:marLeft w:val="0"/>
          <w:marRight w:val="0"/>
          <w:marTop w:val="0"/>
          <w:marBottom w:val="0"/>
          <w:divBdr>
            <w:top w:val="none" w:sz="0" w:space="0" w:color="auto"/>
            <w:left w:val="none" w:sz="0" w:space="0" w:color="auto"/>
            <w:bottom w:val="none" w:sz="0" w:space="0" w:color="auto"/>
            <w:right w:val="none" w:sz="0" w:space="0" w:color="auto"/>
          </w:divBdr>
        </w:div>
        <w:div w:id="2013800541">
          <w:marLeft w:val="0"/>
          <w:marRight w:val="0"/>
          <w:marTop w:val="0"/>
          <w:marBottom w:val="0"/>
          <w:divBdr>
            <w:top w:val="none" w:sz="0" w:space="0" w:color="auto"/>
            <w:left w:val="none" w:sz="0" w:space="0" w:color="auto"/>
            <w:bottom w:val="none" w:sz="0" w:space="0" w:color="auto"/>
            <w:right w:val="none" w:sz="0" w:space="0" w:color="auto"/>
          </w:divBdr>
        </w:div>
      </w:divsChild>
    </w:div>
    <w:div w:id="376200727">
      <w:bodyDiv w:val="1"/>
      <w:marLeft w:val="0"/>
      <w:marRight w:val="0"/>
      <w:marTop w:val="0"/>
      <w:marBottom w:val="0"/>
      <w:divBdr>
        <w:top w:val="none" w:sz="0" w:space="0" w:color="auto"/>
        <w:left w:val="none" w:sz="0" w:space="0" w:color="auto"/>
        <w:bottom w:val="none" w:sz="0" w:space="0" w:color="auto"/>
        <w:right w:val="none" w:sz="0" w:space="0" w:color="auto"/>
      </w:divBdr>
      <w:divsChild>
        <w:div w:id="424352477">
          <w:marLeft w:val="0"/>
          <w:marRight w:val="0"/>
          <w:marTop w:val="0"/>
          <w:marBottom w:val="0"/>
          <w:divBdr>
            <w:top w:val="none" w:sz="0" w:space="0" w:color="auto"/>
            <w:left w:val="none" w:sz="0" w:space="0" w:color="auto"/>
            <w:bottom w:val="none" w:sz="0" w:space="0" w:color="auto"/>
            <w:right w:val="none" w:sz="0" w:space="0" w:color="auto"/>
          </w:divBdr>
        </w:div>
        <w:div w:id="846674068">
          <w:marLeft w:val="0"/>
          <w:marRight w:val="0"/>
          <w:marTop w:val="0"/>
          <w:marBottom w:val="0"/>
          <w:divBdr>
            <w:top w:val="none" w:sz="0" w:space="0" w:color="auto"/>
            <w:left w:val="none" w:sz="0" w:space="0" w:color="auto"/>
            <w:bottom w:val="none" w:sz="0" w:space="0" w:color="auto"/>
            <w:right w:val="none" w:sz="0" w:space="0" w:color="auto"/>
          </w:divBdr>
        </w:div>
        <w:div w:id="948699207">
          <w:marLeft w:val="0"/>
          <w:marRight w:val="0"/>
          <w:marTop w:val="0"/>
          <w:marBottom w:val="0"/>
          <w:divBdr>
            <w:top w:val="none" w:sz="0" w:space="0" w:color="auto"/>
            <w:left w:val="none" w:sz="0" w:space="0" w:color="auto"/>
            <w:bottom w:val="none" w:sz="0" w:space="0" w:color="auto"/>
            <w:right w:val="none" w:sz="0" w:space="0" w:color="auto"/>
          </w:divBdr>
        </w:div>
      </w:divsChild>
    </w:div>
    <w:div w:id="395667962">
      <w:bodyDiv w:val="1"/>
      <w:marLeft w:val="0"/>
      <w:marRight w:val="0"/>
      <w:marTop w:val="0"/>
      <w:marBottom w:val="0"/>
      <w:divBdr>
        <w:top w:val="none" w:sz="0" w:space="0" w:color="auto"/>
        <w:left w:val="none" w:sz="0" w:space="0" w:color="auto"/>
        <w:bottom w:val="none" w:sz="0" w:space="0" w:color="auto"/>
        <w:right w:val="none" w:sz="0" w:space="0" w:color="auto"/>
      </w:divBdr>
    </w:div>
    <w:div w:id="399400620">
      <w:bodyDiv w:val="1"/>
      <w:marLeft w:val="0"/>
      <w:marRight w:val="0"/>
      <w:marTop w:val="0"/>
      <w:marBottom w:val="0"/>
      <w:divBdr>
        <w:top w:val="none" w:sz="0" w:space="0" w:color="auto"/>
        <w:left w:val="none" w:sz="0" w:space="0" w:color="auto"/>
        <w:bottom w:val="none" w:sz="0" w:space="0" w:color="auto"/>
        <w:right w:val="none" w:sz="0" w:space="0" w:color="auto"/>
      </w:divBdr>
      <w:divsChild>
        <w:div w:id="1291521195">
          <w:marLeft w:val="0"/>
          <w:marRight w:val="0"/>
          <w:marTop w:val="0"/>
          <w:marBottom w:val="0"/>
          <w:divBdr>
            <w:top w:val="none" w:sz="0" w:space="0" w:color="auto"/>
            <w:left w:val="none" w:sz="0" w:space="0" w:color="auto"/>
            <w:bottom w:val="none" w:sz="0" w:space="0" w:color="auto"/>
            <w:right w:val="none" w:sz="0" w:space="0" w:color="auto"/>
          </w:divBdr>
        </w:div>
        <w:div w:id="1806000987">
          <w:marLeft w:val="0"/>
          <w:marRight w:val="0"/>
          <w:marTop w:val="0"/>
          <w:marBottom w:val="0"/>
          <w:divBdr>
            <w:top w:val="none" w:sz="0" w:space="0" w:color="auto"/>
            <w:left w:val="none" w:sz="0" w:space="0" w:color="auto"/>
            <w:bottom w:val="none" w:sz="0" w:space="0" w:color="auto"/>
            <w:right w:val="none" w:sz="0" w:space="0" w:color="auto"/>
          </w:divBdr>
        </w:div>
      </w:divsChild>
    </w:div>
    <w:div w:id="409692099">
      <w:bodyDiv w:val="1"/>
      <w:marLeft w:val="0"/>
      <w:marRight w:val="0"/>
      <w:marTop w:val="0"/>
      <w:marBottom w:val="0"/>
      <w:divBdr>
        <w:top w:val="none" w:sz="0" w:space="0" w:color="auto"/>
        <w:left w:val="none" w:sz="0" w:space="0" w:color="auto"/>
        <w:bottom w:val="none" w:sz="0" w:space="0" w:color="auto"/>
        <w:right w:val="none" w:sz="0" w:space="0" w:color="auto"/>
      </w:divBdr>
      <w:divsChild>
        <w:div w:id="526020123">
          <w:marLeft w:val="0"/>
          <w:marRight w:val="0"/>
          <w:marTop w:val="0"/>
          <w:marBottom w:val="0"/>
          <w:divBdr>
            <w:top w:val="none" w:sz="0" w:space="0" w:color="auto"/>
            <w:left w:val="none" w:sz="0" w:space="0" w:color="auto"/>
            <w:bottom w:val="none" w:sz="0" w:space="0" w:color="auto"/>
            <w:right w:val="none" w:sz="0" w:space="0" w:color="auto"/>
          </w:divBdr>
        </w:div>
        <w:div w:id="589892586">
          <w:marLeft w:val="0"/>
          <w:marRight w:val="0"/>
          <w:marTop w:val="0"/>
          <w:marBottom w:val="0"/>
          <w:divBdr>
            <w:top w:val="none" w:sz="0" w:space="0" w:color="auto"/>
            <w:left w:val="none" w:sz="0" w:space="0" w:color="auto"/>
            <w:bottom w:val="none" w:sz="0" w:space="0" w:color="auto"/>
            <w:right w:val="none" w:sz="0" w:space="0" w:color="auto"/>
          </w:divBdr>
        </w:div>
        <w:div w:id="660548278">
          <w:marLeft w:val="0"/>
          <w:marRight w:val="0"/>
          <w:marTop w:val="0"/>
          <w:marBottom w:val="0"/>
          <w:divBdr>
            <w:top w:val="none" w:sz="0" w:space="0" w:color="auto"/>
            <w:left w:val="none" w:sz="0" w:space="0" w:color="auto"/>
            <w:bottom w:val="none" w:sz="0" w:space="0" w:color="auto"/>
            <w:right w:val="none" w:sz="0" w:space="0" w:color="auto"/>
          </w:divBdr>
        </w:div>
      </w:divsChild>
    </w:div>
    <w:div w:id="449712361">
      <w:bodyDiv w:val="1"/>
      <w:marLeft w:val="0"/>
      <w:marRight w:val="0"/>
      <w:marTop w:val="0"/>
      <w:marBottom w:val="0"/>
      <w:divBdr>
        <w:top w:val="none" w:sz="0" w:space="0" w:color="auto"/>
        <w:left w:val="none" w:sz="0" w:space="0" w:color="auto"/>
        <w:bottom w:val="none" w:sz="0" w:space="0" w:color="auto"/>
        <w:right w:val="none" w:sz="0" w:space="0" w:color="auto"/>
      </w:divBdr>
    </w:div>
    <w:div w:id="485243568">
      <w:bodyDiv w:val="1"/>
      <w:marLeft w:val="0"/>
      <w:marRight w:val="0"/>
      <w:marTop w:val="0"/>
      <w:marBottom w:val="0"/>
      <w:divBdr>
        <w:top w:val="none" w:sz="0" w:space="0" w:color="auto"/>
        <w:left w:val="none" w:sz="0" w:space="0" w:color="auto"/>
        <w:bottom w:val="none" w:sz="0" w:space="0" w:color="auto"/>
        <w:right w:val="none" w:sz="0" w:space="0" w:color="auto"/>
      </w:divBdr>
      <w:divsChild>
        <w:div w:id="468715666">
          <w:marLeft w:val="0"/>
          <w:marRight w:val="0"/>
          <w:marTop w:val="0"/>
          <w:marBottom w:val="0"/>
          <w:divBdr>
            <w:top w:val="none" w:sz="0" w:space="0" w:color="auto"/>
            <w:left w:val="none" w:sz="0" w:space="0" w:color="auto"/>
            <w:bottom w:val="none" w:sz="0" w:space="0" w:color="auto"/>
            <w:right w:val="none" w:sz="0" w:space="0" w:color="auto"/>
          </w:divBdr>
        </w:div>
        <w:div w:id="1388068919">
          <w:marLeft w:val="0"/>
          <w:marRight w:val="0"/>
          <w:marTop w:val="0"/>
          <w:marBottom w:val="0"/>
          <w:divBdr>
            <w:top w:val="none" w:sz="0" w:space="0" w:color="auto"/>
            <w:left w:val="none" w:sz="0" w:space="0" w:color="auto"/>
            <w:bottom w:val="none" w:sz="0" w:space="0" w:color="auto"/>
            <w:right w:val="none" w:sz="0" w:space="0" w:color="auto"/>
          </w:divBdr>
        </w:div>
      </w:divsChild>
    </w:div>
    <w:div w:id="498734245">
      <w:bodyDiv w:val="1"/>
      <w:marLeft w:val="0"/>
      <w:marRight w:val="0"/>
      <w:marTop w:val="0"/>
      <w:marBottom w:val="0"/>
      <w:divBdr>
        <w:top w:val="none" w:sz="0" w:space="0" w:color="auto"/>
        <w:left w:val="none" w:sz="0" w:space="0" w:color="auto"/>
        <w:bottom w:val="none" w:sz="0" w:space="0" w:color="auto"/>
        <w:right w:val="none" w:sz="0" w:space="0" w:color="auto"/>
      </w:divBdr>
      <w:divsChild>
        <w:div w:id="382217557">
          <w:marLeft w:val="0"/>
          <w:marRight w:val="0"/>
          <w:marTop w:val="0"/>
          <w:marBottom w:val="0"/>
          <w:divBdr>
            <w:top w:val="none" w:sz="0" w:space="0" w:color="auto"/>
            <w:left w:val="none" w:sz="0" w:space="0" w:color="auto"/>
            <w:bottom w:val="none" w:sz="0" w:space="0" w:color="auto"/>
            <w:right w:val="none" w:sz="0" w:space="0" w:color="auto"/>
          </w:divBdr>
        </w:div>
        <w:div w:id="655575418">
          <w:marLeft w:val="0"/>
          <w:marRight w:val="0"/>
          <w:marTop w:val="0"/>
          <w:marBottom w:val="0"/>
          <w:divBdr>
            <w:top w:val="none" w:sz="0" w:space="0" w:color="auto"/>
            <w:left w:val="none" w:sz="0" w:space="0" w:color="auto"/>
            <w:bottom w:val="none" w:sz="0" w:space="0" w:color="auto"/>
            <w:right w:val="none" w:sz="0" w:space="0" w:color="auto"/>
          </w:divBdr>
        </w:div>
        <w:div w:id="722876018">
          <w:marLeft w:val="0"/>
          <w:marRight w:val="0"/>
          <w:marTop w:val="0"/>
          <w:marBottom w:val="0"/>
          <w:divBdr>
            <w:top w:val="none" w:sz="0" w:space="0" w:color="auto"/>
            <w:left w:val="none" w:sz="0" w:space="0" w:color="auto"/>
            <w:bottom w:val="none" w:sz="0" w:space="0" w:color="auto"/>
            <w:right w:val="none" w:sz="0" w:space="0" w:color="auto"/>
          </w:divBdr>
        </w:div>
        <w:div w:id="1492863832">
          <w:marLeft w:val="0"/>
          <w:marRight w:val="0"/>
          <w:marTop w:val="0"/>
          <w:marBottom w:val="0"/>
          <w:divBdr>
            <w:top w:val="none" w:sz="0" w:space="0" w:color="auto"/>
            <w:left w:val="none" w:sz="0" w:space="0" w:color="auto"/>
            <w:bottom w:val="none" w:sz="0" w:space="0" w:color="auto"/>
            <w:right w:val="none" w:sz="0" w:space="0" w:color="auto"/>
          </w:divBdr>
        </w:div>
        <w:div w:id="2034721523">
          <w:marLeft w:val="0"/>
          <w:marRight w:val="0"/>
          <w:marTop w:val="0"/>
          <w:marBottom w:val="0"/>
          <w:divBdr>
            <w:top w:val="none" w:sz="0" w:space="0" w:color="auto"/>
            <w:left w:val="none" w:sz="0" w:space="0" w:color="auto"/>
            <w:bottom w:val="none" w:sz="0" w:space="0" w:color="auto"/>
            <w:right w:val="none" w:sz="0" w:space="0" w:color="auto"/>
          </w:divBdr>
        </w:div>
        <w:div w:id="2085252544">
          <w:marLeft w:val="0"/>
          <w:marRight w:val="0"/>
          <w:marTop w:val="0"/>
          <w:marBottom w:val="0"/>
          <w:divBdr>
            <w:top w:val="none" w:sz="0" w:space="0" w:color="auto"/>
            <w:left w:val="none" w:sz="0" w:space="0" w:color="auto"/>
            <w:bottom w:val="none" w:sz="0" w:space="0" w:color="auto"/>
            <w:right w:val="none" w:sz="0" w:space="0" w:color="auto"/>
          </w:divBdr>
        </w:div>
      </w:divsChild>
    </w:div>
    <w:div w:id="515728781">
      <w:bodyDiv w:val="1"/>
      <w:marLeft w:val="0"/>
      <w:marRight w:val="0"/>
      <w:marTop w:val="0"/>
      <w:marBottom w:val="0"/>
      <w:divBdr>
        <w:top w:val="none" w:sz="0" w:space="0" w:color="auto"/>
        <w:left w:val="none" w:sz="0" w:space="0" w:color="auto"/>
        <w:bottom w:val="none" w:sz="0" w:space="0" w:color="auto"/>
        <w:right w:val="none" w:sz="0" w:space="0" w:color="auto"/>
      </w:divBdr>
      <w:divsChild>
        <w:div w:id="1215122294">
          <w:marLeft w:val="0"/>
          <w:marRight w:val="0"/>
          <w:marTop w:val="0"/>
          <w:marBottom w:val="0"/>
          <w:divBdr>
            <w:top w:val="none" w:sz="0" w:space="0" w:color="auto"/>
            <w:left w:val="none" w:sz="0" w:space="0" w:color="auto"/>
            <w:bottom w:val="none" w:sz="0" w:space="0" w:color="auto"/>
            <w:right w:val="none" w:sz="0" w:space="0" w:color="auto"/>
          </w:divBdr>
          <w:divsChild>
            <w:div w:id="906039406">
              <w:marLeft w:val="0"/>
              <w:marRight w:val="0"/>
              <w:marTop w:val="0"/>
              <w:marBottom w:val="0"/>
              <w:divBdr>
                <w:top w:val="none" w:sz="0" w:space="0" w:color="auto"/>
                <w:left w:val="none" w:sz="0" w:space="0" w:color="auto"/>
                <w:bottom w:val="none" w:sz="0" w:space="0" w:color="auto"/>
                <w:right w:val="none" w:sz="0" w:space="0" w:color="auto"/>
              </w:divBdr>
            </w:div>
          </w:divsChild>
        </w:div>
        <w:div w:id="1971474022">
          <w:marLeft w:val="0"/>
          <w:marRight w:val="0"/>
          <w:marTop w:val="0"/>
          <w:marBottom w:val="0"/>
          <w:divBdr>
            <w:top w:val="none" w:sz="0" w:space="0" w:color="auto"/>
            <w:left w:val="none" w:sz="0" w:space="0" w:color="auto"/>
            <w:bottom w:val="none" w:sz="0" w:space="0" w:color="auto"/>
            <w:right w:val="none" w:sz="0" w:space="0" w:color="auto"/>
          </w:divBdr>
          <w:divsChild>
            <w:div w:id="468405433">
              <w:marLeft w:val="0"/>
              <w:marRight w:val="0"/>
              <w:marTop w:val="0"/>
              <w:marBottom w:val="0"/>
              <w:divBdr>
                <w:top w:val="none" w:sz="0" w:space="0" w:color="auto"/>
                <w:left w:val="none" w:sz="0" w:space="0" w:color="auto"/>
                <w:bottom w:val="none" w:sz="0" w:space="0" w:color="auto"/>
                <w:right w:val="none" w:sz="0" w:space="0" w:color="auto"/>
              </w:divBdr>
            </w:div>
            <w:div w:id="680011331">
              <w:marLeft w:val="0"/>
              <w:marRight w:val="0"/>
              <w:marTop w:val="0"/>
              <w:marBottom w:val="0"/>
              <w:divBdr>
                <w:top w:val="none" w:sz="0" w:space="0" w:color="auto"/>
                <w:left w:val="none" w:sz="0" w:space="0" w:color="auto"/>
                <w:bottom w:val="none" w:sz="0" w:space="0" w:color="auto"/>
                <w:right w:val="none" w:sz="0" w:space="0" w:color="auto"/>
              </w:divBdr>
            </w:div>
            <w:div w:id="1243755606">
              <w:marLeft w:val="0"/>
              <w:marRight w:val="0"/>
              <w:marTop w:val="0"/>
              <w:marBottom w:val="0"/>
              <w:divBdr>
                <w:top w:val="none" w:sz="0" w:space="0" w:color="auto"/>
                <w:left w:val="none" w:sz="0" w:space="0" w:color="auto"/>
                <w:bottom w:val="none" w:sz="0" w:space="0" w:color="auto"/>
                <w:right w:val="none" w:sz="0" w:space="0" w:color="auto"/>
              </w:divBdr>
            </w:div>
            <w:div w:id="1374845354">
              <w:marLeft w:val="0"/>
              <w:marRight w:val="0"/>
              <w:marTop w:val="0"/>
              <w:marBottom w:val="0"/>
              <w:divBdr>
                <w:top w:val="none" w:sz="0" w:space="0" w:color="auto"/>
                <w:left w:val="none" w:sz="0" w:space="0" w:color="auto"/>
                <w:bottom w:val="none" w:sz="0" w:space="0" w:color="auto"/>
                <w:right w:val="none" w:sz="0" w:space="0" w:color="auto"/>
              </w:divBdr>
            </w:div>
            <w:div w:id="1394308658">
              <w:marLeft w:val="0"/>
              <w:marRight w:val="0"/>
              <w:marTop w:val="0"/>
              <w:marBottom w:val="0"/>
              <w:divBdr>
                <w:top w:val="none" w:sz="0" w:space="0" w:color="auto"/>
                <w:left w:val="none" w:sz="0" w:space="0" w:color="auto"/>
                <w:bottom w:val="none" w:sz="0" w:space="0" w:color="auto"/>
                <w:right w:val="none" w:sz="0" w:space="0" w:color="auto"/>
              </w:divBdr>
            </w:div>
            <w:div w:id="1437095251">
              <w:marLeft w:val="0"/>
              <w:marRight w:val="0"/>
              <w:marTop w:val="0"/>
              <w:marBottom w:val="0"/>
              <w:divBdr>
                <w:top w:val="none" w:sz="0" w:space="0" w:color="auto"/>
                <w:left w:val="none" w:sz="0" w:space="0" w:color="auto"/>
                <w:bottom w:val="none" w:sz="0" w:space="0" w:color="auto"/>
                <w:right w:val="none" w:sz="0" w:space="0" w:color="auto"/>
              </w:divBdr>
            </w:div>
            <w:div w:id="1644654128">
              <w:marLeft w:val="0"/>
              <w:marRight w:val="0"/>
              <w:marTop w:val="0"/>
              <w:marBottom w:val="0"/>
              <w:divBdr>
                <w:top w:val="none" w:sz="0" w:space="0" w:color="auto"/>
                <w:left w:val="none" w:sz="0" w:space="0" w:color="auto"/>
                <w:bottom w:val="none" w:sz="0" w:space="0" w:color="auto"/>
                <w:right w:val="none" w:sz="0" w:space="0" w:color="auto"/>
              </w:divBdr>
            </w:div>
            <w:div w:id="1715545060">
              <w:marLeft w:val="0"/>
              <w:marRight w:val="0"/>
              <w:marTop w:val="0"/>
              <w:marBottom w:val="0"/>
              <w:divBdr>
                <w:top w:val="none" w:sz="0" w:space="0" w:color="auto"/>
                <w:left w:val="none" w:sz="0" w:space="0" w:color="auto"/>
                <w:bottom w:val="none" w:sz="0" w:space="0" w:color="auto"/>
                <w:right w:val="none" w:sz="0" w:space="0" w:color="auto"/>
              </w:divBdr>
            </w:div>
            <w:div w:id="1882401225">
              <w:marLeft w:val="0"/>
              <w:marRight w:val="0"/>
              <w:marTop w:val="0"/>
              <w:marBottom w:val="0"/>
              <w:divBdr>
                <w:top w:val="none" w:sz="0" w:space="0" w:color="auto"/>
                <w:left w:val="none" w:sz="0" w:space="0" w:color="auto"/>
                <w:bottom w:val="none" w:sz="0" w:space="0" w:color="auto"/>
                <w:right w:val="none" w:sz="0" w:space="0" w:color="auto"/>
              </w:divBdr>
            </w:div>
            <w:div w:id="1923836048">
              <w:marLeft w:val="0"/>
              <w:marRight w:val="0"/>
              <w:marTop w:val="0"/>
              <w:marBottom w:val="0"/>
              <w:divBdr>
                <w:top w:val="none" w:sz="0" w:space="0" w:color="auto"/>
                <w:left w:val="none" w:sz="0" w:space="0" w:color="auto"/>
                <w:bottom w:val="none" w:sz="0" w:space="0" w:color="auto"/>
                <w:right w:val="none" w:sz="0" w:space="0" w:color="auto"/>
              </w:divBdr>
            </w:div>
            <w:div w:id="1931739869">
              <w:marLeft w:val="0"/>
              <w:marRight w:val="0"/>
              <w:marTop w:val="0"/>
              <w:marBottom w:val="0"/>
              <w:divBdr>
                <w:top w:val="none" w:sz="0" w:space="0" w:color="auto"/>
                <w:left w:val="none" w:sz="0" w:space="0" w:color="auto"/>
                <w:bottom w:val="none" w:sz="0" w:space="0" w:color="auto"/>
                <w:right w:val="none" w:sz="0" w:space="0" w:color="auto"/>
              </w:divBdr>
            </w:div>
            <w:div w:id="2004776287">
              <w:marLeft w:val="0"/>
              <w:marRight w:val="0"/>
              <w:marTop w:val="0"/>
              <w:marBottom w:val="0"/>
              <w:divBdr>
                <w:top w:val="none" w:sz="0" w:space="0" w:color="auto"/>
                <w:left w:val="none" w:sz="0" w:space="0" w:color="auto"/>
                <w:bottom w:val="none" w:sz="0" w:space="0" w:color="auto"/>
                <w:right w:val="none" w:sz="0" w:space="0" w:color="auto"/>
              </w:divBdr>
            </w:div>
            <w:div w:id="209270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675011">
      <w:bodyDiv w:val="1"/>
      <w:marLeft w:val="0"/>
      <w:marRight w:val="0"/>
      <w:marTop w:val="0"/>
      <w:marBottom w:val="0"/>
      <w:divBdr>
        <w:top w:val="none" w:sz="0" w:space="0" w:color="auto"/>
        <w:left w:val="none" w:sz="0" w:space="0" w:color="auto"/>
        <w:bottom w:val="none" w:sz="0" w:space="0" w:color="auto"/>
        <w:right w:val="none" w:sz="0" w:space="0" w:color="auto"/>
      </w:divBdr>
      <w:divsChild>
        <w:div w:id="1397438158">
          <w:marLeft w:val="0"/>
          <w:marRight w:val="0"/>
          <w:marTop w:val="0"/>
          <w:marBottom w:val="0"/>
          <w:divBdr>
            <w:top w:val="none" w:sz="0" w:space="0" w:color="auto"/>
            <w:left w:val="none" w:sz="0" w:space="0" w:color="auto"/>
            <w:bottom w:val="none" w:sz="0" w:space="0" w:color="auto"/>
            <w:right w:val="none" w:sz="0" w:space="0" w:color="auto"/>
          </w:divBdr>
        </w:div>
        <w:div w:id="2128890477">
          <w:marLeft w:val="0"/>
          <w:marRight w:val="0"/>
          <w:marTop w:val="0"/>
          <w:marBottom w:val="0"/>
          <w:divBdr>
            <w:top w:val="none" w:sz="0" w:space="0" w:color="auto"/>
            <w:left w:val="none" w:sz="0" w:space="0" w:color="auto"/>
            <w:bottom w:val="none" w:sz="0" w:space="0" w:color="auto"/>
            <w:right w:val="none" w:sz="0" w:space="0" w:color="auto"/>
          </w:divBdr>
        </w:div>
      </w:divsChild>
    </w:div>
    <w:div w:id="719521638">
      <w:bodyDiv w:val="1"/>
      <w:marLeft w:val="0"/>
      <w:marRight w:val="0"/>
      <w:marTop w:val="0"/>
      <w:marBottom w:val="0"/>
      <w:divBdr>
        <w:top w:val="none" w:sz="0" w:space="0" w:color="auto"/>
        <w:left w:val="none" w:sz="0" w:space="0" w:color="auto"/>
        <w:bottom w:val="none" w:sz="0" w:space="0" w:color="auto"/>
        <w:right w:val="none" w:sz="0" w:space="0" w:color="auto"/>
      </w:divBdr>
      <w:divsChild>
        <w:div w:id="252125354">
          <w:marLeft w:val="0"/>
          <w:marRight w:val="0"/>
          <w:marTop w:val="0"/>
          <w:marBottom w:val="0"/>
          <w:divBdr>
            <w:top w:val="none" w:sz="0" w:space="0" w:color="auto"/>
            <w:left w:val="none" w:sz="0" w:space="0" w:color="auto"/>
            <w:bottom w:val="none" w:sz="0" w:space="0" w:color="auto"/>
            <w:right w:val="none" w:sz="0" w:space="0" w:color="auto"/>
          </w:divBdr>
        </w:div>
        <w:div w:id="1327317193">
          <w:marLeft w:val="0"/>
          <w:marRight w:val="0"/>
          <w:marTop w:val="0"/>
          <w:marBottom w:val="0"/>
          <w:divBdr>
            <w:top w:val="none" w:sz="0" w:space="0" w:color="auto"/>
            <w:left w:val="none" w:sz="0" w:space="0" w:color="auto"/>
            <w:bottom w:val="none" w:sz="0" w:space="0" w:color="auto"/>
            <w:right w:val="none" w:sz="0" w:space="0" w:color="auto"/>
          </w:divBdr>
        </w:div>
        <w:div w:id="1995791180">
          <w:marLeft w:val="0"/>
          <w:marRight w:val="0"/>
          <w:marTop w:val="0"/>
          <w:marBottom w:val="0"/>
          <w:divBdr>
            <w:top w:val="none" w:sz="0" w:space="0" w:color="auto"/>
            <w:left w:val="none" w:sz="0" w:space="0" w:color="auto"/>
            <w:bottom w:val="none" w:sz="0" w:space="0" w:color="auto"/>
            <w:right w:val="none" w:sz="0" w:space="0" w:color="auto"/>
          </w:divBdr>
        </w:div>
      </w:divsChild>
    </w:div>
    <w:div w:id="720055924">
      <w:bodyDiv w:val="1"/>
      <w:marLeft w:val="0"/>
      <w:marRight w:val="0"/>
      <w:marTop w:val="0"/>
      <w:marBottom w:val="0"/>
      <w:divBdr>
        <w:top w:val="none" w:sz="0" w:space="0" w:color="auto"/>
        <w:left w:val="none" w:sz="0" w:space="0" w:color="auto"/>
        <w:bottom w:val="none" w:sz="0" w:space="0" w:color="auto"/>
        <w:right w:val="none" w:sz="0" w:space="0" w:color="auto"/>
      </w:divBdr>
      <w:divsChild>
        <w:div w:id="860440636">
          <w:marLeft w:val="0"/>
          <w:marRight w:val="0"/>
          <w:marTop w:val="0"/>
          <w:marBottom w:val="0"/>
          <w:divBdr>
            <w:top w:val="none" w:sz="0" w:space="0" w:color="auto"/>
            <w:left w:val="none" w:sz="0" w:space="0" w:color="auto"/>
            <w:bottom w:val="none" w:sz="0" w:space="0" w:color="auto"/>
            <w:right w:val="none" w:sz="0" w:space="0" w:color="auto"/>
          </w:divBdr>
        </w:div>
        <w:div w:id="1014843735">
          <w:marLeft w:val="0"/>
          <w:marRight w:val="0"/>
          <w:marTop w:val="0"/>
          <w:marBottom w:val="0"/>
          <w:divBdr>
            <w:top w:val="none" w:sz="0" w:space="0" w:color="auto"/>
            <w:left w:val="none" w:sz="0" w:space="0" w:color="auto"/>
            <w:bottom w:val="none" w:sz="0" w:space="0" w:color="auto"/>
            <w:right w:val="none" w:sz="0" w:space="0" w:color="auto"/>
          </w:divBdr>
        </w:div>
        <w:div w:id="1279529626">
          <w:marLeft w:val="0"/>
          <w:marRight w:val="0"/>
          <w:marTop w:val="0"/>
          <w:marBottom w:val="0"/>
          <w:divBdr>
            <w:top w:val="none" w:sz="0" w:space="0" w:color="auto"/>
            <w:left w:val="none" w:sz="0" w:space="0" w:color="auto"/>
            <w:bottom w:val="none" w:sz="0" w:space="0" w:color="auto"/>
            <w:right w:val="none" w:sz="0" w:space="0" w:color="auto"/>
          </w:divBdr>
        </w:div>
      </w:divsChild>
    </w:div>
    <w:div w:id="782960517">
      <w:bodyDiv w:val="1"/>
      <w:marLeft w:val="0"/>
      <w:marRight w:val="0"/>
      <w:marTop w:val="0"/>
      <w:marBottom w:val="0"/>
      <w:divBdr>
        <w:top w:val="none" w:sz="0" w:space="0" w:color="auto"/>
        <w:left w:val="none" w:sz="0" w:space="0" w:color="auto"/>
        <w:bottom w:val="none" w:sz="0" w:space="0" w:color="auto"/>
        <w:right w:val="none" w:sz="0" w:space="0" w:color="auto"/>
      </w:divBdr>
    </w:div>
    <w:div w:id="790828307">
      <w:bodyDiv w:val="1"/>
      <w:marLeft w:val="0"/>
      <w:marRight w:val="0"/>
      <w:marTop w:val="0"/>
      <w:marBottom w:val="0"/>
      <w:divBdr>
        <w:top w:val="none" w:sz="0" w:space="0" w:color="auto"/>
        <w:left w:val="none" w:sz="0" w:space="0" w:color="auto"/>
        <w:bottom w:val="none" w:sz="0" w:space="0" w:color="auto"/>
        <w:right w:val="none" w:sz="0" w:space="0" w:color="auto"/>
      </w:divBdr>
      <w:divsChild>
        <w:div w:id="701201698">
          <w:marLeft w:val="0"/>
          <w:marRight w:val="0"/>
          <w:marTop w:val="0"/>
          <w:marBottom w:val="0"/>
          <w:divBdr>
            <w:top w:val="none" w:sz="0" w:space="0" w:color="auto"/>
            <w:left w:val="none" w:sz="0" w:space="0" w:color="auto"/>
            <w:bottom w:val="none" w:sz="0" w:space="0" w:color="auto"/>
            <w:right w:val="none" w:sz="0" w:space="0" w:color="auto"/>
          </w:divBdr>
        </w:div>
        <w:div w:id="904338297">
          <w:marLeft w:val="0"/>
          <w:marRight w:val="0"/>
          <w:marTop w:val="0"/>
          <w:marBottom w:val="0"/>
          <w:divBdr>
            <w:top w:val="none" w:sz="0" w:space="0" w:color="auto"/>
            <w:left w:val="none" w:sz="0" w:space="0" w:color="auto"/>
            <w:bottom w:val="none" w:sz="0" w:space="0" w:color="auto"/>
            <w:right w:val="none" w:sz="0" w:space="0" w:color="auto"/>
          </w:divBdr>
        </w:div>
        <w:div w:id="1903826076">
          <w:marLeft w:val="0"/>
          <w:marRight w:val="0"/>
          <w:marTop w:val="0"/>
          <w:marBottom w:val="0"/>
          <w:divBdr>
            <w:top w:val="none" w:sz="0" w:space="0" w:color="auto"/>
            <w:left w:val="none" w:sz="0" w:space="0" w:color="auto"/>
            <w:bottom w:val="none" w:sz="0" w:space="0" w:color="auto"/>
            <w:right w:val="none" w:sz="0" w:space="0" w:color="auto"/>
          </w:divBdr>
        </w:div>
        <w:div w:id="1979139131">
          <w:marLeft w:val="0"/>
          <w:marRight w:val="0"/>
          <w:marTop w:val="0"/>
          <w:marBottom w:val="0"/>
          <w:divBdr>
            <w:top w:val="none" w:sz="0" w:space="0" w:color="auto"/>
            <w:left w:val="none" w:sz="0" w:space="0" w:color="auto"/>
            <w:bottom w:val="none" w:sz="0" w:space="0" w:color="auto"/>
            <w:right w:val="none" w:sz="0" w:space="0" w:color="auto"/>
          </w:divBdr>
        </w:div>
      </w:divsChild>
    </w:div>
    <w:div w:id="852955066">
      <w:bodyDiv w:val="1"/>
      <w:marLeft w:val="0"/>
      <w:marRight w:val="0"/>
      <w:marTop w:val="0"/>
      <w:marBottom w:val="0"/>
      <w:divBdr>
        <w:top w:val="none" w:sz="0" w:space="0" w:color="auto"/>
        <w:left w:val="none" w:sz="0" w:space="0" w:color="auto"/>
        <w:bottom w:val="none" w:sz="0" w:space="0" w:color="auto"/>
        <w:right w:val="none" w:sz="0" w:space="0" w:color="auto"/>
      </w:divBdr>
      <w:divsChild>
        <w:div w:id="428701692">
          <w:marLeft w:val="0"/>
          <w:marRight w:val="0"/>
          <w:marTop w:val="0"/>
          <w:marBottom w:val="0"/>
          <w:divBdr>
            <w:top w:val="none" w:sz="0" w:space="0" w:color="auto"/>
            <w:left w:val="none" w:sz="0" w:space="0" w:color="auto"/>
            <w:bottom w:val="none" w:sz="0" w:space="0" w:color="auto"/>
            <w:right w:val="none" w:sz="0" w:space="0" w:color="auto"/>
          </w:divBdr>
        </w:div>
        <w:div w:id="516774255">
          <w:marLeft w:val="0"/>
          <w:marRight w:val="0"/>
          <w:marTop w:val="0"/>
          <w:marBottom w:val="0"/>
          <w:divBdr>
            <w:top w:val="none" w:sz="0" w:space="0" w:color="auto"/>
            <w:left w:val="none" w:sz="0" w:space="0" w:color="auto"/>
            <w:bottom w:val="none" w:sz="0" w:space="0" w:color="auto"/>
            <w:right w:val="none" w:sz="0" w:space="0" w:color="auto"/>
          </w:divBdr>
        </w:div>
        <w:div w:id="733435127">
          <w:marLeft w:val="0"/>
          <w:marRight w:val="0"/>
          <w:marTop w:val="0"/>
          <w:marBottom w:val="0"/>
          <w:divBdr>
            <w:top w:val="none" w:sz="0" w:space="0" w:color="auto"/>
            <w:left w:val="none" w:sz="0" w:space="0" w:color="auto"/>
            <w:bottom w:val="none" w:sz="0" w:space="0" w:color="auto"/>
            <w:right w:val="none" w:sz="0" w:space="0" w:color="auto"/>
          </w:divBdr>
        </w:div>
        <w:div w:id="891383810">
          <w:marLeft w:val="0"/>
          <w:marRight w:val="0"/>
          <w:marTop w:val="0"/>
          <w:marBottom w:val="0"/>
          <w:divBdr>
            <w:top w:val="none" w:sz="0" w:space="0" w:color="auto"/>
            <w:left w:val="none" w:sz="0" w:space="0" w:color="auto"/>
            <w:bottom w:val="none" w:sz="0" w:space="0" w:color="auto"/>
            <w:right w:val="none" w:sz="0" w:space="0" w:color="auto"/>
          </w:divBdr>
        </w:div>
      </w:divsChild>
    </w:div>
    <w:div w:id="916479106">
      <w:bodyDiv w:val="1"/>
      <w:marLeft w:val="0"/>
      <w:marRight w:val="0"/>
      <w:marTop w:val="0"/>
      <w:marBottom w:val="0"/>
      <w:divBdr>
        <w:top w:val="none" w:sz="0" w:space="0" w:color="auto"/>
        <w:left w:val="none" w:sz="0" w:space="0" w:color="auto"/>
        <w:bottom w:val="none" w:sz="0" w:space="0" w:color="auto"/>
        <w:right w:val="none" w:sz="0" w:space="0" w:color="auto"/>
      </w:divBdr>
    </w:div>
    <w:div w:id="1021202927">
      <w:bodyDiv w:val="1"/>
      <w:marLeft w:val="0"/>
      <w:marRight w:val="0"/>
      <w:marTop w:val="0"/>
      <w:marBottom w:val="0"/>
      <w:divBdr>
        <w:top w:val="none" w:sz="0" w:space="0" w:color="auto"/>
        <w:left w:val="none" w:sz="0" w:space="0" w:color="auto"/>
        <w:bottom w:val="none" w:sz="0" w:space="0" w:color="auto"/>
        <w:right w:val="none" w:sz="0" w:space="0" w:color="auto"/>
      </w:divBdr>
      <w:divsChild>
        <w:div w:id="509872847">
          <w:marLeft w:val="0"/>
          <w:marRight w:val="0"/>
          <w:marTop w:val="0"/>
          <w:marBottom w:val="0"/>
          <w:divBdr>
            <w:top w:val="none" w:sz="0" w:space="0" w:color="auto"/>
            <w:left w:val="none" w:sz="0" w:space="0" w:color="auto"/>
            <w:bottom w:val="none" w:sz="0" w:space="0" w:color="auto"/>
            <w:right w:val="none" w:sz="0" w:space="0" w:color="auto"/>
          </w:divBdr>
        </w:div>
        <w:div w:id="841624751">
          <w:marLeft w:val="0"/>
          <w:marRight w:val="0"/>
          <w:marTop w:val="0"/>
          <w:marBottom w:val="0"/>
          <w:divBdr>
            <w:top w:val="none" w:sz="0" w:space="0" w:color="auto"/>
            <w:left w:val="none" w:sz="0" w:space="0" w:color="auto"/>
            <w:bottom w:val="none" w:sz="0" w:space="0" w:color="auto"/>
            <w:right w:val="none" w:sz="0" w:space="0" w:color="auto"/>
          </w:divBdr>
        </w:div>
      </w:divsChild>
    </w:div>
    <w:div w:id="1105929486">
      <w:bodyDiv w:val="1"/>
      <w:marLeft w:val="0"/>
      <w:marRight w:val="0"/>
      <w:marTop w:val="0"/>
      <w:marBottom w:val="0"/>
      <w:divBdr>
        <w:top w:val="none" w:sz="0" w:space="0" w:color="auto"/>
        <w:left w:val="none" w:sz="0" w:space="0" w:color="auto"/>
        <w:bottom w:val="none" w:sz="0" w:space="0" w:color="auto"/>
        <w:right w:val="none" w:sz="0" w:space="0" w:color="auto"/>
      </w:divBdr>
    </w:div>
    <w:div w:id="1110203970">
      <w:bodyDiv w:val="1"/>
      <w:marLeft w:val="0"/>
      <w:marRight w:val="0"/>
      <w:marTop w:val="0"/>
      <w:marBottom w:val="0"/>
      <w:divBdr>
        <w:top w:val="none" w:sz="0" w:space="0" w:color="auto"/>
        <w:left w:val="none" w:sz="0" w:space="0" w:color="auto"/>
        <w:bottom w:val="none" w:sz="0" w:space="0" w:color="auto"/>
        <w:right w:val="none" w:sz="0" w:space="0" w:color="auto"/>
      </w:divBdr>
      <w:divsChild>
        <w:div w:id="1405374606">
          <w:marLeft w:val="0"/>
          <w:marRight w:val="0"/>
          <w:marTop w:val="0"/>
          <w:marBottom w:val="0"/>
          <w:divBdr>
            <w:top w:val="none" w:sz="0" w:space="0" w:color="auto"/>
            <w:left w:val="none" w:sz="0" w:space="0" w:color="auto"/>
            <w:bottom w:val="none" w:sz="0" w:space="0" w:color="auto"/>
            <w:right w:val="none" w:sz="0" w:space="0" w:color="auto"/>
          </w:divBdr>
        </w:div>
        <w:div w:id="1750880960">
          <w:marLeft w:val="0"/>
          <w:marRight w:val="0"/>
          <w:marTop w:val="0"/>
          <w:marBottom w:val="0"/>
          <w:divBdr>
            <w:top w:val="none" w:sz="0" w:space="0" w:color="auto"/>
            <w:left w:val="none" w:sz="0" w:space="0" w:color="auto"/>
            <w:bottom w:val="none" w:sz="0" w:space="0" w:color="auto"/>
            <w:right w:val="none" w:sz="0" w:space="0" w:color="auto"/>
          </w:divBdr>
        </w:div>
      </w:divsChild>
    </w:div>
    <w:div w:id="1172179300">
      <w:bodyDiv w:val="1"/>
      <w:marLeft w:val="0"/>
      <w:marRight w:val="0"/>
      <w:marTop w:val="0"/>
      <w:marBottom w:val="0"/>
      <w:divBdr>
        <w:top w:val="none" w:sz="0" w:space="0" w:color="auto"/>
        <w:left w:val="none" w:sz="0" w:space="0" w:color="auto"/>
        <w:bottom w:val="none" w:sz="0" w:space="0" w:color="auto"/>
        <w:right w:val="none" w:sz="0" w:space="0" w:color="auto"/>
      </w:divBdr>
      <w:divsChild>
        <w:div w:id="127407079">
          <w:marLeft w:val="0"/>
          <w:marRight w:val="0"/>
          <w:marTop w:val="0"/>
          <w:marBottom w:val="0"/>
          <w:divBdr>
            <w:top w:val="none" w:sz="0" w:space="0" w:color="auto"/>
            <w:left w:val="none" w:sz="0" w:space="0" w:color="auto"/>
            <w:bottom w:val="none" w:sz="0" w:space="0" w:color="auto"/>
            <w:right w:val="none" w:sz="0" w:space="0" w:color="auto"/>
          </w:divBdr>
        </w:div>
        <w:div w:id="357394317">
          <w:marLeft w:val="0"/>
          <w:marRight w:val="0"/>
          <w:marTop w:val="0"/>
          <w:marBottom w:val="0"/>
          <w:divBdr>
            <w:top w:val="none" w:sz="0" w:space="0" w:color="auto"/>
            <w:left w:val="none" w:sz="0" w:space="0" w:color="auto"/>
            <w:bottom w:val="none" w:sz="0" w:space="0" w:color="auto"/>
            <w:right w:val="none" w:sz="0" w:space="0" w:color="auto"/>
          </w:divBdr>
        </w:div>
        <w:div w:id="1044864664">
          <w:marLeft w:val="0"/>
          <w:marRight w:val="0"/>
          <w:marTop w:val="0"/>
          <w:marBottom w:val="0"/>
          <w:divBdr>
            <w:top w:val="none" w:sz="0" w:space="0" w:color="auto"/>
            <w:left w:val="none" w:sz="0" w:space="0" w:color="auto"/>
            <w:bottom w:val="none" w:sz="0" w:space="0" w:color="auto"/>
            <w:right w:val="none" w:sz="0" w:space="0" w:color="auto"/>
          </w:divBdr>
        </w:div>
        <w:div w:id="2081167777">
          <w:marLeft w:val="0"/>
          <w:marRight w:val="0"/>
          <w:marTop w:val="0"/>
          <w:marBottom w:val="0"/>
          <w:divBdr>
            <w:top w:val="none" w:sz="0" w:space="0" w:color="auto"/>
            <w:left w:val="none" w:sz="0" w:space="0" w:color="auto"/>
            <w:bottom w:val="none" w:sz="0" w:space="0" w:color="auto"/>
            <w:right w:val="none" w:sz="0" w:space="0" w:color="auto"/>
          </w:divBdr>
        </w:div>
      </w:divsChild>
    </w:div>
    <w:div w:id="1233465748">
      <w:bodyDiv w:val="1"/>
      <w:marLeft w:val="0"/>
      <w:marRight w:val="0"/>
      <w:marTop w:val="0"/>
      <w:marBottom w:val="0"/>
      <w:divBdr>
        <w:top w:val="none" w:sz="0" w:space="0" w:color="auto"/>
        <w:left w:val="none" w:sz="0" w:space="0" w:color="auto"/>
        <w:bottom w:val="none" w:sz="0" w:space="0" w:color="auto"/>
        <w:right w:val="none" w:sz="0" w:space="0" w:color="auto"/>
      </w:divBdr>
    </w:div>
    <w:div w:id="1277175995">
      <w:bodyDiv w:val="1"/>
      <w:marLeft w:val="0"/>
      <w:marRight w:val="0"/>
      <w:marTop w:val="0"/>
      <w:marBottom w:val="0"/>
      <w:divBdr>
        <w:top w:val="none" w:sz="0" w:space="0" w:color="auto"/>
        <w:left w:val="none" w:sz="0" w:space="0" w:color="auto"/>
        <w:bottom w:val="none" w:sz="0" w:space="0" w:color="auto"/>
        <w:right w:val="none" w:sz="0" w:space="0" w:color="auto"/>
      </w:divBdr>
    </w:div>
    <w:div w:id="1413774610">
      <w:bodyDiv w:val="1"/>
      <w:marLeft w:val="0"/>
      <w:marRight w:val="0"/>
      <w:marTop w:val="0"/>
      <w:marBottom w:val="0"/>
      <w:divBdr>
        <w:top w:val="none" w:sz="0" w:space="0" w:color="auto"/>
        <w:left w:val="none" w:sz="0" w:space="0" w:color="auto"/>
        <w:bottom w:val="none" w:sz="0" w:space="0" w:color="auto"/>
        <w:right w:val="none" w:sz="0" w:space="0" w:color="auto"/>
      </w:divBdr>
    </w:div>
    <w:div w:id="1456749913">
      <w:bodyDiv w:val="1"/>
      <w:marLeft w:val="0"/>
      <w:marRight w:val="0"/>
      <w:marTop w:val="0"/>
      <w:marBottom w:val="0"/>
      <w:divBdr>
        <w:top w:val="none" w:sz="0" w:space="0" w:color="auto"/>
        <w:left w:val="none" w:sz="0" w:space="0" w:color="auto"/>
        <w:bottom w:val="none" w:sz="0" w:space="0" w:color="auto"/>
        <w:right w:val="none" w:sz="0" w:space="0" w:color="auto"/>
      </w:divBdr>
      <w:divsChild>
        <w:div w:id="357050420">
          <w:marLeft w:val="0"/>
          <w:marRight w:val="0"/>
          <w:marTop w:val="0"/>
          <w:marBottom w:val="0"/>
          <w:divBdr>
            <w:top w:val="none" w:sz="0" w:space="0" w:color="auto"/>
            <w:left w:val="none" w:sz="0" w:space="0" w:color="auto"/>
            <w:bottom w:val="none" w:sz="0" w:space="0" w:color="auto"/>
            <w:right w:val="none" w:sz="0" w:space="0" w:color="auto"/>
          </w:divBdr>
        </w:div>
        <w:div w:id="666901834">
          <w:marLeft w:val="0"/>
          <w:marRight w:val="0"/>
          <w:marTop w:val="0"/>
          <w:marBottom w:val="0"/>
          <w:divBdr>
            <w:top w:val="none" w:sz="0" w:space="0" w:color="auto"/>
            <w:left w:val="none" w:sz="0" w:space="0" w:color="auto"/>
            <w:bottom w:val="none" w:sz="0" w:space="0" w:color="auto"/>
            <w:right w:val="none" w:sz="0" w:space="0" w:color="auto"/>
          </w:divBdr>
        </w:div>
        <w:div w:id="857355499">
          <w:marLeft w:val="0"/>
          <w:marRight w:val="0"/>
          <w:marTop w:val="0"/>
          <w:marBottom w:val="0"/>
          <w:divBdr>
            <w:top w:val="none" w:sz="0" w:space="0" w:color="auto"/>
            <w:left w:val="none" w:sz="0" w:space="0" w:color="auto"/>
            <w:bottom w:val="none" w:sz="0" w:space="0" w:color="auto"/>
            <w:right w:val="none" w:sz="0" w:space="0" w:color="auto"/>
          </w:divBdr>
        </w:div>
        <w:div w:id="990867086">
          <w:marLeft w:val="0"/>
          <w:marRight w:val="0"/>
          <w:marTop w:val="0"/>
          <w:marBottom w:val="0"/>
          <w:divBdr>
            <w:top w:val="none" w:sz="0" w:space="0" w:color="auto"/>
            <w:left w:val="none" w:sz="0" w:space="0" w:color="auto"/>
            <w:bottom w:val="none" w:sz="0" w:space="0" w:color="auto"/>
            <w:right w:val="none" w:sz="0" w:space="0" w:color="auto"/>
          </w:divBdr>
        </w:div>
        <w:div w:id="1058284431">
          <w:marLeft w:val="0"/>
          <w:marRight w:val="0"/>
          <w:marTop w:val="0"/>
          <w:marBottom w:val="0"/>
          <w:divBdr>
            <w:top w:val="none" w:sz="0" w:space="0" w:color="auto"/>
            <w:left w:val="none" w:sz="0" w:space="0" w:color="auto"/>
            <w:bottom w:val="none" w:sz="0" w:space="0" w:color="auto"/>
            <w:right w:val="none" w:sz="0" w:space="0" w:color="auto"/>
          </w:divBdr>
        </w:div>
        <w:div w:id="1115641000">
          <w:marLeft w:val="0"/>
          <w:marRight w:val="0"/>
          <w:marTop w:val="0"/>
          <w:marBottom w:val="0"/>
          <w:divBdr>
            <w:top w:val="none" w:sz="0" w:space="0" w:color="auto"/>
            <w:left w:val="none" w:sz="0" w:space="0" w:color="auto"/>
            <w:bottom w:val="none" w:sz="0" w:space="0" w:color="auto"/>
            <w:right w:val="none" w:sz="0" w:space="0" w:color="auto"/>
          </w:divBdr>
        </w:div>
        <w:div w:id="1238317968">
          <w:marLeft w:val="0"/>
          <w:marRight w:val="0"/>
          <w:marTop w:val="0"/>
          <w:marBottom w:val="0"/>
          <w:divBdr>
            <w:top w:val="none" w:sz="0" w:space="0" w:color="auto"/>
            <w:left w:val="none" w:sz="0" w:space="0" w:color="auto"/>
            <w:bottom w:val="none" w:sz="0" w:space="0" w:color="auto"/>
            <w:right w:val="none" w:sz="0" w:space="0" w:color="auto"/>
          </w:divBdr>
        </w:div>
        <w:div w:id="1538424658">
          <w:marLeft w:val="0"/>
          <w:marRight w:val="0"/>
          <w:marTop w:val="0"/>
          <w:marBottom w:val="0"/>
          <w:divBdr>
            <w:top w:val="none" w:sz="0" w:space="0" w:color="auto"/>
            <w:left w:val="none" w:sz="0" w:space="0" w:color="auto"/>
            <w:bottom w:val="none" w:sz="0" w:space="0" w:color="auto"/>
            <w:right w:val="none" w:sz="0" w:space="0" w:color="auto"/>
          </w:divBdr>
        </w:div>
      </w:divsChild>
    </w:div>
    <w:div w:id="1481117420">
      <w:bodyDiv w:val="1"/>
      <w:marLeft w:val="0"/>
      <w:marRight w:val="0"/>
      <w:marTop w:val="0"/>
      <w:marBottom w:val="0"/>
      <w:divBdr>
        <w:top w:val="none" w:sz="0" w:space="0" w:color="auto"/>
        <w:left w:val="none" w:sz="0" w:space="0" w:color="auto"/>
        <w:bottom w:val="none" w:sz="0" w:space="0" w:color="auto"/>
        <w:right w:val="none" w:sz="0" w:space="0" w:color="auto"/>
      </w:divBdr>
      <w:divsChild>
        <w:div w:id="59060570">
          <w:marLeft w:val="0"/>
          <w:marRight w:val="0"/>
          <w:marTop w:val="0"/>
          <w:marBottom w:val="0"/>
          <w:divBdr>
            <w:top w:val="none" w:sz="0" w:space="0" w:color="auto"/>
            <w:left w:val="none" w:sz="0" w:space="0" w:color="auto"/>
            <w:bottom w:val="none" w:sz="0" w:space="0" w:color="auto"/>
            <w:right w:val="none" w:sz="0" w:space="0" w:color="auto"/>
          </w:divBdr>
        </w:div>
        <w:div w:id="811413405">
          <w:marLeft w:val="0"/>
          <w:marRight w:val="0"/>
          <w:marTop w:val="0"/>
          <w:marBottom w:val="0"/>
          <w:divBdr>
            <w:top w:val="none" w:sz="0" w:space="0" w:color="auto"/>
            <w:left w:val="none" w:sz="0" w:space="0" w:color="auto"/>
            <w:bottom w:val="none" w:sz="0" w:space="0" w:color="auto"/>
            <w:right w:val="none" w:sz="0" w:space="0" w:color="auto"/>
          </w:divBdr>
        </w:div>
        <w:div w:id="902910151">
          <w:marLeft w:val="0"/>
          <w:marRight w:val="0"/>
          <w:marTop w:val="0"/>
          <w:marBottom w:val="0"/>
          <w:divBdr>
            <w:top w:val="none" w:sz="0" w:space="0" w:color="auto"/>
            <w:left w:val="none" w:sz="0" w:space="0" w:color="auto"/>
            <w:bottom w:val="none" w:sz="0" w:space="0" w:color="auto"/>
            <w:right w:val="none" w:sz="0" w:space="0" w:color="auto"/>
          </w:divBdr>
        </w:div>
      </w:divsChild>
    </w:div>
    <w:div w:id="1510678239">
      <w:bodyDiv w:val="1"/>
      <w:marLeft w:val="0"/>
      <w:marRight w:val="0"/>
      <w:marTop w:val="0"/>
      <w:marBottom w:val="0"/>
      <w:divBdr>
        <w:top w:val="none" w:sz="0" w:space="0" w:color="auto"/>
        <w:left w:val="none" w:sz="0" w:space="0" w:color="auto"/>
        <w:bottom w:val="none" w:sz="0" w:space="0" w:color="auto"/>
        <w:right w:val="none" w:sz="0" w:space="0" w:color="auto"/>
      </w:divBdr>
    </w:div>
    <w:div w:id="1515997673">
      <w:bodyDiv w:val="1"/>
      <w:marLeft w:val="0"/>
      <w:marRight w:val="0"/>
      <w:marTop w:val="0"/>
      <w:marBottom w:val="0"/>
      <w:divBdr>
        <w:top w:val="none" w:sz="0" w:space="0" w:color="auto"/>
        <w:left w:val="none" w:sz="0" w:space="0" w:color="auto"/>
        <w:bottom w:val="none" w:sz="0" w:space="0" w:color="auto"/>
        <w:right w:val="none" w:sz="0" w:space="0" w:color="auto"/>
      </w:divBdr>
      <w:divsChild>
        <w:div w:id="318460900">
          <w:marLeft w:val="0"/>
          <w:marRight w:val="0"/>
          <w:marTop w:val="0"/>
          <w:marBottom w:val="0"/>
          <w:divBdr>
            <w:top w:val="none" w:sz="0" w:space="0" w:color="auto"/>
            <w:left w:val="none" w:sz="0" w:space="0" w:color="auto"/>
            <w:bottom w:val="none" w:sz="0" w:space="0" w:color="auto"/>
            <w:right w:val="none" w:sz="0" w:space="0" w:color="auto"/>
          </w:divBdr>
        </w:div>
        <w:div w:id="1779174054">
          <w:marLeft w:val="0"/>
          <w:marRight w:val="0"/>
          <w:marTop w:val="0"/>
          <w:marBottom w:val="0"/>
          <w:divBdr>
            <w:top w:val="none" w:sz="0" w:space="0" w:color="auto"/>
            <w:left w:val="none" w:sz="0" w:space="0" w:color="auto"/>
            <w:bottom w:val="none" w:sz="0" w:space="0" w:color="auto"/>
            <w:right w:val="none" w:sz="0" w:space="0" w:color="auto"/>
          </w:divBdr>
        </w:div>
        <w:div w:id="2134134762">
          <w:marLeft w:val="0"/>
          <w:marRight w:val="0"/>
          <w:marTop w:val="0"/>
          <w:marBottom w:val="0"/>
          <w:divBdr>
            <w:top w:val="none" w:sz="0" w:space="0" w:color="auto"/>
            <w:left w:val="none" w:sz="0" w:space="0" w:color="auto"/>
            <w:bottom w:val="none" w:sz="0" w:space="0" w:color="auto"/>
            <w:right w:val="none" w:sz="0" w:space="0" w:color="auto"/>
          </w:divBdr>
        </w:div>
      </w:divsChild>
    </w:div>
    <w:div w:id="1523199982">
      <w:bodyDiv w:val="1"/>
      <w:marLeft w:val="0"/>
      <w:marRight w:val="0"/>
      <w:marTop w:val="0"/>
      <w:marBottom w:val="0"/>
      <w:divBdr>
        <w:top w:val="none" w:sz="0" w:space="0" w:color="auto"/>
        <w:left w:val="none" w:sz="0" w:space="0" w:color="auto"/>
        <w:bottom w:val="none" w:sz="0" w:space="0" w:color="auto"/>
        <w:right w:val="none" w:sz="0" w:space="0" w:color="auto"/>
      </w:divBdr>
      <w:divsChild>
        <w:div w:id="317995929">
          <w:marLeft w:val="0"/>
          <w:marRight w:val="0"/>
          <w:marTop w:val="0"/>
          <w:marBottom w:val="0"/>
          <w:divBdr>
            <w:top w:val="none" w:sz="0" w:space="0" w:color="auto"/>
            <w:left w:val="none" w:sz="0" w:space="0" w:color="auto"/>
            <w:bottom w:val="none" w:sz="0" w:space="0" w:color="auto"/>
            <w:right w:val="none" w:sz="0" w:space="0" w:color="auto"/>
          </w:divBdr>
        </w:div>
        <w:div w:id="1174109543">
          <w:marLeft w:val="0"/>
          <w:marRight w:val="0"/>
          <w:marTop w:val="0"/>
          <w:marBottom w:val="0"/>
          <w:divBdr>
            <w:top w:val="none" w:sz="0" w:space="0" w:color="auto"/>
            <w:left w:val="none" w:sz="0" w:space="0" w:color="auto"/>
            <w:bottom w:val="none" w:sz="0" w:space="0" w:color="auto"/>
            <w:right w:val="none" w:sz="0" w:space="0" w:color="auto"/>
          </w:divBdr>
        </w:div>
        <w:div w:id="1733692282">
          <w:marLeft w:val="0"/>
          <w:marRight w:val="0"/>
          <w:marTop w:val="0"/>
          <w:marBottom w:val="0"/>
          <w:divBdr>
            <w:top w:val="none" w:sz="0" w:space="0" w:color="auto"/>
            <w:left w:val="none" w:sz="0" w:space="0" w:color="auto"/>
            <w:bottom w:val="none" w:sz="0" w:space="0" w:color="auto"/>
            <w:right w:val="none" w:sz="0" w:space="0" w:color="auto"/>
          </w:divBdr>
        </w:div>
      </w:divsChild>
    </w:div>
    <w:div w:id="1524050199">
      <w:bodyDiv w:val="1"/>
      <w:marLeft w:val="0"/>
      <w:marRight w:val="0"/>
      <w:marTop w:val="0"/>
      <w:marBottom w:val="0"/>
      <w:divBdr>
        <w:top w:val="none" w:sz="0" w:space="0" w:color="auto"/>
        <w:left w:val="none" w:sz="0" w:space="0" w:color="auto"/>
        <w:bottom w:val="none" w:sz="0" w:space="0" w:color="auto"/>
        <w:right w:val="none" w:sz="0" w:space="0" w:color="auto"/>
      </w:divBdr>
      <w:divsChild>
        <w:div w:id="100035347">
          <w:marLeft w:val="0"/>
          <w:marRight w:val="0"/>
          <w:marTop w:val="0"/>
          <w:marBottom w:val="0"/>
          <w:divBdr>
            <w:top w:val="none" w:sz="0" w:space="0" w:color="auto"/>
            <w:left w:val="none" w:sz="0" w:space="0" w:color="auto"/>
            <w:bottom w:val="none" w:sz="0" w:space="0" w:color="auto"/>
            <w:right w:val="none" w:sz="0" w:space="0" w:color="auto"/>
          </w:divBdr>
        </w:div>
        <w:div w:id="472068570">
          <w:marLeft w:val="0"/>
          <w:marRight w:val="0"/>
          <w:marTop w:val="0"/>
          <w:marBottom w:val="0"/>
          <w:divBdr>
            <w:top w:val="none" w:sz="0" w:space="0" w:color="auto"/>
            <w:left w:val="none" w:sz="0" w:space="0" w:color="auto"/>
            <w:bottom w:val="none" w:sz="0" w:space="0" w:color="auto"/>
            <w:right w:val="none" w:sz="0" w:space="0" w:color="auto"/>
          </w:divBdr>
        </w:div>
        <w:div w:id="1445539722">
          <w:marLeft w:val="0"/>
          <w:marRight w:val="0"/>
          <w:marTop w:val="0"/>
          <w:marBottom w:val="0"/>
          <w:divBdr>
            <w:top w:val="none" w:sz="0" w:space="0" w:color="auto"/>
            <w:left w:val="none" w:sz="0" w:space="0" w:color="auto"/>
            <w:bottom w:val="none" w:sz="0" w:space="0" w:color="auto"/>
            <w:right w:val="none" w:sz="0" w:space="0" w:color="auto"/>
          </w:divBdr>
        </w:div>
      </w:divsChild>
    </w:div>
    <w:div w:id="1688016448">
      <w:bodyDiv w:val="1"/>
      <w:marLeft w:val="0"/>
      <w:marRight w:val="0"/>
      <w:marTop w:val="0"/>
      <w:marBottom w:val="0"/>
      <w:divBdr>
        <w:top w:val="none" w:sz="0" w:space="0" w:color="auto"/>
        <w:left w:val="none" w:sz="0" w:space="0" w:color="auto"/>
        <w:bottom w:val="none" w:sz="0" w:space="0" w:color="auto"/>
        <w:right w:val="none" w:sz="0" w:space="0" w:color="auto"/>
      </w:divBdr>
      <w:divsChild>
        <w:div w:id="511799576">
          <w:marLeft w:val="0"/>
          <w:marRight w:val="0"/>
          <w:marTop w:val="0"/>
          <w:marBottom w:val="0"/>
          <w:divBdr>
            <w:top w:val="none" w:sz="0" w:space="0" w:color="auto"/>
            <w:left w:val="none" w:sz="0" w:space="0" w:color="auto"/>
            <w:bottom w:val="none" w:sz="0" w:space="0" w:color="auto"/>
            <w:right w:val="none" w:sz="0" w:space="0" w:color="auto"/>
          </w:divBdr>
        </w:div>
        <w:div w:id="1079521943">
          <w:marLeft w:val="0"/>
          <w:marRight w:val="0"/>
          <w:marTop w:val="0"/>
          <w:marBottom w:val="0"/>
          <w:divBdr>
            <w:top w:val="none" w:sz="0" w:space="0" w:color="auto"/>
            <w:left w:val="none" w:sz="0" w:space="0" w:color="auto"/>
            <w:bottom w:val="none" w:sz="0" w:space="0" w:color="auto"/>
            <w:right w:val="none" w:sz="0" w:space="0" w:color="auto"/>
          </w:divBdr>
        </w:div>
      </w:divsChild>
    </w:div>
    <w:div w:id="1701661735">
      <w:bodyDiv w:val="1"/>
      <w:marLeft w:val="0"/>
      <w:marRight w:val="0"/>
      <w:marTop w:val="0"/>
      <w:marBottom w:val="0"/>
      <w:divBdr>
        <w:top w:val="none" w:sz="0" w:space="0" w:color="auto"/>
        <w:left w:val="none" w:sz="0" w:space="0" w:color="auto"/>
        <w:bottom w:val="none" w:sz="0" w:space="0" w:color="auto"/>
        <w:right w:val="none" w:sz="0" w:space="0" w:color="auto"/>
      </w:divBdr>
      <w:divsChild>
        <w:div w:id="125005080">
          <w:marLeft w:val="0"/>
          <w:marRight w:val="0"/>
          <w:marTop w:val="0"/>
          <w:marBottom w:val="0"/>
          <w:divBdr>
            <w:top w:val="none" w:sz="0" w:space="0" w:color="auto"/>
            <w:left w:val="none" w:sz="0" w:space="0" w:color="auto"/>
            <w:bottom w:val="none" w:sz="0" w:space="0" w:color="auto"/>
            <w:right w:val="none" w:sz="0" w:space="0" w:color="auto"/>
          </w:divBdr>
        </w:div>
        <w:div w:id="1618486628">
          <w:marLeft w:val="0"/>
          <w:marRight w:val="0"/>
          <w:marTop w:val="0"/>
          <w:marBottom w:val="0"/>
          <w:divBdr>
            <w:top w:val="none" w:sz="0" w:space="0" w:color="auto"/>
            <w:left w:val="none" w:sz="0" w:space="0" w:color="auto"/>
            <w:bottom w:val="none" w:sz="0" w:space="0" w:color="auto"/>
            <w:right w:val="none" w:sz="0" w:space="0" w:color="auto"/>
          </w:divBdr>
        </w:div>
      </w:divsChild>
    </w:div>
    <w:div w:id="1707369067">
      <w:bodyDiv w:val="1"/>
      <w:marLeft w:val="0"/>
      <w:marRight w:val="0"/>
      <w:marTop w:val="0"/>
      <w:marBottom w:val="0"/>
      <w:divBdr>
        <w:top w:val="none" w:sz="0" w:space="0" w:color="auto"/>
        <w:left w:val="none" w:sz="0" w:space="0" w:color="auto"/>
        <w:bottom w:val="none" w:sz="0" w:space="0" w:color="auto"/>
        <w:right w:val="none" w:sz="0" w:space="0" w:color="auto"/>
      </w:divBdr>
    </w:div>
    <w:div w:id="1792285813">
      <w:bodyDiv w:val="1"/>
      <w:marLeft w:val="0"/>
      <w:marRight w:val="0"/>
      <w:marTop w:val="0"/>
      <w:marBottom w:val="0"/>
      <w:divBdr>
        <w:top w:val="none" w:sz="0" w:space="0" w:color="auto"/>
        <w:left w:val="none" w:sz="0" w:space="0" w:color="auto"/>
        <w:bottom w:val="none" w:sz="0" w:space="0" w:color="auto"/>
        <w:right w:val="none" w:sz="0" w:space="0" w:color="auto"/>
      </w:divBdr>
      <w:divsChild>
        <w:div w:id="33893890">
          <w:marLeft w:val="0"/>
          <w:marRight w:val="0"/>
          <w:marTop w:val="0"/>
          <w:marBottom w:val="0"/>
          <w:divBdr>
            <w:top w:val="none" w:sz="0" w:space="0" w:color="auto"/>
            <w:left w:val="none" w:sz="0" w:space="0" w:color="auto"/>
            <w:bottom w:val="none" w:sz="0" w:space="0" w:color="auto"/>
            <w:right w:val="none" w:sz="0" w:space="0" w:color="auto"/>
          </w:divBdr>
        </w:div>
        <w:div w:id="315426752">
          <w:marLeft w:val="0"/>
          <w:marRight w:val="0"/>
          <w:marTop w:val="0"/>
          <w:marBottom w:val="0"/>
          <w:divBdr>
            <w:top w:val="none" w:sz="0" w:space="0" w:color="auto"/>
            <w:left w:val="none" w:sz="0" w:space="0" w:color="auto"/>
            <w:bottom w:val="none" w:sz="0" w:space="0" w:color="auto"/>
            <w:right w:val="none" w:sz="0" w:space="0" w:color="auto"/>
          </w:divBdr>
        </w:div>
      </w:divsChild>
    </w:div>
    <w:div w:id="1807745598">
      <w:bodyDiv w:val="1"/>
      <w:marLeft w:val="0"/>
      <w:marRight w:val="0"/>
      <w:marTop w:val="0"/>
      <w:marBottom w:val="0"/>
      <w:divBdr>
        <w:top w:val="none" w:sz="0" w:space="0" w:color="auto"/>
        <w:left w:val="none" w:sz="0" w:space="0" w:color="auto"/>
        <w:bottom w:val="none" w:sz="0" w:space="0" w:color="auto"/>
        <w:right w:val="none" w:sz="0" w:space="0" w:color="auto"/>
      </w:divBdr>
      <w:divsChild>
        <w:div w:id="1160727700">
          <w:marLeft w:val="0"/>
          <w:marRight w:val="0"/>
          <w:marTop w:val="0"/>
          <w:marBottom w:val="0"/>
          <w:divBdr>
            <w:top w:val="none" w:sz="0" w:space="0" w:color="auto"/>
            <w:left w:val="none" w:sz="0" w:space="0" w:color="auto"/>
            <w:bottom w:val="none" w:sz="0" w:space="0" w:color="auto"/>
            <w:right w:val="none" w:sz="0" w:space="0" w:color="auto"/>
          </w:divBdr>
        </w:div>
        <w:div w:id="1471629893">
          <w:marLeft w:val="0"/>
          <w:marRight w:val="0"/>
          <w:marTop w:val="0"/>
          <w:marBottom w:val="0"/>
          <w:divBdr>
            <w:top w:val="none" w:sz="0" w:space="0" w:color="auto"/>
            <w:left w:val="none" w:sz="0" w:space="0" w:color="auto"/>
            <w:bottom w:val="none" w:sz="0" w:space="0" w:color="auto"/>
            <w:right w:val="none" w:sz="0" w:space="0" w:color="auto"/>
          </w:divBdr>
        </w:div>
        <w:div w:id="1693260714">
          <w:marLeft w:val="0"/>
          <w:marRight w:val="0"/>
          <w:marTop w:val="0"/>
          <w:marBottom w:val="0"/>
          <w:divBdr>
            <w:top w:val="none" w:sz="0" w:space="0" w:color="auto"/>
            <w:left w:val="none" w:sz="0" w:space="0" w:color="auto"/>
            <w:bottom w:val="none" w:sz="0" w:space="0" w:color="auto"/>
            <w:right w:val="none" w:sz="0" w:space="0" w:color="auto"/>
          </w:divBdr>
        </w:div>
      </w:divsChild>
    </w:div>
    <w:div w:id="1884251931">
      <w:bodyDiv w:val="1"/>
      <w:marLeft w:val="0"/>
      <w:marRight w:val="0"/>
      <w:marTop w:val="0"/>
      <w:marBottom w:val="0"/>
      <w:divBdr>
        <w:top w:val="none" w:sz="0" w:space="0" w:color="auto"/>
        <w:left w:val="none" w:sz="0" w:space="0" w:color="auto"/>
        <w:bottom w:val="none" w:sz="0" w:space="0" w:color="auto"/>
        <w:right w:val="none" w:sz="0" w:space="0" w:color="auto"/>
      </w:divBdr>
      <w:divsChild>
        <w:div w:id="36009988">
          <w:marLeft w:val="0"/>
          <w:marRight w:val="0"/>
          <w:marTop w:val="0"/>
          <w:marBottom w:val="0"/>
          <w:divBdr>
            <w:top w:val="none" w:sz="0" w:space="0" w:color="auto"/>
            <w:left w:val="none" w:sz="0" w:space="0" w:color="auto"/>
            <w:bottom w:val="none" w:sz="0" w:space="0" w:color="auto"/>
            <w:right w:val="none" w:sz="0" w:space="0" w:color="auto"/>
          </w:divBdr>
        </w:div>
        <w:div w:id="1022127855">
          <w:marLeft w:val="0"/>
          <w:marRight w:val="0"/>
          <w:marTop w:val="0"/>
          <w:marBottom w:val="0"/>
          <w:divBdr>
            <w:top w:val="none" w:sz="0" w:space="0" w:color="auto"/>
            <w:left w:val="none" w:sz="0" w:space="0" w:color="auto"/>
            <w:bottom w:val="none" w:sz="0" w:space="0" w:color="auto"/>
            <w:right w:val="none" w:sz="0" w:space="0" w:color="auto"/>
          </w:divBdr>
        </w:div>
        <w:div w:id="1672681117">
          <w:marLeft w:val="0"/>
          <w:marRight w:val="0"/>
          <w:marTop w:val="0"/>
          <w:marBottom w:val="0"/>
          <w:divBdr>
            <w:top w:val="none" w:sz="0" w:space="0" w:color="auto"/>
            <w:left w:val="none" w:sz="0" w:space="0" w:color="auto"/>
            <w:bottom w:val="none" w:sz="0" w:space="0" w:color="auto"/>
            <w:right w:val="none" w:sz="0" w:space="0" w:color="auto"/>
          </w:divBdr>
        </w:div>
      </w:divsChild>
    </w:div>
    <w:div w:id="1973052903">
      <w:bodyDiv w:val="1"/>
      <w:marLeft w:val="0"/>
      <w:marRight w:val="0"/>
      <w:marTop w:val="0"/>
      <w:marBottom w:val="0"/>
      <w:divBdr>
        <w:top w:val="none" w:sz="0" w:space="0" w:color="auto"/>
        <w:left w:val="none" w:sz="0" w:space="0" w:color="auto"/>
        <w:bottom w:val="none" w:sz="0" w:space="0" w:color="auto"/>
        <w:right w:val="none" w:sz="0" w:space="0" w:color="auto"/>
      </w:divBdr>
      <w:divsChild>
        <w:div w:id="258878745">
          <w:marLeft w:val="0"/>
          <w:marRight w:val="0"/>
          <w:marTop w:val="0"/>
          <w:marBottom w:val="0"/>
          <w:divBdr>
            <w:top w:val="none" w:sz="0" w:space="0" w:color="auto"/>
            <w:left w:val="none" w:sz="0" w:space="0" w:color="auto"/>
            <w:bottom w:val="none" w:sz="0" w:space="0" w:color="auto"/>
            <w:right w:val="none" w:sz="0" w:space="0" w:color="auto"/>
          </w:divBdr>
        </w:div>
        <w:div w:id="483395391">
          <w:marLeft w:val="0"/>
          <w:marRight w:val="0"/>
          <w:marTop w:val="0"/>
          <w:marBottom w:val="0"/>
          <w:divBdr>
            <w:top w:val="none" w:sz="0" w:space="0" w:color="auto"/>
            <w:left w:val="none" w:sz="0" w:space="0" w:color="auto"/>
            <w:bottom w:val="none" w:sz="0" w:space="0" w:color="auto"/>
            <w:right w:val="none" w:sz="0" w:space="0" w:color="auto"/>
          </w:divBdr>
        </w:div>
        <w:div w:id="764308210">
          <w:marLeft w:val="0"/>
          <w:marRight w:val="0"/>
          <w:marTop w:val="0"/>
          <w:marBottom w:val="0"/>
          <w:divBdr>
            <w:top w:val="none" w:sz="0" w:space="0" w:color="auto"/>
            <w:left w:val="none" w:sz="0" w:space="0" w:color="auto"/>
            <w:bottom w:val="none" w:sz="0" w:space="0" w:color="auto"/>
            <w:right w:val="none" w:sz="0" w:space="0" w:color="auto"/>
          </w:divBdr>
        </w:div>
        <w:div w:id="1066992904">
          <w:marLeft w:val="0"/>
          <w:marRight w:val="0"/>
          <w:marTop w:val="0"/>
          <w:marBottom w:val="0"/>
          <w:divBdr>
            <w:top w:val="none" w:sz="0" w:space="0" w:color="auto"/>
            <w:left w:val="none" w:sz="0" w:space="0" w:color="auto"/>
            <w:bottom w:val="none" w:sz="0" w:space="0" w:color="auto"/>
            <w:right w:val="none" w:sz="0" w:space="0" w:color="auto"/>
          </w:divBdr>
        </w:div>
        <w:div w:id="1610699118">
          <w:marLeft w:val="0"/>
          <w:marRight w:val="0"/>
          <w:marTop w:val="0"/>
          <w:marBottom w:val="0"/>
          <w:divBdr>
            <w:top w:val="none" w:sz="0" w:space="0" w:color="auto"/>
            <w:left w:val="none" w:sz="0" w:space="0" w:color="auto"/>
            <w:bottom w:val="none" w:sz="0" w:space="0" w:color="auto"/>
            <w:right w:val="none" w:sz="0" w:space="0" w:color="auto"/>
          </w:divBdr>
        </w:div>
      </w:divsChild>
    </w:div>
    <w:div w:id="2021001261">
      <w:bodyDiv w:val="1"/>
      <w:marLeft w:val="0"/>
      <w:marRight w:val="0"/>
      <w:marTop w:val="0"/>
      <w:marBottom w:val="0"/>
      <w:divBdr>
        <w:top w:val="none" w:sz="0" w:space="0" w:color="auto"/>
        <w:left w:val="none" w:sz="0" w:space="0" w:color="auto"/>
        <w:bottom w:val="none" w:sz="0" w:space="0" w:color="auto"/>
        <w:right w:val="none" w:sz="0" w:space="0" w:color="auto"/>
      </w:divBdr>
      <w:divsChild>
        <w:div w:id="42101789">
          <w:marLeft w:val="0"/>
          <w:marRight w:val="0"/>
          <w:marTop w:val="0"/>
          <w:marBottom w:val="0"/>
          <w:divBdr>
            <w:top w:val="none" w:sz="0" w:space="0" w:color="auto"/>
            <w:left w:val="none" w:sz="0" w:space="0" w:color="auto"/>
            <w:bottom w:val="none" w:sz="0" w:space="0" w:color="auto"/>
            <w:right w:val="none" w:sz="0" w:space="0" w:color="auto"/>
          </w:divBdr>
        </w:div>
        <w:div w:id="129904217">
          <w:marLeft w:val="0"/>
          <w:marRight w:val="0"/>
          <w:marTop w:val="0"/>
          <w:marBottom w:val="0"/>
          <w:divBdr>
            <w:top w:val="none" w:sz="0" w:space="0" w:color="auto"/>
            <w:left w:val="none" w:sz="0" w:space="0" w:color="auto"/>
            <w:bottom w:val="none" w:sz="0" w:space="0" w:color="auto"/>
            <w:right w:val="none" w:sz="0" w:space="0" w:color="auto"/>
          </w:divBdr>
        </w:div>
        <w:div w:id="275525024">
          <w:marLeft w:val="0"/>
          <w:marRight w:val="0"/>
          <w:marTop w:val="0"/>
          <w:marBottom w:val="0"/>
          <w:divBdr>
            <w:top w:val="none" w:sz="0" w:space="0" w:color="auto"/>
            <w:left w:val="none" w:sz="0" w:space="0" w:color="auto"/>
            <w:bottom w:val="none" w:sz="0" w:space="0" w:color="auto"/>
            <w:right w:val="none" w:sz="0" w:space="0" w:color="auto"/>
          </w:divBdr>
        </w:div>
        <w:div w:id="784468034">
          <w:marLeft w:val="0"/>
          <w:marRight w:val="0"/>
          <w:marTop w:val="0"/>
          <w:marBottom w:val="0"/>
          <w:divBdr>
            <w:top w:val="none" w:sz="0" w:space="0" w:color="auto"/>
            <w:left w:val="none" w:sz="0" w:space="0" w:color="auto"/>
            <w:bottom w:val="none" w:sz="0" w:space="0" w:color="auto"/>
            <w:right w:val="none" w:sz="0" w:space="0" w:color="auto"/>
          </w:divBdr>
        </w:div>
        <w:div w:id="1058632572">
          <w:marLeft w:val="0"/>
          <w:marRight w:val="0"/>
          <w:marTop w:val="0"/>
          <w:marBottom w:val="0"/>
          <w:divBdr>
            <w:top w:val="none" w:sz="0" w:space="0" w:color="auto"/>
            <w:left w:val="none" w:sz="0" w:space="0" w:color="auto"/>
            <w:bottom w:val="none" w:sz="0" w:space="0" w:color="auto"/>
            <w:right w:val="none" w:sz="0" w:space="0" w:color="auto"/>
          </w:divBdr>
        </w:div>
        <w:div w:id="1301498472">
          <w:marLeft w:val="0"/>
          <w:marRight w:val="0"/>
          <w:marTop w:val="0"/>
          <w:marBottom w:val="0"/>
          <w:divBdr>
            <w:top w:val="none" w:sz="0" w:space="0" w:color="auto"/>
            <w:left w:val="none" w:sz="0" w:space="0" w:color="auto"/>
            <w:bottom w:val="none" w:sz="0" w:space="0" w:color="auto"/>
            <w:right w:val="none" w:sz="0" w:space="0" w:color="auto"/>
          </w:divBdr>
        </w:div>
        <w:div w:id="1961953873">
          <w:marLeft w:val="0"/>
          <w:marRight w:val="0"/>
          <w:marTop w:val="0"/>
          <w:marBottom w:val="0"/>
          <w:divBdr>
            <w:top w:val="none" w:sz="0" w:space="0" w:color="auto"/>
            <w:left w:val="none" w:sz="0" w:space="0" w:color="auto"/>
            <w:bottom w:val="none" w:sz="0" w:space="0" w:color="auto"/>
            <w:right w:val="none" w:sz="0" w:space="0" w:color="auto"/>
          </w:divBdr>
        </w:div>
      </w:divsChild>
    </w:div>
    <w:div w:id="2037584479">
      <w:bodyDiv w:val="1"/>
      <w:marLeft w:val="0"/>
      <w:marRight w:val="0"/>
      <w:marTop w:val="0"/>
      <w:marBottom w:val="0"/>
      <w:divBdr>
        <w:top w:val="none" w:sz="0" w:space="0" w:color="auto"/>
        <w:left w:val="none" w:sz="0" w:space="0" w:color="auto"/>
        <w:bottom w:val="none" w:sz="0" w:space="0" w:color="auto"/>
        <w:right w:val="none" w:sz="0" w:space="0" w:color="auto"/>
      </w:divBdr>
      <w:divsChild>
        <w:div w:id="810253093">
          <w:marLeft w:val="0"/>
          <w:marRight w:val="0"/>
          <w:marTop w:val="0"/>
          <w:marBottom w:val="0"/>
          <w:divBdr>
            <w:top w:val="none" w:sz="0" w:space="0" w:color="auto"/>
            <w:left w:val="none" w:sz="0" w:space="0" w:color="auto"/>
            <w:bottom w:val="none" w:sz="0" w:space="0" w:color="auto"/>
            <w:right w:val="none" w:sz="0" w:space="0" w:color="auto"/>
          </w:divBdr>
        </w:div>
        <w:div w:id="1719815680">
          <w:marLeft w:val="0"/>
          <w:marRight w:val="0"/>
          <w:marTop w:val="0"/>
          <w:marBottom w:val="0"/>
          <w:divBdr>
            <w:top w:val="none" w:sz="0" w:space="0" w:color="auto"/>
            <w:left w:val="none" w:sz="0" w:space="0" w:color="auto"/>
            <w:bottom w:val="none" w:sz="0" w:space="0" w:color="auto"/>
            <w:right w:val="none" w:sz="0" w:space="0" w:color="auto"/>
          </w:divBdr>
        </w:div>
        <w:div w:id="1927955214">
          <w:marLeft w:val="0"/>
          <w:marRight w:val="0"/>
          <w:marTop w:val="0"/>
          <w:marBottom w:val="0"/>
          <w:divBdr>
            <w:top w:val="none" w:sz="0" w:space="0" w:color="auto"/>
            <w:left w:val="none" w:sz="0" w:space="0" w:color="auto"/>
            <w:bottom w:val="none" w:sz="0" w:space="0" w:color="auto"/>
            <w:right w:val="none" w:sz="0" w:space="0" w:color="auto"/>
          </w:divBdr>
        </w:div>
      </w:divsChild>
    </w:div>
    <w:div w:id="2081366687">
      <w:bodyDiv w:val="1"/>
      <w:marLeft w:val="0"/>
      <w:marRight w:val="0"/>
      <w:marTop w:val="0"/>
      <w:marBottom w:val="0"/>
      <w:divBdr>
        <w:top w:val="none" w:sz="0" w:space="0" w:color="auto"/>
        <w:left w:val="none" w:sz="0" w:space="0" w:color="auto"/>
        <w:bottom w:val="none" w:sz="0" w:space="0" w:color="auto"/>
        <w:right w:val="none" w:sz="0" w:space="0" w:color="auto"/>
      </w:divBdr>
      <w:divsChild>
        <w:div w:id="208807514">
          <w:marLeft w:val="0"/>
          <w:marRight w:val="0"/>
          <w:marTop w:val="0"/>
          <w:marBottom w:val="0"/>
          <w:divBdr>
            <w:top w:val="none" w:sz="0" w:space="0" w:color="auto"/>
            <w:left w:val="none" w:sz="0" w:space="0" w:color="auto"/>
            <w:bottom w:val="none" w:sz="0" w:space="0" w:color="auto"/>
            <w:right w:val="none" w:sz="0" w:space="0" w:color="auto"/>
          </w:divBdr>
        </w:div>
        <w:div w:id="556207815">
          <w:marLeft w:val="0"/>
          <w:marRight w:val="0"/>
          <w:marTop w:val="0"/>
          <w:marBottom w:val="0"/>
          <w:divBdr>
            <w:top w:val="none" w:sz="0" w:space="0" w:color="auto"/>
            <w:left w:val="none" w:sz="0" w:space="0" w:color="auto"/>
            <w:bottom w:val="none" w:sz="0" w:space="0" w:color="auto"/>
            <w:right w:val="none" w:sz="0" w:space="0" w:color="auto"/>
          </w:divBdr>
        </w:div>
        <w:div w:id="1092581204">
          <w:marLeft w:val="0"/>
          <w:marRight w:val="0"/>
          <w:marTop w:val="0"/>
          <w:marBottom w:val="0"/>
          <w:divBdr>
            <w:top w:val="none" w:sz="0" w:space="0" w:color="auto"/>
            <w:left w:val="none" w:sz="0" w:space="0" w:color="auto"/>
            <w:bottom w:val="none" w:sz="0" w:space="0" w:color="auto"/>
            <w:right w:val="none" w:sz="0" w:space="0" w:color="auto"/>
          </w:divBdr>
        </w:div>
        <w:div w:id="1289162322">
          <w:marLeft w:val="0"/>
          <w:marRight w:val="0"/>
          <w:marTop w:val="0"/>
          <w:marBottom w:val="0"/>
          <w:divBdr>
            <w:top w:val="none" w:sz="0" w:space="0" w:color="auto"/>
            <w:left w:val="none" w:sz="0" w:space="0" w:color="auto"/>
            <w:bottom w:val="none" w:sz="0" w:space="0" w:color="auto"/>
            <w:right w:val="none" w:sz="0" w:space="0" w:color="auto"/>
          </w:divBdr>
        </w:div>
        <w:div w:id="1727490140">
          <w:marLeft w:val="0"/>
          <w:marRight w:val="0"/>
          <w:marTop w:val="0"/>
          <w:marBottom w:val="0"/>
          <w:divBdr>
            <w:top w:val="none" w:sz="0" w:space="0" w:color="auto"/>
            <w:left w:val="none" w:sz="0" w:space="0" w:color="auto"/>
            <w:bottom w:val="none" w:sz="0" w:space="0" w:color="auto"/>
            <w:right w:val="none" w:sz="0" w:space="0" w:color="auto"/>
          </w:divBdr>
        </w:div>
      </w:divsChild>
    </w:div>
    <w:div w:id="2107840380">
      <w:bodyDiv w:val="1"/>
      <w:marLeft w:val="0"/>
      <w:marRight w:val="0"/>
      <w:marTop w:val="0"/>
      <w:marBottom w:val="0"/>
      <w:divBdr>
        <w:top w:val="none" w:sz="0" w:space="0" w:color="auto"/>
        <w:left w:val="none" w:sz="0" w:space="0" w:color="auto"/>
        <w:bottom w:val="none" w:sz="0" w:space="0" w:color="auto"/>
        <w:right w:val="none" w:sz="0" w:space="0" w:color="auto"/>
      </w:divBdr>
      <w:divsChild>
        <w:div w:id="199124332">
          <w:marLeft w:val="0"/>
          <w:marRight w:val="0"/>
          <w:marTop w:val="0"/>
          <w:marBottom w:val="0"/>
          <w:divBdr>
            <w:top w:val="none" w:sz="0" w:space="0" w:color="auto"/>
            <w:left w:val="none" w:sz="0" w:space="0" w:color="auto"/>
            <w:bottom w:val="none" w:sz="0" w:space="0" w:color="auto"/>
            <w:right w:val="none" w:sz="0" w:space="0" w:color="auto"/>
          </w:divBdr>
        </w:div>
        <w:div w:id="468286923">
          <w:marLeft w:val="0"/>
          <w:marRight w:val="0"/>
          <w:marTop w:val="0"/>
          <w:marBottom w:val="0"/>
          <w:divBdr>
            <w:top w:val="none" w:sz="0" w:space="0" w:color="auto"/>
            <w:left w:val="none" w:sz="0" w:space="0" w:color="auto"/>
            <w:bottom w:val="none" w:sz="0" w:space="0" w:color="auto"/>
            <w:right w:val="none" w:sz="0" w:space="0" w:color="auto"/>
          </w:divBdr>
        </w:div>
        <w:div w:id="659891547">
          <w:marLeft w:val="0"/>
          <w:marRight w:val="0"/>
          <w:marTop w:val="0"/>
          <w:marBottom w:val="0"/>
          <w:divBdr>
            <w:top w:val="none" w:sz="0" w:space="0" w:color="auto"/>
            <w:left w:val="none" w:sz="0" w:space="0" w:color="auto"/>
            <w:bottom w:val="none" w:sz="0" w:space="0" w:color="auto"/>
            <w:right w:val="none" w:sz="0" w:space="0" w:color="auto"/>
          </w:divBdr>
        </w:div>
        <w:div w:id="805196175">
          <w:marLeft w:val="0"/>
          <w:marRight w:val="0"/>
          <w:marTop w:val="0"/>
          <w:marBottom w:val="0"/>
          <w:divBdr>
            <w:top w:val="none" w:sz="0" w:space="0" w:color="auto"/>
            <w:left w:val="none" w:sz="0" w:space="0" w:color="auto"/>
            <w:bottom w:val="none" w:sz="0" w:space="0" w:color="auto"/>
            <w:right w:val="none" w:sz="0" w:space="0" w:color="auto"/>
          </w:divBdr>
        </w:div>
        <w:div w:id="1929776659">
          <w:marLeft w:val="0"/>
          <w:marRight w:val="0"/>
          <w:marTop w:val="0"/>
          <w:marBottom w:val="0"/>
          <w:divBdr>
            <w:top w:val="none" w:sz="0" w:space="0" w:color="auto"/>
            <w:left w:val="none" w:sz="0" w:space="0" w:color="auto"/>
            <w:bottom w:val="none" w:sz="0" w:space="0" w:color="auto"/>
            <w:right w:val="none" w:sz="0" w:space="0" w:color="auto"/>
          </w:divBdr>
        </w:div>
        <w:div w:id="1981306162">
          <w:marLeft w:val="0"/>
          <w:marRight w:val="0"/>
          <w:marTop w:val="0"/>
          <w:marBottom w:val="0"/>
          <w:divBdr>
            <w:top w:val="none" w:sz="0" w:space="0" w:color="auto"/>
            <w:left w:val="none" w:sz="0" w:space="0" w:color="auto"/>
            <w:bottom w:val="none" w:sz="0" w:space="0" w:color="auto"/>
            <w:right w:val="none" w:sz="0" w:space="0" w:color="auto"/>
          </w:divBdr>
        </w:div>
        <w:div w:id="2066562730">
          <w:marLeft w:val="0"/>
          <w:marRight w:val="0"/>
          <w:marTop w:val="0"/>
          <w:marBottom w:val="0"/>
          <w:divBdr>
            <w:top w:val="none" w:sz="0" w:space="0" w:color="auto"/>
            <w:left w:val="none" w:sz="0" w:space="0" w:color="auto"/>
            <w:bottom w:val="none" w:sz="0" w:space="0" w:color="auto"/>
            <w:right w:val="none" w:sz="0" w:space="0" w:color="auto"/>
          </w:divBdr>
        </w:div>
        <w:div w:id="2144273736">
          <w:marLeft w:val="0"/>
          <w:marRight w:val="0"/>
          <w:marTop w:val="0"/>
          <w:marBottom w:val="0"/>
          <w:divBdr>
            <w:top w:val="none" w:sz="0" w:space="0" w:color="auto"/>
            <w:left w:val="none" w:sz="0" w:space="0" w:color="auto"/>
            <w:bottom w:val="none" w:sz="0" w:space="0" w:color="auto"/>
            <w:right w:val="none" w:sz="0" w:space="0" w:color="auto"/>
          </w:divBdr>
        </w:div>
      </w:divsChild>
    </w:div>
    <w:div w:id="21449976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p.europa.eu/fr/publication-detail/-/publication/1f8185d5-5325-11ec-91ac-01aa75ed71a1/language-en/format-PDF/source-245338952" TargetMode="External"/><Relationship Id="rId18" Type="http://schemas.openxmlformats.org/officeDocument/2006/relationships/hyperlink" Target="https://cordis.europa.eu/search?q=contenttype%3D%27project%27%20AND%20programme%2Fcode%3D%27SC1-PHE-CORONAVIRUS-2020-2C%27&amp;p=1&amp;num=10&amp;srt=/project/contentUpdateDate:decreasing"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op.europa.eu/fr/publication-detail/-/publication/1f8185d5-5325-11ec-91ac-01aa75ed71a1/language-en/format-PDF/source-245338952" TargetMode="External"/><Relationship Id="rId17" Type="http://schemas.openxmlformats.org/officeDocument/2006/relationships/hyperlink" Target="https://www.ema.europa.eu/en/human-regulatory/research-development/clinical-trials/accelerating-clinical-trials-eu-act-eu"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research-and-innovation.ec.europa.eu/funding/funding-opportunities/funding-programmes-and-open-calls/horizon-europe/european-partnerships-horizon-europe/health_fr"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ma.europa.eu/en"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eur-lex.europa.eu/legal-content/FR/TXT/?uri=uriserv:OJ.L_.2023.080.01.0024.01.FRA"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eu-for-children.europa.eu/hom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ur-lex.europa.eu/legal-content/FR/TXT/?uri=CELEX:31989L0105" TargetMode="External"/><Relationship Id="rId22" Type="http://schemas.openxmlformats.org/officeDocument/2006/relationships/footer" Target="footer1.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TE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AD48F1434A9434C98DA00CC7DA69B89" ma:contentTypeVersion="15" ma:contentTypeDescription="Create a new document." ma:contentTypeScope="" ma:versionID="73350676559cffec648501f58c667d51">
  <xsd:schema xmlns:xsd="http://www.w3.org/2001/XMLSchema" xmlns:xs="http://www.w3.org/2001/XMLSchema" xmlns:p="http://schemas.microsoft.com/office/2006/metadata/properties" xmlns:ns2="590d3f1b-a5be-4600-95ba-480499bda195" xmlns:ns3="f2983581-87cd-4b3a-a77a-777bbb751c49" targetNamespace="http://schemas.microsoft.com/office/2006/metadata/properties" ma:root="true" ma:fieldsID="5bfc1b77713864a5ebaeab8008c4a997" ns2:_="" ns3:_="">
    <xsd:import namespace="590d3f1b-a5be-4600-95ba-480499bda195"/>
    <xsd:import namespace="f2983581-87cd-4b3a-a77a-777bbb751c4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0d3f1b-a5be-4600-95ba-480499bda1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983581-87cd-4b3a-a77a-777bbb751c4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fff1328-5042-4c31-be15-d384fc3a69f0}" ma:internalName="TaxCatchAll" ma:showField="CatchAllData" ma:web="f2983581-87cd-4b3a-a77a-777bbb751c4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90d3f1b-a5be-4600-95ba-480499bda195">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TaxCatchAll xmlns="f2983581-87cd-4b3a-a77a-777bbb751c49" xsi:nil="true"/>
    <SharedWithUsers xmlns="f2983581-87cd-4b3a-a77a-777bbb751c49">
      <UserInfo>
        <DisplayName>SCALZO Salvatore (SG)</DisplayName>
        <AccountId>142</AccountId>
        <AccountType/>
      </UserInfo>
    </SharedWithUsers>
  </documentManagement>
</p:properties>
</file>

<file path=customXml/itemProps1.xml><?xml version="1.0" encoding="utf-8"?>
<ds:datastoreItem xmlns:ds="http://schemas.openxmlformats.org/officeDocument/2006/customXml" ds:itemID="{8700459C-FDC6-4A45-B856-F1FCD291A0BE}">
  <ds:schemaRefs>
    <ds:schemaRef ds:uri="http://schemas.openxmlformats.org/officeDocument/2006/bibliography"/>
  </ds:schemaRefs>
</ds:datastoreItem>
</file>

<file path=customXml/itemProps2.xml><?xml version="1.0" encoding="utf-8"?>
<ds:datastoreItem xmlns:ds="http://schemas.openxmlformats.org/officeDocument/2006/customXml" ds:itemID="{84FB8088-081D-4D5B-BE96-D8D78EB4B6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0d3f1b-a5be-4600-95ba-480499bda195"/>
    <ds:schemaRef ds:uri="f2983581-87cd-4b3a-a77a-777bbb751c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ACD91B-7E04-42DA-BEEA-0685AF556206}">
  <ds:schemaRefs>
    <ds:schemaRef ds:uri="http://schemas.microsoft.com/sharepoint/v3/contenttype/forms"/>
  </ds:schemaRefs>
</ds:datastoreItem>
</file>

<file path=customXml/itemProps4.xml><?xml version="1.0" encoding="utf-8"?>
<ds:datastoreItem xmlns:ds="http://schemas.openxmlformats.org/officeDocument/2006/customXml" ds:itemID="{38C981C7-6A4F-427E-ABF2-1235FEC93B42}">
  <ds:schemaRefs>
    <ds:schemaRef ds:uri="http://purl.org/dc/terms/"/>
    <ds:schemaRef ds:uri="590d3f1b-a5be-4600-95ba-480499bda195"/>
    <ds:schemaRef ds:uri="http://www.w3.org/XML/1998/namespace"/>
    <ds:schemaRef ds:uri="http://schemas.microsoft.com/office/infopath/2007/PartnerControls"/>
    <ds:schemaRef ds:uri="http://purl.org/dc/dcmitype/"/>
    <ds:schemaRef ds:uri="http://schemas.microsoft.com/office/2006/documentManagement/types"/>
    <ds:schemaRef ds:uri="http://purl.org/dc/elements/1.1/"/>
    <ds:schemaRef ds:uri="http://schemas.openxmlformats.org/package/2006/metadata/core-properties"/>
    <ds:schemaRef ds:uri="f2983581-87cd-4b3a-a77a-777bbb751c49"/>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TEL.DOTM</Template>
  <TotalTime>1</TotalTime>
  <Pages>15</Pages>
  <Words>9504</Words>
  <Characters>52464</Characters>
  <Application>Microsoft Office Word</Application>
  <DocSecurity>0</DocSecurity>
  <PresentationFormat>Microsoft Word 8.0b</PresentationFormat>
  <Lines>738</Lines>
  <Paragraphs>97</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61871</CharactersWithSpaces>
  <SharedDoc>false</SharedDoc>
  <HLinks>
    <vt:vector size="48" baseType="variant">
      <vt:variant>
        <vt:i4>7209067</vt:i4>
      </vt:variant>
      <vt:variant>
        <vt:i4>21</vt:i4>
      </vt:variant>
      <vt:variant>
        <vt:i4>0</vt:i4>
      </vt:variant>
      <vt:variant>
        <vt:i4>5</vt:i4>
      </vt:variant>
      <vt:variant>
        <vt:lpwstr>https://eu-for-children.europa.eu/home</vt:lpwstr>
      </vt:variant>
      <vt:variant>
        <vt:lpwstr/>
      </vt:variant>
      <vt:variant>
        <vt:i4>8061048</vt:i4>
      </vt:variant>
      <vt:variant>
        <vt:i4>18</vt:i4>
      </vt:variant>
      <vt:variant>
        <vt:i4>0</vt:i4>
      </vt:variant>
      <vt:variant>
        <vt:i4>5</vt:i4>
      </vt:variant>
      <vt:variant>
        <vt:lpwstr>https://cordis.europa.eu/search?q=contenttype%3D%27project%27%20AND%20programme%2Fcode%3D%27SC1-PHE-CORONAVIRUS-2020-2C%27&amp;p=1&amp;num=10&amp;srt=/project/contentUpdateDate:decreasing</vt:lpwstr>
      </vt:variant>
      <vt:variant>
        <vt:lpwstr/>
      </vt:variant>
      <vt:variant>
        <vt:i4>5898263</vt:i4>
      </vt:variant>
      <vt:variant>
        <vt:i4>15</vt:i4>
      </vt:variant>
      <vt:variant>
        <vt:i4>0</vt:i4>
      </vt:variant>
      <vt:variant>
        <vt:i4>5</vt:i4>
      </vt:variant>
      <vt:variant>
        <vt:lpwstr>https://www.ema.europa.eu/en/human-regulatory/research-development/clinical-trials/accelerating-clinical-trials-eu-act-eu</vt:lpwstr>
      </vt:variant>
      <vt:variant>
        <vt:lpwstr/>
      </vt:variant>
      <vt:variant>
        <vt:i4>1704058</vt:i4>
      </vt:variant>
      <vt:variant>
        <vt:i4>12</vt:i4>
      </vt:variant>
      <vt:variant>
        <vt:i4>0</vt:i4>
      </vt:variant>
      <vt:variant>
        <vt:i4>5</vt:i4>
      </vt:variant>
      <vt:variant>
        <vt:lpwstr>https://research-and-innovation.ec.europa.eu/funding/funding-opportunities/funding-programmes-and-open-calls/horizon-europe/european-partnerships-horizon-europe/health_en</vt:lpwstr>
      </vt:variant>
      <vt:variant>
        <vt:lpwstr/>
      </vt:variant>
      <vt:variant>
        <vt:i4>5636197</vt:i4>
      </vt:variant>
      <vt:variant>
        <vt:i4>9</vt:i4>
      </vt:variant>
      <vt:variant>
        <vt:i4>0</vt:i4>
      </vt:variant>
      <vt:variant>
        <vt:i4>5</vt:i4>
      </vt:variant>
      <vt:variant>
        <vt:lpwstr>https://eur-lex.europa.eu/legal-content/EN/TXT/?uri=uriserv:OJ.L_.2023.080.01.0024.01.ENG</vt:lpwstr>
      </vt:variant>
      <vt:variant>
        <vt:lpwstr/>
      </vt:variant>
      <vt:variant>
        <vt:i4>327745</vt:i4>
      </vt:variant>
      <vt:variant>
        <vt:i4>6</vt:i4>
      </vt:variant>
      <vt:variant>
        <vt:i4>0</vt:i4>
      </vt:variant>
      <vt:variant>
        <vt:i4>5</vt:i4>
      </vt:variant>
      <vt:variant>
        <vt:lpwstr>https://eur-lex.europa.eu/legal-content/EN/TXT/?uri=CELEX:31989L0105</vt:lpwstr>
      </vt:variant>
      <vt:variant>
        <vt:lpwstr/>
      </vt:variant>
      <vt:variant>
        <vt:i4>4587546</vt:i4>
      </vt:variant>
      <vt:variant>
        <vt:i4>3</vt:i4>
      </vt:variant>
      <vt:variant>
        <vt:i4>0</vt:i4>
      </vt:variant>
      <vt:variant>
        <vt:i4>5</vt:i4>
      </vt:variant>
      <vt:variant>
        <vt:lpwstr>https://op.europa.eu/en/publication-detail/-/publication/1f8185d5-5325-11ec-91ac-01aa75ed71a1/language-en/format-PDF/source-245338952</vt:lpwstr>
      </vt:variant>
      <vt:variant>
        <vt:lpwstr/>
      </vt:variant>
      <vt:variant>
        <vt:i4>5505053</vt:i4>
      </vt:variant>
      <vt:variant>
        <vt:i4>0</vt:i4>
      </vt:variant>
      <vt:variant>
        <vt:i4>0</vt:i4>
      </vt:variant>
      <vt:variant>
        <vt:i4>5</vt:i4>
      </vt:variant>
      <vt:variant>
        <vt:lpwstr>https://www.ema.europa.eu/en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WERKER</dc:creator>
  <cp:keywords>EL4</cp:keywords>
  <dc:description/>
  <cp:lastModifiedBy>DELBAER Gerda (SG)</cp:lastModifiedBy>
  <cp:revision>2</cp:revision>
  <cp:lastPrinted>2023-09-28T23:27:00Z</cp:lastPrinted>
  <dcterms:created xsi:type="dcterms:W3CDTF">2023-12-15T11:00:00Z</dcterms:created>
  <dcterms:modified xsi:type="dcterms:W3CDTF">2023-12-15T11:00:00Z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4.1.3.4</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 [20010706]</vt:lpwstr>
  </property>
  <property fmtid="{D5CDD505-2E9C-101B-9397-08002B2CF9AE}" pid="6" name="Last edited using">
    <vt:lpwstr>EL 4.6 Build 50000</vt:lpwstr>
  </property>
  <property fmtid="{D5CDD505-2E9C-101B-9397-08002B2CF9AE}" pid="7" name="EL_Author">
    <vt:lpwstr>M. WERKER</vt:lpwstr>
  </property>
  <property fmtid="{D5CDD505-2E9C-101B-9397-08002B2CF9AE}" pid="8" name="Type">
    <vt:lpwstr>Eurolook Telex</vt:lpwstr>
  </property>
  <property fmtid="{D5CDD505-2E9C-101B-9397-08002B2CF9AE}" pid="9" name="Language">
    <vt:lpwstr>FR</vt:lpwstr>
  </property>
  <property fmtid="{D5CDD505-2E9C-101B-9397-08002B2CF9AE}" pid="10" name="EL_Language">
    <vt:lpwstr>FR</vt:lpwstr>
  </property>
  <property fmtid="{D5CDD505-2E9C-101B-9397-08002B2CF9AE}" pid="11" name="Formatting">
    <vt:lpwstr>4.1</vt:lpwstr>
  </property>
  <property fmtid="{D5CDD505-2E9C-101B-9397-08002B2CF9AE}" pid="12" name="ELDocType">
    <vt:lpwstr>tel.dot</vt:lpwstr>
  </property>
  <property fmtid="{D5CDD505-2E9C-101B-9397-08002B2CF9AE}" pid="13" name="MSIP_Label_6bd9ddd1-4d20-43f6-abfa-fc3c07406f94_Enabled">
    <vt:lpwstr>true</vt:lpwstr>
  </property>
  <property fmtid="{D5CDD505-2E9C-101B-9397-08002B2CF9AE}" pid="14" name="MSIP_Label_6bd9ddd1-4d20-43f6-abfa-fc3c07406f94_SetDate">
    <vt:lpwstr>2023-03-06T16:57:17Z</vt:lpwstr>
  </property>
  <property fmtid="{D5CDD505-2E9C-101B-9397-08002B2CF9AE}" pid="15" name="MSIP_Label_6bd9ddd1-4d20-43f6-abfa-fc3c07406f94_Method">
    <vt:lpwstr>Standard</vt:lpwstr>
  </property>
  <property fmtid="{D5CDD505-2E9C-101B-9397-08002B2CF9AE}" pid="16" name="MSIP_Label_6bd9ddd1-4d20-43f6-abfa-fc3c07406f94_Name">
    <vt:lpwstr>Commission Use</vt:lpwstr>
  </property>
  <property fmtid="{D5CDD505-2E9C-101B-9397-08002B2CF9AE}" pid="17" name="MSIP_Label_6bd9ddd1-4d20-43f6-abfa-fc3c07406f94_SiteId">
    <vt:lpwstr>b24c8b06-522c-46fe-9080-70926f8dddb1</vt:lpwstr>
  </property>
  <property fmtid="{D5CDD505-2E9C-101B-9397-08002B2CF9AE}" pid="18" name="MSIP_Label_6bd9ddd1-4d20-43f6-abfa-fc3c07406f94_ActionId">
    <vt:lpwstr>fed4ca29-9366-4f08-a0f8-47b4b7a2a3a2</vt:lpwstr>
  </property>
  <property fmtid="{D5CDD505-2E9C-101B-9397-08002B2CF9AE}" pid="19" name="MSIP_Label_6bd9ddd1-4d20-43f6-abfa-fc3c07406f94_ContentBits">
    <vt:lpwstr>0</vt:lpwstr>
  </property>
  <property fmtid="{D5CDD505-2E9C-101B-9397-08002B2CF9AE}" pid="20" name="ContentTypeId">
    <vt:lpwstr>0x010100DAD48F1434A9434C98DA00CC7DA69B89</vt:lpwstr>
  </property>
  <property fmtid="{D5CDD505-2E9C-101B-9397-08002B2CF9AE}" pid="21" name="MediaServiceImageTags">
    <vt:lpwstr/>
  </property>
</Properties>
</file>