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9E36" w14:textId="67585A44" w:rsidR="003720DA" w:rsidRPr="00F236B8" w:rsidRDefault="003720DA" w:rsidP="00494CFF">
      <w:pPr>
        <w:spacing w:after="600"/>
        <w:jc w:val="center"/>
        <w:rPr>
          <w:b/>
          <w:bCs/>
        </w:rPr>
      </w:pPr>
      <w:r>
        <w:rPr>
          <w:b/>
        </w:rPr>
        <w:t>Suite donnée à la résolution non législative du Parlement européen sur le projet de décision d’exécution de la Commission autorisant la mise sur le marché de produits contenant du maïs génétiquement modifié MON 87419, consistant en ce maïs ou produits à partir de celui-ci, en application du règlement (CE) nº 1829/2003 du Parlement européen et du Conseil</w:t>
      </w:r>
    </w:p>
    <w:p w14:paraId="01F375C1" w14:textId="58C67823" w:rsidR="003720DA" w:rsidRPr="00F236B8" w:rsidRDefault="003720DA" w:rsidP="00494CFF">
      <w:pPr>
        <w:spacing w:after="240" w:line="240" w:lineRule="auto"/>
        <w:ind w:left="720" w:hanging="720"/>
      </w:pPr>
      <w:r>
        <w:rPr>
          <w:b/>
        </w:rPr>
        <w:t>1.</w:t>
      </w:r>
      <w:r>
        <w:tab/>
      </w:r>
      <w:r>
        <w:rPr>
          <w:b/>
        </w:rPr>
        <w:t>Résolution présentée conformément à l’article 112, paragraphes 2 et 3, du règlement intérieur du Parlement européen</w:t>
      </w:r>
    </w:p>
    <w:p w14:paraId="50FBAF5B" w14:textId="50249BAA" w:rsidR="003720DA" w:rsidRPr="00F236B8" w:rsidRDefault="003720DA" w:rsidP="00494CFF">
      <w:pPr>
        <w:spacing w:after="240" w:line="240" w:lineRule="auto"/>
        <w:ind w:left="720" w:hanging="720"/>
      </w:pPr>
      <w:r>
        <w:rPr>
          <w:b/>
        </w:rPr>
        <w:t>2.</w:t>
      </w:r>
      <w:r>
        <w:tab/>
      </w:r>
      <w:r>
        <w:rPr>
          <w:b/>
        </w:rPr>
        <w:t>Numéros de référence:</w:t>
      </w:r>
      <w:r>
        <w:t xml:space="preserve"> 2023/2759 (RSP) / B9-0362/2023 / P9_TA(2023)0307</w:t>
      </w:r>
    </w:p>
    <w:p w14:paraId="2CFE0CEA" w14:textId="26A50E63" w:rsidR="003720DA" w:rsidRPr="00F236B8" w:rsidRDefault="003720DA" w:rsidP="00494CFF">
      <w:pPr>
        <w:spacing w:after="240" w:line="240" w:lineRule="auto"/>
        <w:ind w:left="720" w:hanging="720"/>
      </w:pPr>
      <w:r>
        <w:rPr>
          <w:b/>
        </w:rPr>
        <w:t>3.</w:t>
      </w:r>
      <w:r>
        <w:tab/>
      </w:r>
      <w:r>
        <w:rPr>
          <w:b/>
        </w:rPr>
        <w:t>Date d'adoption de la résolution:</w:t>
      </w:r>
      <w:r>
        <w:t xml:space="preserve"> 12 septembre 2023</w:t>
      </w:r>
    </w:p>
    <w:p w14:paraId="2A9EBE3F" w14:textId="3D44185C" w:rsidR="003720DA" w:rsidRPr="00F236B8" w:rsidRDefault="003720DA" w:rsidP="00494CFF">
      <w:pPr>
        <w:spacing w:after="240" w:line="240" w:lineRule="auto"/>
        <w:ind w:left="720" w:hanging="720"/>
      </w:pPr>
      <w:r>
        <w:rPr>
          <w:b/>
        </w:rPr>
        <w:t>4.</w:t>
      </w:r>
      <w:r>
        <w:tab/>
      </w:r>
      <w:r>
        <w:rPr>
          <w:b/>
        </w:rPr>
        <w:t>Commission parlementaire compétente:</w:t>
      </w:r>
      <w:r>
        <w:t xml:space="preserve"> commission de l’environnement, de la santé publique et de la sécurité alimentaire (ENVI)</w:t>
      </w:r>
    </w:p>
    <w:p w14:paraId="78674EE5" w14:textId="030FBE3B" w:rsidR="003720DA" w:rsidRPr="00F236B8" w:rsidRDefault="003720DA" w:rsidP="00494CFF">
      <w:pPr>
        <w:spacing w:after="240" w:line="240" w:lineRule="auto"/>
        <w:ind w:left="720" w:hanging="720"/>
        <w:rPr>
          <w:b/>
          <w:bCs/>
        </w:rPr>
      </w:pPr>
      <w:r>
        <w:rPr>
          <w:b/>
        </w:rPr>
        <w:t>5.</w:t>
      </w:r>
      <w:r>
        <w:tab/>
      </w:r>
      <w:r>
        <w:rPr>
          <w:b/>
        </w:rPr>
        <w:t>Analyse/évaluation succincte de la résolution et des demandes qu’elle contient:</w:t>
      </w:r>
    </w:p>
    <w:p w14:paraId="4E1976CF" w14:textId="01392186" w:rsidR="00F97CB7" w:rsidRPr="00F236B8" w:rsidRDefault="00F97CB7" w:rsidP="00BE1051">
      <w:pPr>
        <w:spacing w:after="120" w:line="240" w:lineRule="auto"/>
      </w:pPr>
      <w:r>
        <w:t>Dans sa résolution, le Parlement demande le retrait du projet de décision d’exécution de la Commission (</w:t>
      </w:r>
      <w:r>
        <w:rPr>
          <w:b/>
        </w:rPr>
        <w:t>paragraphe 3</w:t>
      </w:r>
      <w:r>
        <w:t>), au motif qu’il excède les compétences d’exécution prévues dans le règlement (CE) nº 1829/2003 (</w:t>
      </w:r>
      <w:r>
        <w:rPr>
          <w:b/>
        </w:rPr>
        <w:t>paragraphe 1</w:t>
      </w:r>
      <w:r>
        <w:t>) et qu’il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Pr>
          <w:b/>
        </w:rPr>
        <w:t>paragraphe 2</w:t>
      </w:r>
      <w:r>
        <w:t>).</w:t>
      </w:r>
    </w:p>
    <w:p w14:paraId="58E85092" w14:textId="4009A4DF" w:rsidR="000248AB" w:rsidRPr="00F236B8" w:rsidRDefault="006C39A0" w:rsidP="000248AB">
      <w:pPr>
        <w:spacing w:after="120" w:line="240" w:lineRule="auto"/>
      </w:pPr>
      <w:r>
        <w:t>Le Parlement rappelle que le maïs génétiquement modifié (GM) est tolérant aux herbicides à base de dicamba et de glufosinate, ainsi qu’aux herbicides phénoxyacétiques (</w:t>
      </w:r>
      <w:r>
        <w:rPr>
          <w:b/>
        </w:rPr>
        <w:t>considérant C</w:t>
      </w:r>
      <w:r>
        <w:t>) et invite la Commission à n’autoriser aucune plante génétiquement modifiée tolérante aux herbicides, en raison de la hausse de l’utilisation d’herbicides complémentaires et des risques accrus pour la biodiversité, la sécurité alimentaire et la santé au travail (</w:t>
      </w:r>
      <w:r>
        <w:rPr>
          <w:b/>
        </w:rPr>
        <w:t>paragraphe 4</w:t>
      </w:r>
      <w:r>
        <w:t>).</w:t>
      </w:r>
    </w:p>
    <w:p w14:paraId="4176F637" w14:textId="6A9AC318" w:rsidR="000248AB" w:rsidRPr="00F236B8" w:rsidRDefault="000248AB" w:rsidP="000248AB">
      <w:pPr>
        <w:spacing w:after="120" w:line="240" w:lineRule="auto"/>
      </w:pPr>
      <w:r>
        <w:t>Dans sa résolution, le Parlement mentionne la volatilité du dicamba et affirme que, de ce fait, le dicamba se retrouverait dans l’air et exposerait les personnes et les plantes non ciblées à dommages potentiels graves (</w:t>
      </w:r>
      <w:r>
        <w:rPr>
          <w:b/>
        </w:rPr>
        <w:t>considérant G</w:t>
      </w:r>
      <w:r>
        <w:t>). Il mentionne l’effet cancérogène potentiel du dicamba (</w:t>
      </w:r>
      <w:r>
        <w:rPr>
          <w:b/>
        </w:rPr>
        <w:t>considérants I à K</w:t>
      </w:r>
      <w:r>
        <w:t>). Il mentionne également le fait que l’évaluation des résidus d’herbicides et de leurs métabolites est considérée comme ne relevant pas de la compétence du groupe scientifique de l’Autorité européenne de sécurité des aliments (EFSA) sur les OGM et n’est donc pas réalisée dans le cadre de la procédure d’autorisation des OGM (</w:t>
      </w:r>
      <w:r>
        <w:rPr>
          <w:b/>
        </w:rPr>
        <w:t>considérant L</w:t>
      </w:r>
      <w:r>
        <w:t>).</w:t>
      </w:r>
    </w:p>
    <w:p w14:paraId="05048FA5" w14:textId="6DA4C4ED" w:rsidR="000248AB" w:rsidRPr="00F236B8" w:rsidRDefault="000248AB" w:rsidP="00BE1051">
      <w:pPr>
        <w:spacing w:after="120" w:line="240" w:lineRule="auto"/>
      </w:pPr>
      <w:r>
        <w:t>Dans sa résolution, le Parlement souligne qu’autoriser l’importation pour l’alimentation humaine ou animale de toute plante génétiquement modifiée rendue tolérante aux herbicides interdits dans l’Union, tels que le glufosinate, est incompatible avec les engagements internationaux de l’Union, y compris le cadre de Kunming-Montréal récemment adopté (</w:t>
      </w:r>
      <w:r>
        <w:rPr>
          <w:b/>
        </w:rPr>
        <w:t>paragraphe 5</w:t>
      </w:r>
      <w:r>
        <w:t>), et attend de la Commission qu’elle tienne son engagement de présenter une proposition visant à garantir que les produits chimiques dangereux interdits dans l’Union ne sont pas produits à des fins d’exportation (</w:t>
      </w:r>
      <w:r>
        <w:rPr>
          <w:b/>
        </w:rPr>
        <w:t>paragraphe 6</w:t>
      </w:r>
      <w:r>
        <w:t>), compte tenu de la classification du glufosinate comme toxique pour la reproduction 1B (</w:t>
      </w:r>
      <w:r>
        <w:rPr>
          <w:b/>
        </w:rPr>
        <w:t>considérant F</w:t>
      </w:r>
      <w:r>
        <w:t>).</w:t>
      </w:r>
    </w:p>
    <w:p w14:paraId="6DC272CE" w14:textId="6545BA07" w:rsidR="005965B8" w:rsidRPr="00F236B8" w:rsidRDefault="006C39A0" w:rsidP="00BE1051">
      <w:pPr>
        <w:spacing w:after="120" w:line="240" w:lineRule="auto"/>
      </w:pPr>
      <w:r>
        <w:lastRenderedPageBreak/>
        <w:t>Dans sa résolution, le Parlement se félicite que la Commission reconnaisse que les décisions d’autorisation relatives aux organismes génétiquement modifiés (OGM) doivent tenir compte de la durabilité et se déclare déçu que la Commission continue d’autoriser l’importation d’OGM malgré les objections exprimées à de multiples reprises par le Parlement et le vote contre de la majorité des États membres (</w:t>
      </w:r>
      <w:r>
        <w:rPr>
          <w:b/>
        </w:rPr>
        <w:t>paragraphe 7</w:t>
      </w:r>
      <w:r>
        <w:t>).</w:t>
      </w:r>
    </w:p>
    <w:p w14:paraId="0831C765" w14:textId="64A2DC91" w:rsidR="00C35B99" w:rsidRPr="00F236B8" w:rsidRDefault="00C35B99" w:rsidP="00BE1051">
      <w:pPr>
        <w:spacing w:after="120" w:line="240" w:lineRule="auto"/>
      </w:pPr>
      <w:r>
        <w:t>Le Parlement rappelle les observations critiques formulées par les États membres au cours de la consultation de trois mois concernant l’absence d’évaluation des résidus de dicamba et de son métabolite lors de l’évaluation des risques liés au maïs génétiquement modifié MON 87419 (</w:t>
      </w:r>
      <w:r>
        <w:rPr>
          <w:b/>
        </w:rPr>
        <w:t>considérant N</w:t>
      </w:r>
      <w:r>
        <w:t>).</w:t>
      </w:r>
    </w:p>
    <w:p w14:paraId="2B3EC756" w14:textId="554DAFEE" w:rsidR="00C35B99" w:rsidRPr="00F236B8" w:rsidRDefault="00C35B99" w:rsidP="00BE1051">
      <w:pPr>
        <w:spacing w:after="120" w:line="240" w:lineRule="auto"/>
      </w:pPr>
      <w:r>
        <w:t>Dans sa résolution, le Parlement demande instamment à la Commission de tenir compte des obligations qui incombent à l’Union en vertu d’accords internationaux, tels que l’accord de Paris sur le climat, la convention des Nations unies sur la diversité biologique et les objectifs de développement durable des Nations unies (</w:t>
      </w:r>
      <w:r>
        <w:rPr>
          <w:b/>
        </w:rPr>
        <w:t xml:space="preserve">paragraphe 8 </w:t>
      </w:r>
      <w:r>
        <w:t xml:space="preserve">et </w:t>
      </w:r>
      <w:r>
        <w:rPr>
          <w:b/>
        </w:rPr>
        <w:t>considérants M</w:t>
      </w:r>
      <w:r>
        <w:t xml:space="preserve"> à </w:t>
      </w:r>
      <w:r>
        <w:rPr>
          <w:b/>
        </w:rPr>
        <w:t>O</w:t>
      </w:r>
      <w:r>
        <w:t>).</w:t>
      </w:r>
    </w:p>
    <w:p w14:paraId="677FC1E8" w14:textId="1AFF3CE6" w:rsidR="00C35B99" w:rsidRPr="00F236B8" w:rsidRDefault="009A750B" w:rsidP="00BE1051">
      <w:pPr>
        <w:widowControl w:val="0"/>
        <w:spacing w:after="120" w:line="240" w:lineRule="auto"/>
      </w:pPr>
      <w:r>
        <w:t>Le Parlement rappelle que le fait que les décisions d’autorisation continuent d’être adoptées par la Commission sans qu’une majorité qualifiée des États membres y soit favorable est devenu la norme pour les décisions concernant les autorisations de denrées alimentaires génétiquement modifiées et d’aliments génétiquement modifiés pour animaux (</w:t>
      </w:r>
      <w:r>
        <w:rPr>
          <w:b/>
        </w:rPr>
        <w:t>considérant R</w:t>
      </w:r>
      <w:r>
        <w:t>). En outre, il rappelle les nombreuses résolutions s’opposant à l’autorisation d’OGM que le Parlement européen a adoptées au cours de ses huitième et neuvième législatures (</w:t>
      </w:r>
      <w:r>
        <w:rPr>
          <w:b/>
        </w:rPr>
        <w:t>considérant Q</w:t>
      </w:r>
      <w:r>
        <w:t>) et déclare qu’il n’est pas nécessaire de modifier la législation pour que la Commission puisse refuser d’autoriser des OGM en l’absence d’une majorité qualifiée d’États membres favorables au sein du comité d’appel (</w:t>
      </w:r>
      <w:r>
        <w:rPr>
          <w:b/>
        </w:rPr>
        <w:t>considérant S</w:t>
      </w:r>
      <w:r>
        <w:t>).</w:t>
      </w:r>
    </w:p>
    <w:p w14:paraId="6D2448D6" w14:textId="4D9CC5A1" w:rsidR="003720DA" w:rsidRPr="00F236B8" w:rsidRDefault="003720DA" w:rsidP="00BE1051">
      <w:pPr>
        <w:widowControl w:val="0"/>
        <w:spacing w:after="240"/>
        <w:ind w:left="720" w:hanging="720"/>
        <w:rPr>
          <w:b/>
          <w:bCs/>
        </w:rPr>
      </w:pPr>
      <w:r>
        <w:rPr>
          <w:b/>
        </w:rPr>
        <w:t>6.</w:t>
      </w:r>
      <w:r>
        <w:tab/>
      </w:r>
      <w:r>
        <w:rPr>
          <w:b/>
        </w:rPr>
        <w:t>Réponse à ces demandes et aperçu des mesures que la Commission a prises ou envisage de prendre:</w:t>
      </w:r>
    </w:p>
    <w:p w14:paraId="031C7FCC" w14:textId="3EE97732" w:rsidR="003720DA" w:rsidRPr="00F236B8" w:rsidRDefault="003720DA" w:rsidP="00B73015">
      <w:pPr>
        <w:widowControl w:val="0"/>
        <w:spacing w:after="120" w:line="240" w:lineRule="auto"/>
      </w:pPr>
      <w:r>
        <w:t>La Commission tient à rappeler que le projet de décision d’exécution concerne l’autorisation de mise sur le marché de produits contenant du maïs génétiquement modifié MON 87419, consistant en ce maïs ou produits à partir de celui-ci, mais non la culture de ce maïs.</w:t>
      </w:r>
    </w:p>
    <w:p w14:paraId="64A89CBE" w14:textId="073C763B" w:rsidR="003720DA" w:rsidRPr="00F236B8" w:rsidRDefault="003720DA" w:rsidP="00B73015">
      <w:pPr>
        <w:spacing w:after="120" w:line="240" w:lineRule="auto"/>
      </w:pPr>
      <w:r>
        <w:t xml:space="preserve">En ce qui concerne les </w:t>
      </w:r>
      <w:r>
        <w:rPr>
          <w:b/>
        </w:rPr>
        <w:t>paragraphes 1</w:t>
      </w:r>
      <w:r>
        <w:t xml:space="preserve"> à </w:t>
      </w:r>
      <w:r>
        <w:rPr>
          <w:b/>
        </w:rPr>
        <w:t>3</w:t>
      </w:r>
      <w:r>
        <w:t xml:space="preserve"> de la résolution, la Commission tient à souligner que l’élaboration du projet de décision est conforme à la procédure décrite dans le règlement (CE) nº 1829/2003 concernant les denrées alimentaires et les aliments pour animaux génétiquement modifiés et dans le règlement (UE) nº 182/2011 relatif au contrôle des compétences d’exécution de la Commission et a suivi lesdites étapes de la procédure, comme illustré ci-dessous:</w:t>
      </w:r>
    </w:p>
    <w:p w14:paraId="6310CC59" w14:textId="21625006" w:rsidR="008B1502" w:rsidRPr="00F236B8" w:rsidRDefault="00682284" w:rsidP="00B73015">
      <w:pPr>
        <w:pStyle w:val="ListParagraph"/>
        <w:numPr>
          <w:ilvl w:val="0"/>
          <w:numId w:val="3"/>
        </w:numPr>
        <w:spacing w:after="120" w:line="240" w:lineRule="auto"/>
      </w:pPr>
      <w:r>
        <w:t>le 31 mars 2017, Monsanto Company a présenté à l’autorité nationale compétente des Pays-Bas, conformément aux articles 5 et 17 du règlement (CE) nº 1829/2003, une demande d’autorisation de mise sur le marché du maïs génétiquement modifié MON 87419 destiné à l’alimentation humaine/animale et à d’autres utilisations, à l’exception de la culture;</w:t>
      </w:r>
    </w:p>
    <w:p w14:paraId="031AA533" w14:textId="4E7A9DBE" w:rsidR="003720DA" w:rsidRPr="00F236B8" w:rsidRDefault="00682284" w:rsidP="00B73015">
      <w:pPr>
        <w:pStyle w:val="ListParagraph"/>
        <w:numPr>
          <w:ilvl w:val="0"/>
          <w:numId w:val="3"/>
        </w:numPr>
        <w:spacing w:after="120" w:line="240" w:lineRule="auto"/>
      </w:pPr>
      <w:r>
        <w:t>le 20 janvier 2023, l’EFSA a rendu un avis scientifique favorable, dont la conclusion était que le maïs génétiquement modifié MON 87419 décrit dans la demande est aussi sûr que le produit conventionnel de référence et que les variétés de référence de maïs non génétiquement modifié testées en ce qui concerne ses effets potentiels sur la santé humaine et animale et sur l’environnement;</w:t>
      </w:r>
    </w:p>
    <w:p w14:paraId="58A5C9E9" w14:textId="6CCB2255" w:rsidR="003720DA" w:rsidRPr="00F236B8" w:rsidRDefault="00682284" w:rsidP="00B73015">
      <w:pPr>
        <w:pStyle w:val="ListParagraph"/>
        <w:numPr>
          <w:ilvl w:val="0"/>
          <w:numId w:val="3"/>
        </w:numPr>
        <w:spacing w:after="120" w:line="240" w:lineRule="auto"/>
        <w:ind w:left="714" w:hanging="357"/>
      </w:pPr>
      <w:r>
        <w:t xml:space="preserve">dans son avis scientifique, l’EFSA a pris en considération l’ensemble des questions et préoccupations formulées par les États membres lors de la consultation des autorités </w:t>
      </w:r>
      <w:r>
        <w:lastRenderedPageBreak/>
        <w:t>nationales compétentes, conformément à l’article 6, paragraphe 4, et à l’article 18, paragraphe 4, du règlement (CE) nº 1829/2003;</w:t>
      </w:r>
    </w:p>
    <w:p w14:paraId="2F633168" w14:textId="332606BC" w:rsidR="003720DA" w:rsidRPr="00F236B8" w:rsidRDefault="00682284" w:rsidP="00B73015">
      <w:pPr>
        <w:pStyle w:val="ListParagraph"/>
        <w:numPr>
          <w:ilvl w:val="0"/>
          <w:numId w:val="3"/>
        </w:numPr>
        <w:spacing w:after="120" w:line="240" w:lineRule="auto"/>
        <w:ind w:left="714" w:hanging="357"/>
      </w:pPr>
      <w:r>
        <w:t>le public a transmis ses commentaires sur l’avis de l’EFSA et l’ensemble des commentaires scientifiques reçus ont été examinés de près par l’EFSA</w:t>
      </w:r>
      <w:r>
        <w:rPr>
          <w:rStyle w:val="FootnoteReference"/>
          <w:lang w:val="en-IE"/>
        </w:rPr>
        <w:footnoteReference w:id="2"/>
      </w:r>
      <w:r>
        <w:t>;</w:t>
      </w:r>
    </w:p>
    <w:p w14:paraId="0960D9FB" w14:textId="6AFBFFC3" w:rsidR="003720DA" w:rsidRPr="00F236B8" w:rsidRDefault="00682284" w:rsidP="00B73015">
      <w:pPr>
        <w:pStyle w:val="ListParagraph"/>
        <w:numPr>
          <w:ilvl w:val="0"/>
          <w:numId w:val="3"/>
        </w:numPr>
        <w:spacing w:after="120" w:line="240" w:lineRule="auto"/>
        <w:ind w:left="714" w:hanging="357"/>
      </w:pPr>
      <w:r>
        <w:t>le projet de décision a fait l’objet d’un vote au sein du comité permanent le 1</w:t>
      </w:r>
      <w:r>
        <w:rPr>
          <w:vertAlign w:val="superscript"/>
        </w:rPr>
        <w:t>er</w:t>
      </w:r>
      <w:r>
        <w:t> juin 2023 et aucune majorité qualifiée favorable ou défavorable n’a été dégagée;</w:t>
      </w:r>
    </w:p>
    <w:p w14:paraId="756C08FE" w14:textId="718F571A" w:rsidR="003720DA" w:rsidRPr="00F236B8" w:rsidRDefault="00682284" w:rsidP="00B73015">
      <w:pPr>
        <w:pStyle w:val="ListParagraph"/>
        <w:numPr>
          <w:ilvl w:val="0"/>
          <w:numId w:val="3"/>
        </w:numPr>
        <w:spacing w:after="120" w:line="240" w:lineRule="auto"/>
        <w:ind w:left="714" w:hanging="357"/>
      </w:pPr>
      <w:r>
        <w:t>conformément aux règles établies dans le règlement (UE) nº 182/2011 relatif à la comitologie, la Commission a soumis le projet de décision au comité d’appel le 6 juillet 2023. Là non plus, aucune majorité qualifiée n’a été réunie en faveur ou contre la décision;</w:t>
      </w:r>
    </w:p>
    <w:p w14:paraId="230D8705" w14:textId="310690CF" w:rsidR="00F04AD7" w:rsidRPr="00F236B8" w:rsidRDefault="009E4894" w:rsidP="00B73015">
      <w:pPr>
        <w:pStyle w:val="ListParagraph"/>
        <w:numPr>
          <w:ilvl w:val="0"/>
          <w:numId w:val="3"/>
        </w:numPr>
        <w:spacing w:after="120" w:line="240" w:lineRule="auto"/>
        <w:ind w:left="714" w:hanging="357"/>
      </w:pPr>
      <w:r>
        <w:t>conformément aux règles énoncées dans le règlement (CE) nº 182/2011 relatif au contrôle des compétences d’exécution de la Commission, il appartient à la Commission de se prononcer sur l’adoption du projet de décision.</w:t>
      </w:r>
    </w:p>
    <w:p w14:paraId="139C2B83" w14:textId="66C4B789" w:rsidR="008E34E4" w:rsidRPr="00F236B8" w:rsidRDefault="008E34E4" w:rsidP="00B73015">
      <w:pPr>
        <w:spacing w:after="120" w:line="240" w:lineRule="auto"/>
      </w:pPr>
      <w:r>
        <w:t>La Commission considère donc qu’en maintenant le processus d’adoption d’une décision qui est pleinement conforme à la procédure fixée par les colégislateurs dans la législation sur les OGM, elle n’excède pas ses compétences d’exécution. Partant, il n’y a aucune raison de ne pas adopter la décision d’autorisation du maïs génétiquement modifié MON 87419.</w:t>
      </w:r>
    </w:p>
    <w:p w14:paraId="184F3A1B" w14:textId="0581E68A" w:rsidR="008E34E4" w:rsidRPr="00F236B8" w:rsidRDefault="008E34E4" w:rsidP="00B73015">
      <w:pPr>
        <w:spacing w:after="120" w:line="240" w:lineRule="auto"/>
      </w:pPr>
      <w:r>
        <w:t xml:space="preserve">Pour ce qui est des </w:t>
      </w:r>
      <w:r>
        <w:rPr>
          <w:b/>
        </w:rPr>
        <w:t>autres dispositions de la résolution</w:t>
      </w:r>
      <w:r>
        <w:t>, la Commission considère qu’elles ne relèvent pas du droit de regard, qui se limite à la question de savoir si l’acte d’exécution excède les compétences d’exécution prévues par l’acte de base. La Commission n’est pas tenue de justifier l’acte d’exécution en ce qui concerne ces points. Néanmoins, elle a examiné avec attention la position exprimée par le Parlement et souhaite formuler les observations qui suivent.</w:t>
      </w:r>
    </w:p>
    <w:p w14:paraId="624B3158" w14:textId="66761B63" w:rsidR="0033649E" w:rsidRPr="00F236B8" w:rsidRDefault="0033649E" w:rsidP="00B73015">
      <w:pPr>
        <w:spacing w:after="120" w:line="240" w:lineRule="auto"/>
      </w:pPr>
      <w:r>
        <w:t>En ce qui concerne les préoccupations relatives aux produits phytopharmaceutiques (</w:t>
      </w:r>
      <w:r>
        <w:rPr>
          <w:b/>
        </w:rPr>
        <w:t>considérants D</w:t>
      </w:r>
      <w:r>
        <w:t xml:space="preserve"> à </w:t>
      </w:r>
      <w:r>
        <w:rPr>
          <w:b/>
        </w:rPr>
        <w:t>L</w:t>
      </w:r>
      <w:r>
        <w:t>), la Commission tient à souligner que l’évaluation des risques menée dans le cadre d’une demande d’autorisation, à des fins d’alimentation humaine et animale, de cultures génétiquement modifiées tolérantes aux herbicides est centrée sur l’incidence potentielle de la modification génétique sur la santé des hommes et des animaux et sur l’environnement. L’évaluation des risques pour l’environnement des substances actives et des produits phytopharmaceutiques est effectuée conformément au règlement (CE) nº 1107/2009 concernant la mise sur le marché des produits phytopharmaceutiques. L’autorisation des OGM n’est pas liée à l’autorisation des herbicides. L’autorisation des herbicides et les limites maximales applicables à leurs résidus, qui sont respectivement régies par les règlements (CE) nº 1107/2009 et (CE) nº 369/2005, s’appliquent à l’ensemble des utilisations de produits en question, qu’ils soient génétiquement modifiés ou non.</w:t>
      </w:r>
    </w:p>
    <w:p w14:paraId="79B0EDE3" w14:textId="40EA0205" w:rsidR="0033649E" w:rsidRPr="00F236B8" w:rsidRDefault="00036E46" w:rsidP="00B73015">
      <w:pPr>
        <w:spacing w:after="120" w:line="240" w:lineRule="auto"/>
      </w:pPr>
      <w:r>
        <w:t xml:space="preserve">En ce qui concerne le </w:t>
      </w:r>
      <w:r>
        <w:rPr>
          <w:b/>
        </w:rPr>
        <w:t>paragraphe 4</w:t>
      </w:r>
      <w:r>
        <w:t xml:space="preserve">, comme annoncé dans la stratégie «De la ferme à la table», l’Union européenne coopérera activement avec ses partenaires commerciaux, notamment les pays en développement, pour accompagner la transition vers une utilisation plus durable des </w:t>
      </w:r>
      <w:r>
        <w:rPr>
          <w:rStyle w:val="highlight"/>
        </w:rPr>
        <w:t>pesticides</w:t>
      </w:r>
      <w:r>
        <w:t xml:space="preserve"> afin d’éviter les perturbations des échanges commerciaux et de promouvoir d’autres produits et méthodes de protection des végétaux.</w:t>
      </w:r>
    </w:p>
    <w:p w14:paraId="0C33678B" w14:textId="632F11DC" w:rsidR="00E806F4" w:rsidRPr="00F236B8" w:rsidRDefault="00FA51B6" w:rsidP="00B73015">
      <w:pPr>
        <w:spacing w:after="120" w:line="240" w:lineRule="auto"/>
      </w:pPr>
      <w:r>
        <w:t xml:space="preserve">En outre, en ce qui concerne les préoccupations exprimées aux </w:t>
      </w:r>
      <w:r>
        <w:rPr>
          <w:b/>
        </w:rPr>
        <w:t>considérants M</w:t>
      </w:r>
      <w:r>
        <w:t xml:space="preserve"> à </w:t>
      </w:r>
      <w:r>
        <w:rPr>
          <w:b/>
        </w:rPr>
        <w:t>O</w:t>
      </w:r>
      <w:r>
        <w:t xml:space="preserve">, ainsi qu’aux </w:t>
      </w:r>
      <w:r>
        <w:rPr>
          <w:b/>
        </w:rPr>
        <w:t xml:space="preserve">paragraphes 7 </w:t>
      </w:r>
      <w:r>
        <w:t xml:space="preserve">et </w:t>
      </w:r>
      <w:r>
        <w:rPr>
          <w:b/>
        </w:rPr>
        <w:t>8</w:t>
      </w:r>
      <w:r>
        <w:t xml:space="preserve">, des travaux préparatoires sont en cours sur une proposition de cadre législatif pour des systèmes alimentaires durables qui vise à garantir que toutes les denrées alimentaires mises sur le marché de l’UE deviennent de plus en plus durables conformément à la stratégie «De la ferme à la table». La Commission est fermement résolue à </w:t>
      </w:r>
      <w:r>
        <w:lastRenderedPageBreak/>
        <w:t xml:space="preserve">respecter les engagements internationaux de l’UE dans le domaine de l’environnement et s’est engagée, dans sa stratégie pour la durabilité dans le domaine des produits chimiques d’octobre 2020, à œuvrer à ce que les produits chimiques dangereux interdits dans l’UE ne soient pas produits à des fins d’exportation. Elle travaille actuellement à l’analyse d’impact et prévoit de la finaliser en 2024. </w:t>
      </w:r>
    </w:p>
    <w:p w14:paraId="7A9F6E11" w14:textId="0D524D86" w:rsidR="00D5380A" w:rsidRPr="008E34E4" w:rsidRDefault="00FA51B6" w:rsidP="00B73015">
      <w:pPr>
        <w:spacing w:after="120" w:line="240" w:lineRule="auto"/>
      </w:pPr>
      <w:r>
        <w:t>Enfin, en ce qui concerne les arguments relatifs au processus décisionnel et au manque de soutien des États membres en faveur d’une autorisation concernant l’utilisation d’OGM dans les denrées alimentaires ou les aliments pour animaux (</w:t>
      </w:r>
      <w:r>
        <w:rPr>
          <w:b/>
        </w:rPr>
        <w:t>considérants P</w:t>
      </w:r>
      <w:r>
        <w:t xml:space="preserve"> à </w:t>
      </w:r>
      <w:r>
        <w:rPr>
          <w:b/>
        </w:rPr>
        <w:t>S</w:t>
      </w:r>
      <w:r>
        <w:t>), la Commission a présenté au Conseil et au Parlement, le 14 février 2017, une proposition visant à modifier le règlement (UE) nº 182/2011, modifiant les règles de vote au sein du comité d’appel. Si elle est adoptée par les colégislateurs, elle renforcerait la transparence et la responsabilité dans le processus décisionnel relatif aux OGM. Dans l’intervalle, la Commission continue d’appliquer les procédures prévues dans le règlement (UE) nº 182/2011 relatif au contrôle des compétences d’exécution de la Commission et dans le règlement (CE) nº 1829/2003 concernant les denrées alimentaires et les aliments pour animaux génétiquement modifiés.</w:t>
      </w:r>
    </w:p>
    <w:sectPr w:rsidR="00D5380A" w:rsidRPr="008E34E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D946" w14:textId="77777777" w:rsidR="00072F3F" w:rsidRDefault="00072F3F" w:rsidP="008E34E4">
      <w:pPr>
        <w:spacing w:after="0" w:line="240" w:lineRule="auto"/>
      </w:pPr>
      <w:r>
        <w:separator/>
      </w:r>
    </w:p>
  </w:endnote>
  <w:endnote w:type="continuationSeparator" w:id="0">
    <w:p w14:paraId="782E43C6" w14:textId="77777777" w:rsidR="00072F3F" w:rsidRDefault="00072F3F" w:rsidP="008E34E4">
      <w:pPr>
        <w:spacing w:after="0" w:line="240" w:lineRule="auto"/>
      </w:pPr>
      <w:r>
        <w:continuationSeparator/>
      </w:r>
    </w:p>
  </w:endnote>
  <w:endnote w:type="continuationNotice" w:id="1">
    <w:p w14:paraId="4E90D05C" w14:textId="77777777" w:rsidR="00072F3F" w:rsidRDefault="00072F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35495"/>
      <w:docPartObj>
        <w:docPartGallery w:val="Page Numbers (Bottom of Page)"/>
        <w:docPartUnique/>
      </w:docPartObj>
    </w:sdtPr>
    <w:sdtEndPr>
      <w:rPr>
        <w:noProof/>
      </w:rPr>
    </w:sdtEndPr>
    <w:sdtContent>
      <w:p w14:paraId="6243D6FE" w14:textId="2993BBD8" w:rsidR="006070C7" w:rsidRDefault="006070C7">
        <w:pPr>
          <w:pStyle w:val="Footer"/>
          <w:jc w:val="center"/>
        </w:pPr>
        <w:r>
          <w:fldChar w:fldCharType="begin"/>
        </w:r>
        <w:r>
          <w:instrText xml:space="preserve"> PAGE   \* MERGEFORMAT </w:instrText>
        </w:r>
        <w:r>
          <w:fldChar w:fldCharType="separate"/>
        </w:r>
        <w:r>
          <w:t>1</w:t>
        </w:r>
        <w:r>
          <w:fldChar w:fldCharType="end"/>
        </w:r>
      </w:p>
    </w:sdtContent>
  </w:sdt>
  <w:p w14:paraId="248B2AE1" w14:textId="77777777" w:rsidR="006070C7" w:rsidRDefault="0060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A9DDB" w14:textId="77777777" w:rsidR="00072F3F" w:rsidRDefault="00072F3F" w:rsidP="008E34E4">
      <w:pPr>
        <w:spacing w:after="0" w:line="240" w:lineRule="auto"/>
      </w:pPr>
      <w:r>
        <w:separator/>
      </w:r>
    </w:p>
  </w:footnote>
  <w:footnote w:type="continuationSeparator" w:id="0">
    <w:p w14:paraId="0D492DEB" w14:textId="77777777" w:rsidR="00072F3F" w:rsidRDefault="00072F3F" w:rsidP="008E34E4">
      <w:pPr>
        <w:spacing w:after="0" w:line="240" w:lineRule="auto"/>
      </w:pPr>
      <w:r>
        <w:continuationSeparator/>
      </w:r>
    </w:p>
  </w:footnote>
  <w:footnote w:type="continuationNotice" w:id="1">
    <w:p w14:paraId="20212BF4" w14:textId="77777777" w:rsidR="00072F3F" w:rsidRDefault="00072F3F">
      <w:pPr>
        <w:spacing w:after="0" w:line="240" w:lineRule="auto"/>
      </w:pPr>
    </w:p>
  </w:footnote>
  <w:footnote w:id="2">
    <w:p w14:paraId="4ABE3920" w14:textId="69FC2E6F" w:rsidR="00D5380A" w:rsidRDefault="00D5380A" w:rsidP="00BE1051">
      <w:pPr>
        <w:pStyle w:val="FootnoteText"/>
        <w:ind w:left="357" w:hanging="357"/>
      </w:pPr>
      <w:r>
        <w:rPr>
          <w:rStyle w:val="FootnoteReference"/>
        </w:rPr>
        <w:footnoteRef/>
      </w:r>
      <w:r>
        <w:t xml:space="preserve"> </w:t>
      </w:r>
      <w:r>
        <w:tab/>
      </w:r>
      <w:hyperlink r:id="rId1" w:history="1">
        <w:r>
          <w:rPr>
            <w:rStyle w:val="Hyperlink"/>
          </w:rPr>
          <w:t>http://ec.europa.eu/food/plant/gmo/public_consultations/index_fr.htm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0A26" w14:textId="77777777" w:rsidR="00D52EFD" w:rsidRDefault="00D52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59A2"/>
    <w:multiLevelType w:val="hybridMultilevel"/>
    <w:tmpl w:val="B2FE34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7B635A3"/>
    <w:multiLevelType w:val="hybridMultilevel"/>
    <w:tmpl w:val="A3986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BE94A28"/>
    <w:multiLevelType w:val="hybridMultilevel"/>
    <w:tmpl w:val="45FAD3CC"/>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65347284">
    <w:abstractNumId w:val="1"/>
  </w:num>
  <w:num w:numId="2" w16cid:durableId="1861773090">
    <w:abstractNumId w:val="0"/>
  </w:num>
  <w:num w:numId="3" w16cid:durableId="583492110">
    <w:abstractNumId w:val="3"/>
  </w:num>
  <w:num w:numId="4" w16cid:durableId="1125856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720DA"/>
    <w:rsid w:val="00020CFA"/>
    <w:rsid w:val="00020FBF"/>
    <w:rsid w:val="000248AB"/>
    <w:rsid w:val="000355F8"/>
    <w:rsid w:val="00036E46"/>
    <w:rsid w:val="00063910"/>
    <w:rsid w:val="00072F3F"/>
    <w:rsid w:val="000A3EA7"/>
    <w:rsid w:val="000A4A63"/>
    <w:rsid w:val="000B33C1"/>
    <w:rsid w:val="000E3AFE"/>
    <w:rsid w:val="000F28CA"/>
    <w:rsid w:val="000F425F"/>
    <w:rsid w:val="001068B3"/>
    <w:rsid w:val="00116745"/>
    <w:rsid w:val="001C432F"/>
    <w:rsid w:val="00232A0A"/>
    <w:rsid w:val="00296281"/>
    <w:rsid w:val="002C1DCE"/>
    <w:rsid w:val="002D2C95"/>
    <w:rsid w:val="002F376A"/>
    <w:rsid w:val="00320F99"/>
    <w:rsid w:val="003333E8"/>
    <w:rsid w:val="0033649E"/>
    <w:rsid w:val="003720DA"/>
    <w:rsid w:val="00387A04"/>
    <w:rsid w:val="003A3BFD"/>
    <w:rsid w:val="003A5317"/>
    <w:rsid w:val="003B78F1"/>
    <w:rsid w:val="003E6582"/>
    <w:rsid w:val="0040151D"/>
    <w:rsid w:val="004022E0"/>
    <w:rsid w:val="0042411D"/>
    <w:rsid w:val="004476FA"/>
    <w:rsid w:val="00494CFF"/>
    <w:rsid w:val="004B5149"/>
    <w:rsid w:val="004C6076"/>
    <w:rsid w:val="004C7D0C"/>
    <w:rsid w:val="00542758"/>
    <w:rsid w:val="005863EF"/>
    <w:rsid w:val="005965B8"/>
    <w:rsid w:val="005A63A1"/>
    <w:rsid w:val="005F3C6F"/>
    <w:rsid w:val="006070C7"/>
    <w:rsid w:val="00622CDB"/>
    <w:rsid w:val="00626D09"/>
    <w:rsid w:val="00633DE9"/>
    <w:rsid w:val="00661F16"/>
    <w:rsid w:val="00682284"/>
    <w:rsid w:val="00693BFA"/>
    <w:rsid w:val="006A784D"/>
    <w:rsid w:val="006C39A0"/>
    <w:rsid w:val="006F4D35"/>
    <w:rsid w:val="00723502"/>
    <w:rsid w:val="00737D13"/>
    <w:rsid w:val="00787904"/>
    <w:rsid w:val="007D5773"/>
    <w:rsid w:val="007F5D08"/>
    <w:rsid w:val="00837DE8"/>
    <w:rsid w:val="00890B57"/>
    <w:rsid w:val="00895437"/>
    <w:rsid w:val="008A7B87"/>
    <w:rsid w:val="008B0C00"/>
    <w:rsid w:val="008B1502"/>
    <w:rsid w:val="008E0AF1"/>
    <w:rsid w:val="008E34E4"/>
    <w:rsid w:val="009230F9"/>
    <w:rsid w:val="00952693"/>
    <w:rsid w:val="00963BC6"/>
    <w:rsid w:val="009A224C"/>
    <w:rsid w:val="009A4F58"/>
    <w:rsid w:val="009A750B"/>
    <w:rsid w:val="009C4CC9"/>
    <w:rsid w:val="009D7965"/>
    <w:rsid w:val="009E4894"/>
    <w:rsid w:val="00A603B2"/>
    <w:rsid w:val="00AA5D02"/>
    <w:rsid w:val="00B35734"/>
    <w:rsid w:val="00B6755A"/>
    <w:rsid w:val="00B73015"/>
    <w:rsid w:val="00B8246B"/>
    <w:rsid w:val="00B8438E"/>
    <w:rsid w:val="00BA3A53"/>
    <w:rsid w:val="00BC5FA1"/>
    <w:rsid w:val="00BE1051"/>
    <w:rsid w:val="00C35B99"/>
    <w:rsid w:val="00C4692A"/>
    <w:rsid w:val="00C5552A"/>
    <w:rsid w:val="00C92103"/>
    <w:rsid w:val="00CE50D9"/>
    <w:rsid w:val="00D43EE6"/>
    <w:rsid w:val="00D52EFD"/>
    <w:rsid w:val="00D5380A"/>
    <w:rsid w:val="00D57D2B"/>
    <w:rsid w:val="00D85DEC"/>
    <w:rsid w:val="00E136ED"/>
    <w:rsid w:val="00E14590"/>
    <w:rsid w:val="00E30DA0"/>
    <w:rsid w:val="00E50A1A"/>
    <w:rsid w:val="00E562BB"/>
    <w:rsid w:val="00E806F4"/>
    <w:rsid w:val="00E846FA"/>
    <w:rsid w:val="00EE5FB2"/>
    <w:rsid w:val="00F04AD7"/>
    <w:rsid w:val="00F0600E"/>
    <w:rsid w:val="00F236B8"/>
    <w:rsid w:val="00F337BE"/>
    <w:rsid w:val="00F47B60"/>
    <w:rsid w:val="00F870D6"/>
    <w:rsid w:val="00F97CB7"/>
    <w:rsid w:val="00FA51B6"/>
    <w:rsid w:val="00FF5D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747DC"/>
  <w15:chartTrackingRefBased/>
  <w15:docId w15:val="{6F799846-4922-4CF7-9113-37972B83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DA"/>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0DA"/>
    <w:pPr>
      <w:ind w:left="720"/>
      <w:contextualSpacing/>
    </w:pPr>
  </w:style>
  <w:style w:type="character" w:customStyle="1" w:styleId="highlight">
    <w:name w:val="highlight"/>
    <w:rsid w:val="00D5380A"/>
  </w:style>
  <w:style w:type="paragraph" w:styleId="FootnoteText">
    <w:name w:val="footnote text"/>
    <w:basedOn w:val="Normal"/>
    <w:link w:val="FootnoteTextChar"/>
    <w:uiPriority w:val="99"/>
    <w:semiHidden/>
    <w:unhideWhenUsed/>
    <w:rsid w:val="00D538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80A"/>
    <w:rPr>
      <w:rFonts w:ascii="Times New Roman" w:hAnsi="Times New Roman" w:cs="Times New Roman"/>
      <w:sz w:val="20"/>
      <w:szCs w:val="20"/>
      <w:lang w:val="fr-FR"/>
    </w:rPr>
  </w:style>
  <w:style w:type="character" w:styleId="FootnoteReference">
    <w:name w:val="footnote reference"/>
    <w:basedOn w:val="DefaultParagraphFont"/>
    <w:uiPriority w:val="99"/>
    <w:semiHidden/>
    <w:unhideWhenUsed/>
    <w:rsid w:val="00D5380A"/>
    <w:rPr>
      <w:vertAlign w:val="superscript"/>
    </w:rPr>
  </w:style>
  <w:style w:type="character" w:styleId="Hyperlink">
    <w:name w:val="Hyperlink"/>
    <w:aliases w:val="Char1"/>
    <w:uiPriority w:val="99"/>
    <w:semiHidden/>
    <w:unhideWhenUsed/>
    <w:rsid w:val="00D5380A"/>
    <w:rPr>
      <w:color w:val="0000FF"/>
      <w:u w:val="single"/>
    </w:rPr>
  </w:style>
  <w:style w:type="character" w:styleId="CommentReference">
    <w:name w:val="annotation reference"/>
    <w:basedOn w:val="DefaultParagraphFont"/>
    <w:uiPriority w:val="99"/>
    <w:semiHidden/>
    <w:unhideWhenUsed/>
    <w:rsid w:val="0040151D"/>
    <w:rPr>
      <w:sz w:val="16"/>
      <w:szCs w:val="16"/>
    </w:rPr>
  </w:style>
  <w:style w:type="paragraph" w:styleId="CommentText">
    <w:name w:val="annotation text"/>
    <w:basedOn w:val="Normal"/>
    <w:link w:val="CommentTextChar"/>
    <w:uiPriority w:val="99"/>
    <w:unhideWhenUsed/>
    <w:rsid w:val="0040151D"/>
    <w:pPr>
      <w:spacing w:line="240" w:lineRule="auto"/>
    </w:pPr>
    <w:rPr>
      <w:sz w:val="20"/>
      <w:szCs w:val="20"/>
    </w:rPr>
  </w:style>
  <w:style w:type="character" w:customStyle="1" w:styleId="CommentTextChar">
    <w:name w:val="Comment Text Char"/>
    <w:basedOn w:val="DefaultParagraphFont"/>
    <w:link w:val="CommentText"/>
    <w:uiPriority w:val="99"/>
    <w:rsid w:val="0040151D"/>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40151D"/>
    <w:rPr>
      <w:b/>
      <w:bCs/>
    </w:rPr>
  </w:style>
  <w:style w:type="character" w:customStyle="1" w:styleId="CommentSubjectChar">
    <w:name w:val="Comment Subject Char"/>
    <w:basedOn w:val="CommentTextChar"/>
    <w:link w:val="CommentSubject"/>
    <w:uiPriority w:val="99"/>
    <w:semiHidden/>
    <w:rsid w:val="0040151D"/>
    <w:rPr>
      <w:rFonts w:ascii="Times New Roman" w:hAnsi="Times New Roman" w:cs="Times New Roman"/>
      <w:b/>
      <w:bCs/>
      <w:sz w:val="20"/>
      <w:szCs w:val="20"/>
      <w:lang w:val="fr-FR"/>
    </w:rPr>
  </w:style>
  <w:style w:type="paragraph" w:styleId="Revision">
    <w:name w:val="Revision"/>
    <w:hidden/>
    <w:uiPriority w:val="99"/>
    <w:semiHidden/>
    <w:rsid w:val="009A4F58"/>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A4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F58"/>
    <w:rPr>
      <w:rFonts w:ascii="Segoe UI" w:hAnsi="Segoe UI" w:cs="Segoe UI"/>
      <w:sz w:val="18"/>
      <w:szCs w:val="18"/>
      <w:lang w:val="fr-FR"/>
    </w:rPr>
  </w:style>
  <w:style w:type="paragraph" w:styleId="Header">
    <w:name w:val="header"/>
    <w:basedOn w:val="Normal"/>
    <w:link w:val="HeaderChar"/>
    <w:uiPriority w:val="99"/>
    <w:unhideWhenUsed/>
    <w:rsid w:val="00607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0C7"/>
    <w:rPr>
      <w:rFonts w:ascii="Times New Roman" w:hAnsi="Times New Roman" w:cs="Times New Roman"/>
      <w:sz w:val="24"/>
      <w:szCs w:val="24"/>
      <w:lang w:val="fr-FR"/>
    </w:rPr>
  </w:style>
  <w:style w:type="paragraph" w:styleId="Footer">
    <w:name w:val="footer"/>
    <w:basedOn w:val="Normal"/>
    <w:link w:val="FooterChar"/>
    <w:uiPriority w:val="99"/>
    <w:unhideWhenUsed/>
    <w:rsid w:val="00607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0C7"/>
    <w:rPr>
      <w:rFonts w:ascii="Times New Roman" w:hAnsi="Times New Roman" w:cs="Times New Roman"/>
      <w:sz w:val="24"/>
      <w:szCs w:val="24"/>
      <w:lang w:val="fr-FR"/>
    </w:rPr>
  </w:style>
  <w:style w:type="character" w:styleId="FollowedHyperlink">
    <w:name w:val="FollowedHyperlink"/>
    <w:basedOn w:val="DefaultParagraphFont"/>
    <w:uiPriority w:val="99"/>
    <w:semiHidden/>
    <w:unhideWhenUsed/>
    <w:rsid w:val="00116745"/>
    <w:rPr>
      <w:color w:val="954F72" w:themeColor="followedHyperlink"/>
      <w:u w:val="single"/>
    </w:rPr>
  </w:style>
  <w:style w:type="paragraph" w:styleId="NoSpacing">
    <w:name w:val="No Spacing"/>
    <w:basedOn w:val="Normal"/>
    <w:uiPriority w:val="1"/>
    <w:qFormat/>
    <w:rsid w:val="00542758"/>
    <w:pPr>
      <w:spacing w:line="252"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05992">
      <w:bodyDiv w:val="1"/>
      <w:marLeft w:val="0"/>
      <w:marRight w:val="0"/>
      <w:marTop w:val="0"/>
      <w:marBottom w:val="0"/>
      <w:divBdr>
        <w:top w:val="none" w:sz="0" w:space="0" w:color="auto"/>
        <w:left w:val="none" w:sz="0" w:space="0" w:color="auto"/>
        <w:bottom w:val="none" w:sz="0" w:space="0" w:color="auto"/>
        <w:right w:val="none" w:sz="0" w:space="0" w:color="auto"/>
      </w:divBdr>
    </w:div>
    <w:div w:id="1017275384">
      <w:bodyDiv w:val="1"/>
      <w:marLeft w:val="0"/>
      <w:marRight w:val="0"/>
      <w:marTop w:val="0"/>
      <w:marBottom w:val="0"/>
      <w:divBdr>
        <w:top w:val="none" w:sz="0" w:space="0" w:color="auto"/>
        <w:left w:val="none" w:sz="0" w:space="0" w:color="auto"/>
        <w:bottom w:val="none" w:sz="0" w:space="0" w:color="auto"/>
        <w:right w:val="none" w:sz="0" w:space="0" w:color="auto"/>
      </w:divBdr>
    </w:div>
    <w:div w:id="1850287263">
      <w:bodyDiv w:val="1"/>
      <w:marLeft w:val="0"/>
      <w:marRight w:val="0"/>
      <w:marTop w:val="0"/>
      <w:marBottom w:val="0"/>
      <w:divBdr>
        <w:top w:val="none" w:sz="0" w:space="0" w:color="auto"/>
        <w:left w:val="none" w:sz="0" w:space="0" w:color="auto"/>
        <w:bottom w:val="none" w:sz="0" w:space="0" w:color="auto"/>
        <w:right w:val="none" w:sz="0" w:space="0" w:color="auto"/>
      </w:divBdr>
    </w:div>
    <w:div w:id="19005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plant/gmo/public_consultations/index_f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054E1-CF51-4258-9CAA-B4786D54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1768</Words>
  <Characters>9937</Characters>
  <Application>Microsoft Office Word</Application>
  <DocSecurity>0</DocSecurity>
  <Lines>146</Lines>
  <Paragraphs>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MARGUERITTE Juliette-Marie (SANTE)</dc:creator>
  <cp:keywords/>
  <dc:description/>
  <cp:lastModifiedBy>DELBAER Gerda (SG)</cp:lastModifiedBy>
  <cp:revision>2</cp:revision>
  <dcterms:created xsi:type="dcterms:W3CDTF">2023-11-17T09:57:00Z</dcterms:created>
  <dcterms:modified xsi:type="dcterms:W3CDTF">2023-11-17T09:57:00Z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2022-12-19T16:34:27Z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55b3b0ed-f193-4539-8e75-d58abe361ef5</vt:lpwstr>
  </property>
  <property fmtid="{D5CDD505-2E9C-101B-9397-08002B2CF9AE}" pid="8" name="MSIP_Label_6bd9ddd1-4d20-43f6-abfa-fc3c07406f94_ContentBits">
    <vt:lpwstr>0</vt:lpwstr>
  </property>
</Properties>
</file>