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3EEFE" w14:textId="4FCD35F0" w:rsidR="00E151FC" w:rsidRPr="006B59B9" w:rsidRDefault="00E151FC" w:rsidP="00E151FC">
      <w:pPr>
        <w:spacing w:after="600"/>
        <w:jc w:val="center"/>
        <w:rPr>
          <w:rFonts w:ascii="Times New Roman" w:hAnsi="Times New Roman"/>
          <w:b/>
          <w:bCs/>
          <w:szCs w:val="24"/>
        </w:rPr>
      </w:pPr>
      <w:bookmarkStart w:id="0" w:name="Banking"/>
      <w:r>
        <w:rPr>
          <w:rFonts w:ascii="Times New Roman" w:hAnsi="Times New Roman"/>
          <w:b/>
        </w:rPr>
        <w:t xml:space="preserve">Suite donnée à la résolution non législative du Parlement européen «Des transports européens qui fonctionnent pour les femmes» </w:t>
      </w:r>
    </w:p>
    <w:bookmarkEnd w:id="0"/>
    <w:p w14:paraId="077457F3" w14:textId="2781B42D" w:rsidR="00E151FC" w:rsidRPr="009A2C22" w:rsidRDefault="00E151FC" w:rsidP="00E151FC">
      <w:pPr>
        <w:numPr>
          <w:ilvl w:val="0"/>
          <w:numId w:val="1"/>
        </w:numPr>
        <w:ind w:left="567" w:hanging="567"/>
        <w:jc w:val="left"/>
        <w:rPr>
          <w:rFonts w:ascii="Times New Roman" w:hAnsi="Times New Roman"/>
          <w:szCs w:val="24"/>
        </w:rPr>
      </w:pPr>
      <w:r>
        <w:rPr>
          <w:rFonts w:ascii="Times New Roman" w:hAnsi="Times New Roman"/>
          <w:b/>
        </w:rPr>
        <w:t xml:space="preserve">Rapporteure: </w:t>
      </w:r>
      <w:r>
        <w:rPr>
          <w:rFonts w:ascii="Times New Roman" w:hAnsi="Times New Roman"/>
        </w:rPr>
        <w:t>Elżbieta Katarzyna ŁUKACIJEWSKA (PPE/PL)</w:t>
      </w:r>
    </w:p>
    <w:p w14:paraId="155EB84E" w14:textId="2FB6D2C0" w:rsidR="00E151FC" w:rsidRPr="00FE5B6D" w:rsidRDefault="00E151FC" w:rsidP="00E151FC">
      <w:pPr>
        <w:numPr>
          <w:ilvl w:val="0"/>
          <w:numId w:val="1"/>
        </w:numPr>
        <w:ind w:left="567" w:hanging="567"/>
        <w:jc w:val="left"/>
        <w:rPr>
          <w:rFonts w:ascii="Times New Roman" w:hAnsi="Times New Roman"/>
          <w:szCs w:val="24"/>
        </w:rPr>
      </w:pPr>
      <w:r>
        <w:rPr>
          <w:rFonts w:ascii="Times New Roman" w:hAnsi="Times New Roman"/>
          <w:b/>
          <w:bCs/>
        </w:rPr>
        <w:t>Numéro de référence:</w:t>
      </w:r>
      <w:r>
        <w:rPr>
          <w:rFonts w:ascii="Times New Roman" w:hAnsi="Times New Roman"/>
        </w:rPr>
        <w:t xml:space="preserve"> 2022/2140 (INI) / A9-0239/2023 / P9_TA(2023)0339</w:t>
      </w:r>
    </w:p>
    <w:p w14:paraId="6DD1568F" w14:textId="77777777" w:rsidR="00E151FC" w:rsidRPr="00FE5B6D" w:rsidRDefault="00E151FC" w:rsidP="00E151FC">
      <w:pPr>
        <w:numPr>
          <w:ilvl w:val="0"/>
          <w:numId w:val="1"/>
        </w:numPr>
        <w:ind w:left="567" w:hanging="567"/>
        <w:jc w:val="left"/>
        <w:rPr>
          <w:rFonts w:ascii="Times New Roman" w:hAnsi="Times New Roman"/>
          <w:szCs w:val="24"/>
        </w:rPr>
      </w:pPr>
      <w:r>
        <w:rPr>
          <w:rFonts w:ascii="Times New Roman" w:hAnsi="Times New Roman"/>
          <w:b/>
        </w:rPr>
        <w:t xml:space="preserve">Date d’adoption de la résolution: </w:t>
      </w:r>
      <w:r>
        <w:rPr>
          <w:rFonts w:ascii="Times New Roman" w:hAnsi="Times New Roman"/>
        </w:rPr>
        <w:t>3 octobre 2023</w:t>
      </w:r>
    </w:p>
    <w:p w14:paraId="12F29E11" w14:textId="0D3DCB21" w:rsidR="00E151FC" w:rsidRPr="00617377" w:rsidRDefault="00E151FC" w:rsidP="00190350">
      <w:pPr>
        <w:numPr>
          <w:ilvl w:val="0"/>
          <w:numId w:val="1"/>
        </w:numPr>
        <w:ind w:left="567" w:hanging="567"/>
        <w:jc w:val="left"/>
        <w:rPr>
          <w:rFonts w:ascii="Times New Roman" w:hAnsi="Times New Roman"/>
          <w:b/>
          <w:szCs w:val="24"/>
        </w:rPr>
      </w:pPr>
      <w:r>
        <w:rPr>
          <w:rFonts w:ascii="Times New Roman" w:hAnsi="Times New Roman"/>
          <w:b/>
          <w:bCs/>
        </w:rPr>
        <w:t>Commission parlementaire compétente:</w:t>
      </w:r>
      <w:r>
        <w:rPr>
          <w:rFonts w:ascii="Times New Roman" w:hAnsi="Times New Roman"/>
        </w:rPr>
        <w:t xml:space="preserve"> commission des droits des femmes et de l’égalité des genres (FEMM)</w:t>
      </w:r>
    </w:p>
    <w:p w14:paraId="00A6BE3B" w14:textId="77777777" w:rsidR="00E151FC" w:rsidRDefault="00E151FC" w:rsidP="00E151FC">
      <w:pPr>
        <w:numPr>
          <w:ilvl w:val="0"/>
          <w:numId w:val="1"/>
        </w:numPr>
        <w:ind w:left="567" w:hanging="567"/>
        <w:jc w:val="left"/>
        <w:rPr>
          <w:rFonts w:ascii="Times New Roman" w:hAnsi="Times New Roman"/>
          <w:b/>
          <w:szCs w:val="24"/>
        </w:rPr>
      </w:pPr>
      <w:r>
        <w:rPr>
          <w:rFonts w:ascii="Times New Roman" w:hAnsi="Times New Roman"/>
          <w:b/>
        </w:rPr>
        <w:t>Analyse/évaluation succincte de la résolution et des demandes qu’elle contient:</w:t>
      </w:r>
    </w:p>
    <w:p w14:paraId="17DC9EEC" w14:textId="7D01C1C3" w:rsidR="00E151FC" w:rsidRPr="00617377" w:rsidRDefault="00E151FC" w:rsidP="00617377">
      <w:pPr>
        <w:spacing w:after="120"/>
        <w:rPr>
          <w:rFonts w:ascii="Times New Roman" w:hAnsi="Times New Roman"/>
          <w:bCs/>
          <w:szCs w:val="24"/>
        </w:rPr>
      </w:pPr>
      <w:r>
        <w:rPr>
          <w:rFonts w:ascii="Times New Roman" w:hAnsi="Times New Roman"/>
        </w:rPr>
        <w:t>La résolution vise à combler l’écart entre les hommes et les femmes dans le secteur des transports et à faire en sorte que le système de transport fonctionne pour les travailleuses ainsi que pour les utilisatrices. Dans l’ensemble, elle souligne la nécessité d’adopter des politiques et des pratiques tenant compte de la dimension de genre dans le secteur des transports.</w:t>
      </w:r>
    </w:p>
    <w:p w14:paraId="05C99423" w14:textId="79CC31A6" w:rsidR="00E151FC" w:rsidRPr="00617377" w:rsidRDefault="00E151FC" w:rsidP="00617377">
      <w:pPr>
        <w:spacing w:after="120"/>
        <w:rPr>
          <w:rFonts w:ascii="Times New Roman" w:hAnsi="Times New Roman"/>
          <w:bCs/>
          <w:szCs w:val="24"/>
        </w:rPr>
      </w:pPr>
      <w:r>
        <w:rPr>
          <w:rFonts w:ascii="Times New Roman" w:hAnsi="Times New Roman"/>
        </w:rPr>
        <w:t>La résolution met l’accent sur les points clés suivants:</w:t>
      </w:r>
    </w:p>
    <w:p w14:paraId="2144BDDF" w14:textId="77777777" w:rsidR="00E151FC" w:rsidRPr="00617377" w:rsidRDefault="00E151FC" w:rsidP="00617377">
      <w:pPr>
        <w:pStyle w:val="ListParagraph"/>
        <w:numPr>
          <w:ilvl w:val="0"/>
          <w:numId w:val="2"/>
        </w:numPr>
        <w:spacing w:after="120" w:line="240" w:lineRule="auto"/>
        <w:jc w:val="both"/>
        <w:rPr>
          <w:rFonts w:ascii="Times New Roman" w:hAnsi="Times New Roman"/>
          <w:bCs/>
          <w:sz w:val="24"/>
          <w:szCs w:val="24"/>
        </w:rPr>
      </w:pPr>
      <w:r>
        <w:rPr>
          <w:rFonts w:ascii="Times New Roman" w:hAnsi="Times New Roman"/>
          <w:sz w:val="24"/>
        </w:rPr>
        <w:t xml:space="preserve">Le secteur des transports de l’UE manque de diversité, le nombre moyen de femmes travaillant dans ce secteur s’élève toujours à environ 22 %, avec des variations selon les modes de transport (terrestre, aérien, maritime) et les États membres. </w:t>
      </w:r>
    </w:p>
    <w:p w14:paraId="6534EA37" w14:textId="2999AF02" w:rsidR="00E151FC" w:rsidRPr="00617377" w:rsidRDefault="00E151FC" w:rsidP="00617377">
      <w:pPr>
        <w:pStyle w:val="ListParagraph"/>
        <w:numPr>
          <w:ilvl w:val="0"/>
          <w:numId w:val="2"/>
        </w:numPr>
        <w:spacing w:after="120" w:line="240" w:lineRule="auto"/>
        <w:jc w:val="both"/>
        <w:rPr>
          <w:rFonts w:ascii="Times New Roman" w:hAnsi="Times New Roman"/>
          <w:bCs/>
          <w:sz w:val="24"/>
          <w:szCs w:val="24"/>
        </w:rPr>
      </w:pPr>
      <w:r>
        <w:rPr>
          <w:rFonts w:ascii="Times New Roman" w:hAnsi="Times New Roman"/>
          <w:sz w:val="24"/>
        </w:rPr>
        <w:t xml:space="preserve">Les femmes sont davantage exposées que les hommes au harcèlement et aux violences sexuelles dans les transports, ce qui peut être l’une des causes de leur faible représentation dans la main-d’œuvre de ce secteur et peut dissuader les femmes de faire usage des transports publics. </w:t>
      </w:r>
    </w:p>
    <w:p w14:paraId="3A0A2C24" w14:textId="77777777" w:rsidR="00E151FC" w:rsidRPr="00617377" w:rsidRDefault="00E151FC" w:rsidP="00617377">
      <w:pPr>
        <w:pStyle w:val="ListParagraph"/>
        <w:numPr>
          <w:ilvl w:val="0"/>
          <w:numId w:val="2"/>
        </w:numPr>
        <w:spacing w:after="120" w:line="240" w:lineRule="auto"/>
        <w:jc w:val="both"/>
        <w:rPr>
          <w:rFonts w:ascii="Times New Roman" w:hAnsi="Times New Roman"/>
          <w:bCs/>
          <w:sz w:val="24"/>
          <w:szCs w:val="24"/>
        </w:rPr>
      </w:pPr>
      <w:r>
        <w:rPr>
          <w:rFonts w:ascii="Times New Roman" w:hAnsi="Times New Roman"/>
          <w:sz w:val="24"/>
        </w:rPr>
        <w:t>Il existe un manque de données normalisées, ventilées par sexe et par genre, ainsi que d’analyses selon le genre. Afin de mieux comprendre et analyser ce qui est nécessaire pour garantir que les transports de l’UE fonctionnent pour les femmes, il est nécessaire de disposer de données ventilées par sexe et d’une analyse selon le genre dans les transports.</w:t>
      </w:r>
    </w:p>
    <w:p w14:paraId="334C2F4E" w14:textId="77777777" w:rsidR="00E151FC" w:rsidRPr="00617377" w:rsidRDefault="00E151FC" w:rsidP="00617377">
      <w:pPr>
        <w:pStyle w:val="ListParagraph"/>
        <w:numPr>
          <w:ilvl w:val="0"/>
          <w:numId w:val="2"/>
        </w:numPr>
        <w:spacing w:after="120" w:line="240" w:lineRule="auto"/>
        <w:jc w:val="both"/>
        <w:rPr>
          <w:rFonts w:ascii="Times New Roman" w:hAnsi="Times New Roman"/>
          <w:bCs/>
          <w:sz w:val="24"/>
          <w:szCs w:val="24"/>
        </w:rPr>
      </w:pPr>
      <w:r>
        <w:rPr>
          <w:rFonts w:ascii="Times New Roman" w:hAnsi="Times New Roman"/>
          <w:sz w:val="24"/>
        </w:rPr>
        <w:t>La législation en vigueur dans le domaine des transports doit intégrer pleinement les besoins des femmes en tant que travailleuses et usagères des transports, afin de tenir compte des schémas complexes de mobilité des femmes, notamment en ce qui concerne la sécurité.</w:t>
      </w:r>
    </w:p>
    <w:p w14:paraId="0CBF8F18" w14:textId="77777777" w:rsidR="00E151FC" w:rsidRPr="00617377" w:rsidRDefault="00E151FC" w:rsidP="00617377">
      <w:pPr>
        <w:pStyle w:val="ListParagraph"/>
        <w:numPr>
          <w:ilvl w:val="0"/>
          <w:numId w:val="2"/>
        </w:numPr>
        <w:spacing w:after="120" w:line="240" w:lineRule="auto"/>
        <w:jc w:val="both"/>
        <w:rPr>
          <w:rFonts w:ascii="Times New Roman" w:hAnsi="Times New Roman"/>
          <w:bCs/>
          <w:sz w:val="24"/>
          <w:szCs w:val="24"/>
        </w:rPr>
      </w:pPr>
      <w:r>
        <w:rPr>
          <w:rFonts w:ascii="Times New Roman" w:hAnsi="Times New Roman"/>
          <w:sz w:val="24"/>
        </w:rPr>
        <w:t>La résolution vise à faire du vélo un mode de transport à part entière et à faire en sorte que ses infrastructures deviennent également accessibles aux femmes dans toute leur diversité, y compris celles qui vivent dans les zones rurales.</w:t>
      </w:r>
    </w:p>
    <w:p w14:paraId="792E6AC2" w14:textId="1AA18F82" w:rsidR="00E151FC" w:rsidRPr="00617377" w:rsidRDefault="00E151FC" w:rsidP="00617377">
      <w:pPr>
        <w:spacing w:after="120"/>
        <w:rPr>
          <w:rFonts w:ascii="Times New Roman" w:hAnsi="Times New Roman"/>
          <w:bCs/>
          <w:szCs w:val="24"/>
        </w:rPr>
      </w:pPr>
      <w:r>
        <w:rPr>
          <w:rFonts w:ascii="Times New Roman" w:hAnsi="Times New Roman"/>
        </w:rPr>
        <w:t>La résolution formule plusieurs demandes visant à améliorer la sécurité, la disponibilité, l’accessibilité et le caractère abordable des services de transport ainsi que les possibilités d’emploi et les conditions de travail dans le secteur pour les femmes dans toute leur diversité.</w:t>
      </w:r>
    </w:p>
    <w:p w14:paraId="04C28F5D" w14:textId="77777777" w:rsidR="00E151FC" w:rsidRPr="00617377" w:rsidRDefault="00E151FC" w:rsidP="00617377">
      <w:pPr>
        <w:spacing w:after="120"/>
        <w:rPr>
          <w:rFonts w:ascii="Times New Roman" w:hAnsi="Times New Roman"/>
          <w:bCs/>
          <w:szCs w:val="24"/>
        </w:rPr>
      </w:pPr>
      <w:r>
        <w:rPr>
          <w:rFonts w:ascii="Times New Roman" w:hAnsi="Times New Roman"/>
        </w:rPr>
        <w:t>Les principales demandes sont les suivantes:</w:t>
      </w:r>
    </w:p>
    <w:p w14:paraId="37029211" w14:textId="77777777" w:rsidR="00E151FC" w:rsidRPr="00617377" w:rsidRDefault="00E151FC" w:rsidP="00617377">
      <w:pPr>
        <w:pStyle w:val="ListParagraph"/>
        <w:numPr>
          <w:ilvl w:val="0"/>
          <w:numId w:val="3"/>
        </w:numPr>
        <w:spacing w:after="120" w:line="240" w:lineRule="auto"/>
        <w:jc w:val="both"/>
        <w:rPr>
          <w:rFonts w:ascii="Times New Roman" w:hAnsi="Times New Roman"/>
          <w:bCs/>
          <w:sz w:val="24"/>
          <w:szCs w:val="24"/>
        </w:rPr>
      </w:pPr>
      <w:r>
        <w:rPr>
          <w:rFonts w:ascii="Times New Roman" w:hAnsi="Times New Roman"/>
          <w:sz w:val="24"/>
        </w:rPr>
        <w:t>Dans l’ensemble, la résolution vise à remédier aux inégalités entre les hommes et les femmes qui existent dans le secteur des transports et invite les États membres, les autorités régionales et locales ainsi que le secteur des transports à prendre des mesures concrètes pour améliorer la sécurité, la disponibilité, l’accessibilité et le caractère abordable des services et infrastructures de transport pour les femmes dans toute leur diversité.</w:t>
      </w:r>
    </w:p>
    <w:p w14:paraId="78AA6140" w14:textId="2F37D5A5" w:rsidR="00E151FC" w:rsidRPr="00617377" w:rsidRDefault="00E151FC" w:rsidP="00617377">
      <w:pPr>
        <w:pStyle w:val="ListParagraph"/>
        <w:numPr>
          <w:ilvl w:val="0"/>
          <w:numId w:val="3"/>
        </w:numPr>
        <w:spacing w:after="120" w:line="240" w:lineRule="auto"/>
        <w:jc w:val="both"/>
        <w:rPr>
          <w:rFonts w:ascii="Times New Roman" w:hAnsi="Times New Roman"/>
          <w:bCs/>
          <w:sz w:val="24"/>
          <w:szCs w:val="24"/>
        </w:rPr>
      </w:pPr>
      <w:r>
        <w:rPr>
          <w:rFonts w:ascii="Times New Roman" w:hAnsi="Times New Roman"/>
          <w:sz w:val="24"/>
        </w:rPr>
        <w:t xml:space="preserve">Des ressources adéquates sont nécessaires pour veiller à ce que les femmes soient représentées dans les processus décisionnels liés aux transports. Les États membres </w:t>
      </w:r>
      <w:r>
        <w:rPr>
          <w:rFonts w:ascii="Times New Roman" w:hAnsi="Times New Roman"/>
          <w:sz w:val="24"/>
        </w:rPr>
        <w:lastRenderedPageBreak/>
        <w:t>doivent veiller à ce que les instruments de financement de l’UE au titre du Fonds européen de développement régional (FEDER), de la facilité pour la reprise et la résilience (FRR), du Fonds social européen plus (FSE+), du Fonds social pour le climat et des fonds de cohésion soient utilisés pour des mesures respectant le principe de l’égalité entre les femmes et les hommes et continuent de promouvoir l’égalité entre les hommes et les femmes.</w:t>
      </w:r>
    </w:p>
    <w:p w14:paraId="3B61D49A" w14:textId="077C1EFA" w:rsidR="00E151FC" w:rsidRPr="00617377" w:rsidRDefault="00E151FC" w:rsidP="00617377">
      <w:pPr>
        <w:pStyle w:val="ListParagraph"/>
        <w:numPr>
          <w:ilvl w:val="0"/>
          <w:numId w:val="3"/>
        </w:numPr>
        <w:spacing w:after="120" w:line="240" w:lineRule="auto"/>
        <w:jc w:val="both"/>
        <w:rPr>
          <w:rFonts w:ascii="Times New Roman" w:hAnsi="Times New Roman"/>
          <w:bCs/>
          <w:sz w:val="24"/>
          <w:szCs w:val="24"/>
        </w:rPr>
      </w:pPr>
      <w:r>
        <w:rPr>
          <w:rFonts w:ascii="Times New Roman" w:hAnsi="Times New Roman"/>
          <w:sz w:val="24"/>
        </w:rPr>
        <w:t>Les États membres et l’industrie doivent veiller à ce que davantage de données soient collectées là où elles existent afin de mieux évaluer la situation des femmes dans les transports.</w:t>
      </w:r>
    </w:p>
    <w:p w14:paraId="3325F7A1" w14:textId="77777777" w:rsidR="00E151FC" w:rsidRPr="00617377" w:rsidRDefault="00E151FC" w:rsidP="00617377">
      <w:pPr>
        <w:pStyle w:val="ListParagraph"/>
        <w:numPr>
          <w:ilvl w:val="0"/>
          <w:numId w:val="3"/>
        </w:numPr>
        <w:spacing w:after="120" w:line="240" w:lineRule="auto"/>
        <w:jc w:val="both"/>
        <w:rPr>
          <w:rFonts w:ascii="Times New Roman" w:hAnsi="Times New Roman"/>
          <w:bCs/>
          <w:sz w:val="24"/>
          <w:szCs w:val="24"/>
        </w:rPr>
      </w:pPr>
      <w:r>
        <w:rPr>
          <w:rFonts w:ascii="Times New Roman" w:hAnsi="Times New Roman"/>
          <w:sz w:val="24"/>
        </w:rPr>
        <w:t>Les questions d’égalité entre les hommes et les femmes doivent être systématiquement prises en compte dans les nouvelles actions de l’UE et dans le secteur des transports afin d’attirer davantage de jeunes travailleurs et de femmes dans ce domaine d’activité.</w:t>
      </w:r>
    </w:p>
    <w:p w14:paraId="5299B39A" w14:textId="77777777" w:rsidR="00E151FC" w:rsidRPr="00FE5B6D" w:rsidRDefault="00E151FC" w:rsidP="003D5662">
      <w:pPr>
        <w:numPr>
          <w:ilvl w:val="0"/>
          <w:numId w:val="1"/>
        </w:numPr>
        <w:ind w:left="567" w:hanging="567"/>
        <w:rPr>
          <w:rFonts w:ascii="Times New Roman" w:hAnsi="Times New Roman"/>
          <w:szCs w:val="24"/>
        </w:rPr>
      </w:pPr>
      <w:r>
        <w:rPr>
          <w:rFonts w:ascii="Times New Roman" w:hAnsi="Times New Roman"/>
          <w:b/>
        </w:rPr>
        <w:t>Réponse à ces demandes et aperçu des mesures que la Commission a prises ou envisage de prendre:</w:t>
      </w:r>
    </w:p>
    <w:p w14:paraId="30BB6C58" w14:textId="3FBD21C1" w:rsidR="00E151FC" w:rsidRPr="00617377" w:rsidRDefault="00E151FC" w:rsidP="00617377">
      <w:pPr>
        <w:spacing w:after="120"/>
        <w:rPr>
          <w:rFonts w:ascii="Times New Roman" w:hAnsi="Times New Roman"/>
        </w:rPr>
      </w:pPr>
      <w:r>
        <w:rPr>
          <w:rFonts w:ascii="Times New Roman" w:hAnsi="Times New Roman"/>
        </w:rPr>
        <w:t>Parvenir à une Union de l’égalité étant un objectif clé pour l’UE et ses institutions, la Commission a pris des mesures fortes et coordonnées pour lutter contre les inégalités dans le cadre de sa stratégie en faveur de l’égalité entre les hommes et les femmes 2020-2025, qui revêtent également une importance capitale pour le secteur des transports, telles que l’adoption de la directive sur la présence des femmes dans les conseils d’administration, la mise en œuvre et le suivi de la directive sur le temps de travail afin de garantir un meilleur équilibre entre vie professionnelle et vie privée, la directive sur la transparence salariale afin de lutter contre la discrimination salariale et de combler l’écart de rémunération entre les femmes et les hommes dans l’UE, ainsi qu’une proposition de directive sur la lutte contre la violence à l’égard des femmes.</w:t>
      </w:r>
    </w:p>
    <w:p w14:paraId="03D88A89" w14:textId="77777777" w:rsidR="00E151FC" w:rsidRPr="00617377" w:rsidRDefault="00E151FC" w:rsidP="00617377">
      <w:pPr>
        <w:spacing w:after="120"/>
        <w:rPr>
          <w:rFonts w:ascii="Times New Roman" w:hAnsi="Times New Roman"/>
        </w:rPr>
      </w:pPr>
      <w:r>
        <w:rPr>
          <w:rFonts w:ascii="Times New Roman" w:hAnsi="Times New Roman"/>
        </w:rPr>
        <w:t xml:space="preserve">Dans sa stratégie de mobilité durable et intelligente, la Commission s’est engagée à faire en sorte que la mobilité soit abordable, accessible et équitable pour tous et à lancer des initiatives visant à accroître l’attractivité du secteur des transports, notamment pour les femmes. </w:t>
      </w:r>
    </w:p>
    <w:p w14:paraId="3C895A4D" w14:textId="55C4C726" w:rsidR="00E151FC" w:rsidRPr="00617377" w:rsidRDefault="00E151FC" w:rsidP="00617377">
      <w:pPr>
        <w:spacing w:after="120"/>
        <w:rPr>
          <w:rFonts w:ascii="Times New Roman" w:hAnsi="Times New Roman"/>
        </w:rPr>
      </w:pPr>
      <w:r>
        <w:rPr>
          <w:rFonts w:ascii="Times New Roman" w:hAnsi="Times New Roman"/>
        </w:rPr>
        <w:t>Depuis son lancement en 2017, la plateforme «</w:t>
      </w:r>
      <w:hyperlink r:id="rId8" w:history="1">
        <w:r>
          <w:rPr>
            <w:rStyle w:val="Hyperlink"/>
            <w:rFonts w:ascii="Times New Roman" w:hAnsi="Times New Roman"/>
          </w:rPr>
          <w:t>Les femmes dans les transports - Plateforme pour le changement</w:t>
        </w:r>
      </w:hyperlink>
      <w:r>
        <w:rPr>
          <w:rFonts w:ascii="Times New Roman" w:hAnsi="Times New Roman"/>
        </w:rPr>
        <w:t>» est un forum permettant aux parties prenantes d’échanger des informations et des bonnes pratiques. Il se réunit trois fois par an et suscite un intérêt constant auprès des acteurs du secteur souhaitant rejoindre la plateforme pour contribuer activement à des initiatives visant à promouvoir les femmes et à rendre les professions du transport et les lieux de travail plus attrayants pour elles. La plateforme participe également à des initiatives sectorielles, telles que l’initiative Aviation4Girls. En 2022, la plateforme a coopéré avec l’industrie ferroviaire dans le cadre d’un «Prix des femmes dans le secteur ferroviaire» et vise à lancer une initiative similaire dans le secteur maritime en 2024.</w:t>
      </w:r>
    </w:p>
    <w:p w14:paraId="285C8EB8" w14:textId="63279051" w:rsidR="00E151FC" w:rsidRPr="00617377" w:rsidRDefault="00E151FC" w:rsidP="00617377">
      <w:pPr>
        <w:spacing w:after="120"/>
        <w:rPr>
          <w:rFonts w:ascii="Times New Roman" w:hAnsi="Times New Roman"/>
        </w:rPr>
      </w:pPr>
      <w:r>
        <w:rPr>
          <w:rFonts w:ascii="Times New Roman" w:hAnsi="Times New Roman"/>
        </w:rPr>
        <w:t xml:space="preserve">La Commission a également lancé une nouvelle initiative, le réseau des </w:t>
      </w:r>
      <w:hyperlink r:id="rId9" w:history="1">
        <w:r>
          <w:rPr>
            <w:rStyle w:val="Hyperlink"/>
            <w:rFonts w:ascii="Times New Roman" w:hAnsi="Times New Roman"/>
          </w:rPr>
          <w:t>ambassadeurs de la diversité dans les transports</w:t>
        </w:r>
      </w:hyperlink>
      <w:r>
        <w:rPr>
          <w:rFonts w:ascii="Times New Roman" w:hAnsi="Times New Roman"/>
        </w:rPr>
        <w:t>. Le réseau se compose actuellement de 84 ambassadeurs qui ont pour objectif de sensibiliser et de diffuser les expériences et les bonnes pratiques. Le réseau couvre tous les aspects de la diversité, indépendamment du sexe, de l’âge, du handicap, de la race ou de l’origine ethnique, de la religion ou de l’orientation sexuelle, ainsi que de l’origine sociale ou géographique. Il vise à partager les bonnes pratiques et les expériences en ce qui concerne les travailleurs du secteur des transports, mais tient également compte des besoins des usagers des transports dans toute leur diversité. Des travaux ont commencé au sein de différents sous-groupes, par exemple sur l’égalité d’accès aux carrières dans les transports, la diversité et l’inclusion sur le lieu de travail, la recherche inclusive et la collecte de données, les modèles dans les transports et les personnes handicapées. Après une première réunion en mars 2023, une conférence des ambassadeurs de la diversité aura lieu en 2024.</w:t>
      </w:r>
    </w:p>
    <w:p w14:paraId="6B3580BC" w14:textId="77777777" w:rsidR="00E151FC" w:rsidRPr="00617377" w:rsidRDefault="00E151FC" w:rsidP="00617377">
      <w:pPr>
        <w:spacing w:after="120"/>
        <w:rPr>
          <w:rFonts w:ascii="Times New Roman" w:hAnsi="Times New Roman"/>
        </w:rPr>
      </w:pPr>
      <w:r>
        <w:rPr>
          <w:rFonts w:ascii="Times New Roman" w:hAnsi="Times New Roman"/>
        </w:rPr>
        <w:lastRenderedPageBreak/>
        <w:t xml:space="preserve">Les femmes restent sous-représentées dans les professions technologiques et de l’ingénierie, qui sont prédominantes dans le secteur des transports. Alors que les enfants commencent à se forger leurs aspirations professionnelles dès le plus jeune âge, la Commission européenne a mis au point des </w:t>
      </w:r>
      <w:hyperlink r:id="rId10" w:history="1">
        <w:r>
          <w:rPr>
            <w:rStyle w:val="Hyperlink"/>
            <w:rFonts w:ascii="Times New Roman" w:hAnsi="Times New Roman"/>
          </w:rPr>
          <w:t>boîtes à outils pédagogiques</w:t>
        </w:r>
      </w:hyperlink>
      <w:r>
        <w:rPr>
          <w:rFonts w:ascii="Times New Roman" w:hAnsi="Times New Roman"/>
        </w:rPr>
        <w:t xml:space="preserve"> pour aider à lutter contre ces stéréotypes. Les boîtes à outils existent en 24 langues et comprennent des exemples concrets issus du secteur des transports afin d’attirer les jeunes, et notamment les filles, vers des emplois de ce secteur. </w:t>
      </w:r>
    </w:p>
    <w:p w14:paraId="3EAEFAC0" w14:textId="16E7DCC2" w:rsidR="00E151FC" w:rsidRPr="00617377" w:rsidRDefault="00E151FC" w:rsidP="00617377">
      <w:pPr>
        <w:spacing w:after="120"/>
        <w:rPr>
          <w:rFonts w:ascii="Times New Roman" w:hAnsi="Times New Roman"/>
        </w:rPr>
      </w:pPr>
      <w:r>
        <w:rPr>
          <w:rFonts w:ascii="Times New Roman" w:hAnsi="Times New Roman"/>
        </w:rPr>
        <w:t xml:space="preserve">Afin d’améliorer l’équilibre entre vie professionnelle et vie privée et de renforcer l’attractivité, en particulier pour les femmes, du secteur des transports, la Commission européenne a publié des </w:t>
      </w:r>
      <w:hyperlink r:id="rId11" w:history="1">
        <w:r>
          <w:rPr>
            <w:rStyle w:val="Hyperlink"/>
            <w:rFonts w:ascii="Times New Roman" w:hAnsi="Times New Roman"/>
          </w:rPr>
          <w:t>bonnes pratiques en matière de programmation et d’affectation du personnel</w:t>
        </w:r>
      </w:hyperlink>
      <w:r>
        <w:rPr>
          <w:rFonts w:ascii="Times New Roman" w:hAnsi="Times New Roman"/>
        </w:rPr>
        <w:t>.</w:t>
      </w:r>
    </w:p>
    <w:p w14:paraId="10A8985C" w14:textId="77777777" w:rsidR="00E151FC" w:rsidRPr="00617377" w:rsidRDefault="00E151FC" w:rsidP="00617377">
      <w:pPr>
        <w:spacing w:after="120"/>
        <w:rPr>
          <w:rFonts w:ascii="Times New Roman" w:hAnsi="Times New Roman"/>
        </w:rPr>
      </w:pPr>
      <w:r>
        <w:rPr>
          <w:rFonts w:ascii="Times New Roman" w:hAnsi="Times New Roman"/>
        </w:rPr>
        <w:t xml:space="preserve">Le </w:t>
      </w:r>
      <w:hyperlink r:id="rId12" w:history="1">
        <w:r>
          <w:rPr>
            <w:rStyle w:val="Hyperlink"/>
            <w:rFonts w:ascii="Times New Roman" w:hAnsi="Times New Roman"/>
          </w:rPr>
          <w:t>cadre pour la mobilité urbaine</w:t>
        </w:r>
      </w:hyperlink>
      <w:r>
        <w:rPr>
          <w:rFonts w:ascii="Times New Roman" w:hAnsi="Times New Roman"/>
        </w:rPr>
        <w:t xml:space="preserve"> de 2022 reconnaît pleinement la nécessité de disposer de transports publics durables qui soient disponibles et attrayants pour tous et offrent un accès sûr et sans entraves à tous les utilisateurs, y compris aux groupes vulnérables de la société. </w:t>
      </w:r>
    </w:p>
    <w:p w14:paraId="5A54449E" w14:textId="6C49C8EB" w:rsidR="00E151FC" w:rsidRPr="00617377" w:rsidRDefault="00E151FC" w:rsidP="00617377">
      <w:pPr>
        <w:spacing w:after="120"/>
        <w:rPr>
          <w:rFonts w:ascii="Times New Roman" w:hAnsi="Times New Roman"/>
        </w:rPr>
      </w:pPr>
      <w:r>
        <w:rPr>
          <w:rFonts w:ascii="Times New Roman" w:hAnsi="Times New Roman"/>
        </w:rPr>
        <w:t>La proposition de règlement révisé sur les orientations de l’Union pour le développement du réseau transeuropéen de transport prévoit un caractère inclusif et, par exemple, des aires de stationnement sûres et sécurisées pour les conducteurs de poids lourds. L’acte délégué sur les normes de l’UE en matière d’aires de stationnement sûres et sécurisées classe les aires de stationnement en fonction de quatre niveaux de sécurité et prévoit que ces zones doivent garantir que les conducteurs aient accès à toutes les installations nécessaires, telles que des douches et des toilettes.</w:t>
      </w:r>
    </w:p>
    <w:p w14:paraId="433DD3C3" w14:textId="542F58A2" w:rsidR="00E151FC" w:rsidRPr="00617377" w:rsidRDefault="00E151FC" w:rsidP="00617377">
      <w:pPr>
        <w:spacing w:after="120"/>
        <w:rPr>
          <w:rFonts w:ascii="Times New Roman" w:hAnsi="Times New Roman"/>
        </w:rPr>
      </w:pPr>
      <w:r>
        <w:rPr>
          <w:rFonts w:ascii="Times New Roman" w:hAnsi="Times New Roman"/>
        </w:rPr>
        <w:t>L’</w:t>
      </w:r>
      <w:hyperlink r:id="rId13" w:history="1">
        <w:r>
          <w:rPr>
            <w:rStyle w:val="Hyperlink"/>
            <w:rFonts w:ascii="Times New Roman" w:hAnsi="Times New Roman"/>
          </w:rPr>
          <w:t>étude de la Commission sur la dimension sociale du futur système de transport de l’UE concernant les usagers et les passagers</w:t>
        </w:r>
      </w:hyperlink>
      <w:r>
        <w:rPr>
          <w:rFonts w:ascii="Times New Roman" w:hAnsi="Times New Roman"/>
        </w:rPr>
        <w:t xml:space="preserve"> a contribué à mieux comprendre les besoins et les défis des différents groupes d’usagers des transports, et notamment des femmes. L’une des principales recommandations de cette étude à l’intention des États membres et des opérateurs de transport est de collecter des données ventilées par sexe et de veiller à ce que tous les groupes d’usagers des transports soient dûment associés à l’élaboration et à la conception de la politique des transports.</w:t>
      </w:r>
    </w:p>
    <w:p w14:paraId="1459264D" w14:textId="12EFC8CF" w:rsidR="00E151FC" w:rsidRPr="00617377" w:rsidRDefault="00E151FC" w:rsidP="00617377">
      <w:pPr>
        <w:spacing w:after="120"/>
        <w:rPr>
          <w:rFonts w:ascii="Times New Roman" w:hAnsi="Times New Roman"/>
        </w:rPr>
      </w:pPr>
      <w:r>
        <w:rPr>
          <w:rFonts w:ascii="Times New Roman" w:hAnsi="Times New Roman"/>
        </w:rPr>
        <w:t xml:space="preserve">La Commission reconnaît que le vélo est un moyen de transport durable, accessible, inclusif, abordable et sain et a donc adopté une </w:t>
      </w:r>
      <w:hyperlink r:id="rId14" w:history="1">
        <w:r>
          <w:rPr>
            <w:rStyle w:val="Hyperlink"/>
            <w:rFonts w:ascii="Times New Roman" w:hAnsi="Times New Roman"/>
          </w:rPr>
          <w:t>déclaration sur l’utilisation du vélo</w:t>
        </w:r>
      </w:hyperlink>
      <w:r>
        <w:rPr>
          <w:rFonts w:ascii="Times New Roman" w:hAnsi="Times New Roman"/>
        </w:rPr>
        <w:t xml:space="preserve"> afin de stimuler l’utilisation du vélo dans l’ensemble de l’UE en accordant également une attention particulière aux besoins des femmes, des enfants, des personnes âgées et des groupes vulnérables et marginalisés.</w:t>
      </w:r>
    </w:p>
    <w:p w14:paraId="32C1B889" w14:textId="410EED27" w:rsidR="00E151FC" w:rsidRPr="00617377" w:rsidRDefault="00E151FC" w:rsidP="00617377">
      <w:pPr>
        <w:spacing w:after="120"/>
        <w:rPr>
          <w:rFonts w:ascii="Times New Roman" w:hAnsi="Times New Roman"/>
        </w:rPr>
      </w:pPr>
      <w:r>
        <w:rPr>
          <w:rFonts w:ascii="Times New Roman" w:hAnsi="Times New Roman"/>
        </w:rPr>
        <w:t>Afin de veiller à ce que l’égalité, et en particulier l’égalité entre les hommes et les femmes, soit dûment intégrée dans ses politiques, initiatives et autres activités dans le domaine des transports, la Commission procède actuellement à un examen de toutes ses politiques et programmes de financement dans le domaine des transports afin de recenser les disparités entre les hommes et les femmes et élabore une formation spécifique, ainsi qu’un manuel facile à utiliser, afin de veiller à ce que son personnel soit conscient de l’intégration de l’égalité et sache comment l’appliquer dans son travail quotidien.</w:t>
      </w:r>
    </w:p>
    <w:p w14:paraId="0E6B8C13" w14:textId="3768182B" w:rsidR="00E151FC" w:rsidRPr="00617377" w:rsidRDefault="00E151FC" w:rsidP="00617377">
      <w:pPr>
        <w:spacing w:after="120"/>
        <w:rPr>
          <w:rFonts w:ascii="Times New Roman" w:hAnsi="Times New Roman"/>
        </w:rPr>
      </w:pPr>
      <w:r>
        <w:rPr>
          <w:rFonts w:ascii="Times New Roman" w:hAnsi="Times New Roman"/>
        </w:rPr>
        <w:t>La Commission soutient également pleinement les échanges sur les questions sociales, y compris les questions d’égalité entre les hommes et les femmes, entre les autorités nationales et avec le secteur des transports. Le groupe d’experts sur les questions sociales horizontales dans le domaine des transports, par exemple, se réunit deux fois par an et réunit des experts des États membres et des observateurs du secteur des transports pour discuter de ces questions.</w:t>
      </w:r>
    </w:p>
    <w:p w14:paraId="6E30420F" w14:textId="387634C8" w:rsidR="00E151FC" w:rsidRPr="00617377" w:rsidRDefault="00E151FC" w:rsidP="00617377">
      <w:pPr>
        <w:spacing w:after="120"/>
        <w:rPr>
          <w:rFonts w:ascii="Times New Roman" w:hAnsi="Times New Roman"/>
        </w:rPr>
      </w:pPr>
      <w:r>
        <w:rPr>
          <w:rFonts w:ascii="Times New Roman" w:hAnsi="Times New Roman"/>
        </w:rPr>
        <w:t xml:space="preserve">Enfin, la Commission présentera prochainement son engagement au titre de l’action 69 de la stratégie de mobilité durable et intelligente </w:t>
      </w:r>
      <w:bookmarkStart w:id="1" w:name="_Hlk150690616"/>
      <w:bookmarkEnd w:id="1"/>
      <w:r>
        <w:rPr>
          <w:rFonts w:ascii="Times New Roman" w:hAnsi="Times New Roman"/>
        </w:rPr>
        <w:t xml:space="preserve">— soutenir les installations d’essai et d’expérimentation sur l’intelligence artificielle pour la mobilité intelligente dans le cadre du programme pour une Europe numérique — et publiera une recommandation sur les moyens de faire face à l’incidence de l’automatisation et de la numérisation sur la main-d’œuvre du secteur des transports. S’il existe des défis pour la main-d’œuvre, il existe également des </w:t>
      </w:r>
      <w:r>
        <w:rPr>
          <w:rFonts w:ascii="Times New Roman" w:hAnsi="Times New Roman"/>
        </w:rPr>
        <w:lastRenderedPageBreak/>
        <w:t>possibilités, en particulier pour les femmes et les jeunes, en particulier lorsque les emplois dans le secteur des transports deviennent moins exigeants sur le plan physique.</w:t>
      </w:r>
      <w:bookmarkStart w:id="2" w:name="_Hlk144309426"/>
    </w:p>
    <w:bookmarkEnd w:id="2"/>
    <w:sectPr w:rsidR="00E151FC" w:rsidRPr="00617377" w:rsidSect="00FE5B6D">
      <w:headerReference w:type="even" r:id="rId15"/>
      <w:headerReference w:type="default" r:id="rId16"/>
      <w:footerReference w:type="even" r:id="rId17"/>
      <w:footerReference w:type="default" r:id="rId18"/>
      <w:headerReference w:type="first" r:id="rId19"/>
      <w:footerReference w:type="first" r:id="rId20"/>
      <w:footnotePr>
        <w:pos w:val="beneathText"/>
        <w:numRestart w:val="eachSect"/>
      </w:footnotePr>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2EC72" w14:textId="77777777" w:rsidR="00F11842" w:rsidRDefault="003D3055">
      <w:pPr>
        <w:spacing w:after="0"/>
      </w:pPr>
      <w:r>
        <w:separator/>
      </w:r>
    </w:p>
  </w:endnote>
  <w:endnote w:type="continuationSeparator" w:id="0">
    <w:p w14:paraId="4CDEE0BC" w14:textId="77777777" w:rsidR="00F11842" w:rsidRDefault="003D30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0128" w14:textId="77777777" w:rsidR="00471068" w:rsidRDefault="003D566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3FA1634" w14:textId="77777777" w:rsidR="00471068" w:rsidRDefault="00DB6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84F3" w14:textId="77777777" w:rsidR="00471068" w:rsidRPr="00A35B35" w:rsidRDefault="003D5662" w:rsidP="006E5696">
    <w:pPr>
      <w:pStyle w:val="Footer"/>
      <w:framePr w:wrap="around" w:vAnchor="text" w:hAnchor="margin" w:xAlign="center" w:y="1"/>
      <w:rPr>
        <w:rStyle w:val="PageNumber"/>
        <w:rFonts w:ascii="Times New Roman" w:hAnsi="Times New Roman"/>
        <w:sz w:val="20"/>
      </w:rPr>
    </w:pPr>
    <w:r w:rsidRPr="00A35B35">
      <w:rPr>
        <w:rStyle w:val="PageNumber"/>
        <w:rFonts w:ascii="Times New Roman" w:hAnsi="Times New Roman"/>
        <w:sz w:val="20"/>
      </w:rPr>
      <w:fldChar w:fldCharType="begin"/>
    </w:r>
    <w:r w:rsidRPr="00A35B35">
      <w:rPr>
        <w:rStyle w:val="PageNumber"/>
        <w:rFonts w:ascii="Times New Roman" w:hAnsi="Times New Roman"/>
        <w:sz w:val="20"/>
      </w:rPr>
      <w:instrText xml:space="preserve">PAGE  </w:instrText>
    </w:r>
    <w:r w:rsidRPr="00A35B35">
      <w:rPr>
        <w:rStyle w:val="PageNumber"/>
        <w:rFonts w:ascii="Times New Roman" w:hAnsi="Times New Roman"/>
        <w:sz w:val="20"/>
      </w:rPr>
      <w:fldChar w:fldCharType="separate"/>
    </w:r>
    <w:r w:rsidRPr="00A35B35">
      <w:rPr>
        <w:rStyle w:val="PageNumber"/>
        <w:rFonts w:ascii="Times New Roman" w:hAnsi="Times New Roman"/>
        <w:sz w:val="20"/>
      </w:rPr>
      <w:t>3</w:t>
    </w:r>
    <w:r w:rsidRPr="00A35B35">
      <w:rPr>
        <w:rStyle w:val="PageNumber"/>
        <w:rFonts w:ascii="Times New Roman" w:hAnsi="Times New Roman"/>
        <w:sz w:val="20"/>
      </w:rPr>
      <w:fldChar w:fldCharType="end"/>
    </w:r>
  </w:p>
  <w:p w14:paraId="490D2A2E" w14:textId="77777777" w:rsidR="00471068" w:rsidRPr="008A6623" w:rsidRDefault="00DB653E"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B68F" w14:textId="77777777" w:rsidR="006B0483" w:rsidRDefault="003D5662"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BE6542E" w14:textId="77777777" w:rsidR="00471068" w:rsidRDefault="00DB653E"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37A37" w14:textId="77777777" w:rsidR="00F11842" w:rsidRDefault="003D3055">
      <w:pPr>
        <w:spacing w:after="0"/>
      </w:pPr>
      <w:r>
        <w:separator/>
      </w:r>
    </w:p>
  </w:footnote>
  <w:footnote w:type="continuationSeparator" w:id="0">
    <w:p w14:paraId="189C7B34" w14:textId="77777777" w:rsidR="00F11842" w:rsidRDefault="003D30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2E43" w14:textId="77777777" w:rsidR="00162EA2" w:rsidRDefault="00DB6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1C7C" w14:textId="77777777" w:rsidR="00162EA2" w:rsidRDefault="00DB6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D2C4" w14:textId="77777777" w:rsidR="00162EA2" w:rsidRDefault="00DB6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048"/>
    <w:multiLevelType w:val="hybridMultilevel"/>
    <w:tmpl w:val="F67483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AA5714A"/>
    <w:multiLevelType w:val="hybridMultilevel"/>
    <w:tmpl w:val="EA5695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B3A2C16"/>
    <w:multiLevelType w:val="hybridMultilevel"/>
    <w:tmpl w:val="E11449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9015B4"/>
    <w:multiLevelType w:val="hybridMultilevel"/>
    <w:tmpl w:val="E13AFBE6"/>
    <w:lvl w:ilvl="0" w:tplc="7E32D224">
      <w:start w:val="1"/>
      <w:numFmt w:val="decimal"/>
      <w:lvlText w:val="%1."/>
      <w:lvlJc w:val="left"/>
      <w:pPr>
        <w:ind w:left="720" w:hanging="360"/>
      </w:pPr>
      <w:rPr>
        <w:b/>
      </w:rPr>
    </w:lvl>
    <w:lvl w:ilvl="1" w:tplc="5EAECAA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2854946">
    <w:abstractNumId w:val="3"/>
  </w:num>
  <w:num w:numId="2" w16cid:durableId="1392191444">
    <w:abstractNumId w:val="0"/>
  </w:num>
  <w:num w:numId="3" w16cid:durableId="904680667">
    <w:abstractNumId w:val="2"/>
  </w:num>
  <w:num w:numId="4" w16cid:durableId="465969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FC"/>
    <w:rsid w:val="00073049"/>
    <w:rsid w:val="00082213"/>
    <w:rsid w:val="000F4E18"/>
    <w:rsid w:val="003D3055"/>
    <w:rsid w:val="003D5662"/>
    <w:rsid w:val="003E07A0"/>
    <w:rsid w:val="004655BD"/>
    <w:rsid w:val="005149F6"/>
    <w:rsid w:val="00617377"/>
    <w:rsid w:val="007E0BB8"/>
    <w:rsid w:val="00872FDC"/>
    <w:rsid w:val="008B17A7"/>
    <w:rsid w:val="008F58CB"/>
    <w:rsid w:val="009A2C22"/>
    <w:rsid w:val="00AB2184"/>
    <w:rsid w:val="00AE401C"/>
    <w:rsid w:val="00BB3E20"/>
    <w:rsid w:val="00BD51C7"/>
    <w:rsid w:val="00DB653E"/>
    <w:rsid w:val="00DE7414"/>
    <w:rsid w:val="00E151FC"/>
    <w:rsid w:val="00E55F60"/>
    <w:rsid w:val="00F11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16A3A"/>
  <w15:chartTrackingRefBased/>
  <w15:docId w15:val="{53DCE6F6-852B-40FF-8BFB-6735ACD4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1FC"/>
    <w:pPr>
      <w:spacing w:after="240" w:line="240" w:lineRule="auto"/>
      <w:jc w:val="both"/>
    </w:pPr>
    <w:rPr>
      <w:rFonts w:ascii="Courier New" w:eastAsia="Times New Roman" w:hAnsi="Courier New" w:cs="Times New Roman"/>
      <w:sz w:val="24"/>
      <w:szCs w:val="20"/>
      <w:lang w:eastAsia="en-GB"/>
    </w:rPr>
  </w:style>
  <w:style w:type="paragraph" w:styleId="Heading1">
    <w:name w:val="heading 1"/>
    <w:basedOn w:val="Normal"/>
    <w:next w:val="Normal"/>
    <w:link w:val="Heading1Char"/>
    <w:uiPriority w:val="9"/>
    <w:qFormat/>
    <w:rsid w:val="006173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2,Heading 2_sj,Report Para,EC"/>
    <w:basedOn w:val="Normal"/>
    <w:link w:val="ListParagraphChar"/>
    <w:qFormat/>
    <w:rsid w:val="00E151FC"/>
    <w:pPr>
      <w:spacing w:after="200" w:line="276" w:lineRule="auto"/>
      <w:ind w:left="720"/>
      <w:contextualSpacing/>
      <w:jc w:val="left"/>
    </w:pPr>
    <w:rPr>
      <w:rFonts w:ascii="Calibri" w:eastAsia="Calibri" w:hAnsi="Calibri"/>
      <w:sz w:val="22"/>
      <w:szCs w:val="22"/>
      <w:lang w:eastAsia="en-US"/>
    </w:rPr>
  </w:style>
  <w:style w:type="character" w:styleId="Hyperlink">
    <w:name w:val="Hyperlink"/>
    <w:aliases w:val="Char1"/>
    <w:qFormat/>
    <w:rsid w:val="00E151FC"/>
    <w:rPr>
      <w:color w:val="0000FF"/>
      <w:u w:val="single"/>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qFormat/>
    <w:locked/>
    <w:rsid w:val="00E151FC"/>
    <w:rPr>
      <w:rFonts w:ascii="Calibri" w:eastAsia="Calibri" w:hAnsi="Calibri" w:cs="Times New Roman"/>
    </w:rPr>
  </w:style>
  <w:style w:type="paragraph" w:styleId="Header">
    <w:name w:val="header"/>
    <w:basedOn w:val="Normal"/>
    <w:link w:val="HeaderChar"/>
    <w:unhideWhenUsed/>
    <w:rsid w:val="00E151FC"/>
    <w:pPr>
      <w:tabs>
        <w:tab w:val="center" w:pos="4680"/>
        <w:tab w:val="right" w:pos="9360"/>
      </w:tabs>
      <w:spacing w:after="0"/>
    </w:pPr>
  </w:style>
  <w:style w:type="character" w:customStyle="1" w:styleId="HeaderChar">
    <w:name w:val="Header Char"/>
    <w:basedOn w:val="DefaultParagraphFont"/>
    <w:link w:val="Header"/>
    <w:rsid w:val="00E151FC"/>
    <w:rPr>
      <w:rFonts w:ascii="Courier New" w:eastAsia="Times New Roman" w:hAnsi="Courier New" w:cs="Times New Roman"/>
      <w:sz w:val="24"/>
      <w:szCs w:val="20"/>
      <w:lang w:eastAsia="en-GB"/>
    </w:rPr>
  </w:style>
  <w:style w:type="paragraph" w:styleId="Footer">
    <w:name w:val="footer"/>
    <w:basedOn w:val="Normal"/>
    <w:link w:val="FooterChar"/>
    <w:unhideWhenUsed/>
    <w:rsid w:val="00E151FC"/>
    <w:pPr>
      <w:tabs>
        <w:tab w:val="center" w:pos="4680"/>
        <w:tab w:val="right" w:pos="9360"/>
      </w:tabs>
      <w:spacing w:after="0"/>
    </w:pPr>
  </w:style>
  <w:style w:type="character" w:customStyle="1" w:styleId="FooterChar">
    <w:name w:val="Footer Char"/>
    <w:basedOn w:val="DefaultParagraphFont"/>
    <w:link w:val="Footer"/>
    <w:rsid w:val="00E151FC"/>
    <w:rPr>
      <w:rFonts w:ascii="Courier New" w:eastAsia="Times New Roman" w:hAnsi="Courier New" w:cs="Times New Roman"/>
      <w:sz w:val="24"/>
      <w:szCs w:val="20"/>
      <w:lang w:eastAsia="en-GB"/>
    </w:rPr>
  </w:style>
  <w:style w:type="character" w:styleId="PageNumber">
    <w:name w:val="page number"/>
    <w:basedOn w:val="DefaultParagraphFont"/>
    <w:rsid w:val="00E151FC"/>
  </w:style>
  <w:style w:type="paragraph" w:styleId="Revision">
    <w:name w:val="Revision"/>
    <w:hidden/>
    <w:uiPriority w:val="99"/>
    <w:semiHidden/>
    <w:rsid w:val="009A2C22"/>
    <w:pPr>
      <w:spacing w:after="0" w:line="240" w:lineRule="auto"/>
    </w:pPr>
    <w:rPr>
      <w:rFonts w:ascii="Courier New" w:eastAsia="Times New Roman" w:hAnsi="Courier New" w:cs="Times New Roman"/>
      <w:sz w:val="24"/>
      <w:szCs w:val="20"/>
      <w:lang w:eastAsia="en-GB"/>
    </w:rPr>
  </w:style>
  <w:style w:type="character" w:styleId="FollowedHyperlink">
    <w:name w:val="FollowedHyperlink"/>
    <w:basedOn w:val="DefaultParagraphFont"/>
    <w:uiPriority w:val="99"/>
    <w:semiHidden/>
    <w:unhideWhenUsed/>
    <w:rsid w:val="00073049"/>
    <w:rPr>
      <w:color w:val="954F72" w:themeColor="followedHyperlink"/>
      <w:u w:val="single"/>
    </w:rPr>
  </w:style>
  <w:style w:type="character" w:styleId="CommentReference">
    <w:name w:val="annotation reference"/>
    <w:basedOn w:val="DefaultParagraphFont"/>
    <w:uiPriority w:val="99"/>
    <w:semiHidden/>
    <w:unhideWhenUsed/>
    <w:rsid w:val="00AE401C"/>
    <w:rPr>
      <w:sz w:val="16"/>
      <w:szCs w:val="16"/>
    </w:rPr>
  </w:style>
  <w:style w:type="paragraph" w:styleId="CommentText">
    <w:name w:val="annotation text"/>
    <w:basedOn w:val="Normal"/>
    <w:link w:val="CommentTextChar"/>
    <w:uiPriority w:val="99"/>
    <w:unhideWhenUsed/>
    <w:rsid w:val="00AE401C"/>
    <w:rPr>
      <w:sz w:val="20"/>
    </w:rPr>
  </w:style>
  <w:style w:type="character" w:customStyle="1" w:styleId="CommentTextChar">
    <w:name w:val="Comment Text Char"/>
    <w:basedOn w:val="DefaultParagraphFont"/>
    <w:link w:val="CommentText"/>
    <w:uiPriority w:val="99"/>
    <w:rsid w:val="00AE401C"/>
    <w:rPr>
      <w:rFonts w:ascii="Courier New" w:eastAsia="Times New Roman" w:hAnsi="Courier New"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E401C"/>
    <w:rPr>
      <w:b/>
      <w:bCs/>
    </w:rPr>
  </w:style>
  <w:style w:type="character" w:customStyle="1" w:styleId="CommentSubjectChar">
    <w:name w:val="Comment Subject Char"/>
    <w:basedOn w:val="CommentTextChar"/>
    <w:link w:val="CommentSubject"/>
    <w:uiPriority w:val="99"/>
    <w:semiHidden/>
    <w:rsid w:val="00AE401C"/>
    <w:rPr>
      <w:rFonts w:ascii="Courier New" w:eastAsia="Times New Roman" w:hAnsi="Courier New" w:cs="Times New Roman"/>
      <w:b/>
      <w:bCs/>
      <w:sz w:val="20"/>
      <w:szCs w:val="20"/>
      <w:lang w:eastAsia="en-GB"/>
    </w:rPr>
  </w:style>
  <w:style w:type="character" w:customStyle="1" w:styleId="Heading1Char">
    <w:name w:val="Heading 1 Char"/>
    <w:basedOn w:val="DefaultParagraphFont"/>
    <w:link w:val="Heading1"/>
    <w:uiPriority w:val="9"/>
    <w:rsid w:val="00617377"/>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82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port.ec.europa.eu/transport-themes/social-issues-equality-and-attractiveness-transport-sector/equality/women-transport-eu-platform-change_fr" TargetMode="External"/><Relationship Id="rId13" Type="http://schemas.openxmlformats.org/officeDocument/2006/relationships/hyperlink" Target="https://transport.ec.europa.eu/transport-themes/social-issues-equality-and-attractiveness-transport-sector/studies/study-social-dimension-future-eu-transport-system-regarding-users-and-passengers_f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p.europa.eu/fr/publication-detail/-/publication/ad816b47-8451-11ec-8c40-01aa75ed71a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port.ec.europa.eu/transport-themes/social-issues-equality-and-attractiveness-transport-sector/attractiveness-transport-sector/study-good-staff-scheduling-and-rostering-practices-transport_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ransport.ec.europa.eu/transport-themes/social-issues-equality-and-attractiveness-transport-sector/attractiveness-transport-sector/educational-toolkits-help-fight-gender-stereotypes_f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ransport.ec.europa.eu/transport-themes/social-issues-equality-and-attractiveness-transport-sector/equality/diversity-ambassadors-transport_fr" TargetMode="External"/><Relationship Id="rId14" Type="http://schemas.openxmlformats.org/officeDocument/2006/relationships/hyperlink" Target="https://transport.ec.europa.eu/news-events/news/commission-proposes-list-principles-boost-cycling-across-europe-2023-10-04_f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55A03-982C-4AE5-AE83-1B674E6A2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2017</Words>
  <Characters>10975</Characters>
  <Application>Microsoft Office Word</Application>
  <DocSecurity>0</DocSecurity>
  <Lines>161</Lines>
  <Paragraphs>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Phillip (MOVE)</dc:creator>
  <cp:keywords/>
  <dc:description/>
  <cp:lastModifiedBy>DELBAER Gerda (SG)</cp:lastModifiedBy>
  <cp:revision>2</cp:revision>
  <dcterms:created xsi:type="dcterms:W3CDTF">2024-01-11T15:56:00Z</dcterms:created>
  <dcterms:modified xsi:type="dcterms:W3CDTF">2024-01-11T15:56:00Z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2023-10-17T06:45:52Z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846e25e8-bcfb-4a6b-8ed8-89e8004ce488</vt:lpwstr>
  </property>
  <property fmtid="{D5CDD505-2E9C-101B-9397-08002B2CF9AE}" pid="8" name="MSIP_Label_6bd9ddd1-4d20-43f6-abfa-fc3c07406f94_ContentBits">
    <vt:lpwstr>0</vt:lpwstr>
  </property>
</Properties>
</file>